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3.xml" ContentType="application/vnd.openxmlformats-officedocument.wordprocessingml.head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1"/>
        <w:rPr>
          <w:rFonts w:ascii="Times New Roman" w:hAnsi="Times New Roman" w:cs="Times New Roman" w:eastAsia="Times New Roman" w:hint="default"/>
          <w:sz w:val="6"/>
          <w:szCs w:val="6"/>
        </w:rPr>
      </w:pPr>
    </w:p>
    <w:p>
      <w:pPr>
        <w:spacing w:line="840" w:lineRule="exact"/>
        <w:ind w:left="4818"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6"/>
          <w:sz w:val="20"/>
          <w:szCs w:val="20"/>
        </w:rPr>
        <w:drawing>
          <wp:inline distT="0" distB="0" distL="0" distR="0">
            <wp:extent cx="1878643" cy="533400"/>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878643" cy="533400"/>
                    </a:xfrm>
                    <a:prstGeom prst="rect">
                      <a:avLst/>
                    </a:prstGeom>
                  </pic:spPr>
                </pic:pic>
              </a:graphicData>
            </a:graphic>
          </wp:inline>
        </w:drawing>
      </w:r>
      <w:r>
        <w:rPr>
          <w:rFonts w:ascii="Times New Roman" w:hAnsi="Times New Roman" w:cs="Times New Roman" w:eastAsia="Times New Roman" w:hint="default"/>
          <w:position w:val="-16"/>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4"/>
          <w:szCs w:val="24"/>
        </w:rPr>
      </w:pPr>
    </w:p>
    <w:p>
      <w:pPr>
        <w:tabs>
          <w:tab w:pos="6449" w:val="left" w:leader="none"/>
        </w:tabs>
        <w:spacing w:line="777" w:lineRule="exact"/>
        <w:ind w:left="4703" w:right="0" w:firstLine="0"/>
        <w:rPr>
          <w:rFonts w:ascii="Times New Roman" w:hAnsi="Times New Roman" w:cs="Times New Roman" w:eastAsia="Times New Roman" w:hint="default"/>
          <w:sz w:val="20"/>
          <w:szCs w:val="20"/>
        </w:rPr>
      </w:pPr>
      <w:r>
        <w:rPr>
          <w:rFonts w:ascii="Times New Roman"/>
          <w:position w:val="-15"/>
          <w:sz w:val="20"/>
        </w:rPr>
        <w:drawing>
          <wp:inline distT="0" distB="0" distL="0" distR="0">
            <wp:extent cx="268169" cy="493775"/>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268169" cy="493775"/>
                    </a:xfrm>
                    <a:prstGeom prst="rect">
                      <a:avLst/>
                    </a:prstGeom>
                  </pic:spPr>
                </pic:pic>
              </a:graphicData>
            </a:graphic>
          </wp:inline>
        </w:drawing>
      </w:r>
      <w:r>
        <w:rPr>
          <w:rFonts w:ascii="Times New Roman"/>
          <w:position w:val="-15"/>
          <w:sz w:val="20"/>
        </w:rPr>
      </w:r>
      <w:r>
        <w:rPr>
          <w:rFonts w:ascii="Times New Roman"/>
          <w:spacing w:val="102"/>
          <w:position w:val="-15"/>
          <w:sz w:val="20"/>
        </w:rPr>
        <w:t> </w:t>
      </w:r>
      <w:r>
        <w:rPr>
          <w:rFonts w:ascii="Times New Roman"/>
          <w:spacing w:val="102"/>
          <w:position w:val="-15"/>
          <w:sz w:val="20"/>
        </w:rPr>
        <w:drawing>
          <wp:inline distT="0" distB="0" distL="0" distR="0">
            <wp:extent cx="292549" cy="493775"/>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292549" cy="493775"/>
                    </a:xfrm>
                    <a:prstGeom prst="rect">
                      <a:avLst/>
                    </a:prstGeom>
                  </pic:spPr>
                </pic:pic>
              </a:graphicData>
            </a:graphic>
          </wp:inline>
        </w:drawing>
      </w:r>
      <w:r>
        <w:rPr>
          <w:rFonts w:ascii="Times New Roman"/>
          <w:spacing w:val="102"/>
          <w:position w:val="-15"/>
          <w:sz w:val="20"/>
        </w:rPr>
      </w:r>
      <w:r>
        <w:rPr>
          <w:rFonts w:ascii="Times New Roman"/>
          <w:spacing w:val="102"/>
          <w:position w:val="-15"/>
          <w:sz w:val="20"/>
        </w:rPr>
        <w:tab/>
      </w:r>
      <w:r>
        <w:rPr>
          <w:rFonts w:ascii="Times New Roman"/>
          <w:spacing w:val="102"/>
          <w:position w:val="-15"/>
          <w:sz w:val="20"/>
        </w:rPr>
        <w:drawing>
          <wp:inline distT="0" distB="0" distL="0" distR="0">
            <wp:extent cx="286454" cy="493775"/>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286454" cy="493775"/>
                    </a:xfrm>
                    <a:prstGeom prst="rect">
                      <a:avLst/>
                    </a:prstGeom>
                  </pic:spPr>
                </pic:pic>
              </a:graphicData>
            </a:graphic>
          </wp:inline>
        </w:drawing>
      </w:r>
      <w:r>
        <w:rPr>
          <w:rFonts w:ascii="Times New Roman"/>
          <w:spacing w:val="102"/>
          <w:position w:val="-15"/>
          <w:sz w:val="20"/>
        </w:rPr>
      </w:r>
      <w:r>
        <w:rPr>
          <w:rFonts w:ascii="Times New Roman"/>
          <w:spacing w:val="64"/>
          <w:position w:val="-15"/>
          <w:sz w:val="20"/>
        </w:rPr>
        <w:t> </w:t>
      </w:r>
      <w:r>
        <w:rPr>
          <w:rFonts w:ascii="Times New Roman"/>
          <w:spacing w:val="64"/>
          <w:position w:val="-15"/>
          <w:sz w:val="20"/>
        </w:rPr>
        <w:drawing>
          <wp:inline distT="0" distB="0" distL="0" distR="0">
            <wp:extent cx="493676" cy="493775"/>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493676" cy="493775"/>
                    </a:xfrm>
                    <a:prstGeom prst="rect">
                      <a:avLst/>
                    </a:prstGeom>
                  </pic:spPr>
                </pic:pic>
              </a:graphicData>
            </a:graphic>
          </wp:inline>
        </w:drawing>
      </w:r>
      <w:r>
        <w:rPr>
          <w:rFonts w:ascii="Times New Roman"/>
          <w:spacing w:val="64"/>
          <w:position w:val="-15"/>
          <w:sz w:val="20"/>
        </w:rPr>
      </w:r>
    </w:p>
    <w:p>
      <w:pPr>
        <w:spacing w:line="240" w:lineRule="auto" w:before="3"/>
        <w:rPr>
          <w:rFonts w:ascii="Times New Roman" w:hAnsi="Times New Roman" w:cs="Times New Roman" w:eastAsia="Times New Roman" w:hint="default"/>
          <w:sz w:val="14"/>
          <w:szCs w:val="14"/>
        </w:rPr>
      </w:pPr>
    </w:p>
    <w:p>
      <w:pPr>
        <w:spacing w:line="787" w:lineRule="exact"/>
        <w:ind w:left="4683"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5"/>
          <w:sz w:val="20"/>
          <w:szCs w:val="20"/>
        </w:rPr>
        <w:drawing>
          <wp:inline distT="0" distB="0" distL="0" distR="0">
            <wp:extent cx="2005180" cy="499872"/>
            <wp:effectExtent l="0" t="0" r="0" b="0"/>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0" cstate="print"/>
                    <a:stretch>
                      <a:fillRect/>
                    </a:stretch>
                  </pic:blipFill>
                  <pic:spPr>
                    <a:xfrm>
                      <a:off x="0" y="0"/>
                      <a:ext cx="2005180" cy="499872"/>
                    </a:xfrm>
                    <a:prstGeom prst="rect">
                      <a:avLst/>
                    </a:prstGeom>
                  </pic:spPr>
                </pic:pic>
              </a:graphicData>
            </a:graphic>
          </wp:inline>
        </w:drawing>
      </w:r>
      <w:r>
        <w:rPr>
          <w:rFonts w:ascii="Times New Roman" w:hAnsi="Times New Roman" w:cs="Times New Roman" w:eastAsia="Times New Roman" w:hint="default"/>
          <w:position w:val="-15"/>
          <w:sz w:val="20"/>
          <w:szCs w:val="20"/>
        </w:rPr>
      </w:r>
    </w:p>
    <w:p>
      <w:pPr>
        <w:spacing w:line="240" w:lineRule="auto" w:before="10"/>
        <w:rPr>
          <w:rFonts w:ascii="Times New Roman" w:hAnsi="Times New Roman" w:cs="Times New Roman" w:eastAsia="Times New Roman" w:hint="default"/>
          <w:sz w:val="23"/>
          <w:szCs w:val="23"/>
        </w:rPr>
      </w:pPr>
    </w:p>
    <w:p>
      <w:pPr>
        <w:spacing w:before="47"/>
        <w:ind w:left="553" w:right="0" w:firstLine="0"/>
        <w:jc w:val="center"/>
        <w:rPr>
          <w:rFonts w:ascii="Arial" w:hAnsi="Arial" w:cs="Arial" w:eastAsia="Arial" w:hint="default"/>
          <w:sz w:val="45"/>
          <w:szCs w:val="45"/>
        </w:rPr>
      </w:pPr>
      <w:r>
        <w:rPr>
          <w:position w:val="-5"/>
        </w:rPr>
        <w:drawing>
          <wp:inline distT="0" distB="0" distL="0" distR="0">
            <wp:extent cx="920310" cy="237744"/>
            <wp:effectExtent l="0" t="0" r="0" b="0"/>
            <wp:docPr id="13" name="image7.png" descr=""/>
            <wp:cNvGraphicFramePr>
              <a:graphicFrameLocks noChangeAspect="1"/>
            </wp:cNvGraphicFramePr>
            <a:graphic>
              <a:graphicData uri="http://schemas.openxmlformats.org/drawingml/2006/picture">
                <pic:pic>
                  <pic:nvPicPr>
                    <pic:cNvPr id="14" name="image7.png"/>
                    <pic:cNvPicPr/>
                  </pic:nvPicPr>
                  <pic:blipFill>
                    <a:blip r:embed="rId11" cstate="print"/>
                    <a:stretch>
                      <a:fillRect/>
                    </a:stretch>
                  </pic:blipFill>
                  <pic:spPr>
                    <a:xfrm>
                      <a:off x="0" y="0"/>
                      <a:ext cx="920310" cy="237744"/>
                    </a:xfrm>
                    <a:prstGeom prst="rect">
                      <a:avLst/>
                    </a:prstGeom>
                  </pic:spPr>
                </pic:pic>
              </a:graphicData>
            </a:graphic>
          </wp:inline>
        </w:drawing>
      </w:r>
      <w:r>
        <w:rPr>
          <w:position w:val="-5"/>
        </w:rPr>
      </w:r>
      <w:r>
        <w:rPr>
          <w:rFonts w:ascii="Times New Roman"/>
          <w:sz w:val="20"/>
        </w:rPr>
        <w:t>       </w:t>
      </w:r>
      <w:r>
        <w:rPr>
          <w:rFonts w:ascii="Arial"/>
          <w:color w:val="FFFFFF"/>
          <w:w w:val="71"/>
          <w:sz w:val="44"/>
        </w:rPr>
      </w:r>
      <w:r>
        <w:rPr>
          <w:rFonts w:ascii="Arial"/>
          <w:color w:val="FFFFFF"/>
          <w:spacing w:val="6"/>
          <w:w w:val="90"/>
          <w:sz w:val="44"/>
          <w:shd w:fill="232323" w:color="auto" w:val="clear"/>
        </w:rPr>
        <w:t>3</w:t>
      </w:r>
      <w:r>
        <w:rPr>
          <w:rFonts w:ascii="Arial"/>
          <w:color w:val="FFFFFF"/>
          <w:spacing w:val="6"/>
          <w:w w:val="90"/>
          <w:sz w:val="45"/>
          <w:shd w:fill="232323" w:color="auto" w:val="clear"/>
        </w:rPr>
        <w:t>00002</w:t>
      </w:r>
      <w:r>
        <w:rPr>
          <w:rFonts w:ascii="Arial"/>
          <w:color w:val="FFFFFF"/>
          <w:spacing w:val="6"/>
          <w:w w:val="90"/>
          <w:sz w:val="45"/>
        </w:rPr>
      </w:r>
      <w:r>
        <w:rPr>
          <w:rFonts w:ascii="Arial"/>
          <w:spacing w:val="6"/>
          <w:sz w:val="45"/>
        </w:rPr>
      </w: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3"/>
        <w:rPr>
          <w:rFonts w:ascii="Arial" w:hAnsi="Arial" w:cs="Arial" w:eastAsia="Arial" w:hint="default"/>
          <w:sz w:val="25"/>
          <w:szCs w:val="25"/>
        </w:rPr>
      </w:pPr>
    </w:p>
    <w:p>
      <w:pPr>
        <w:spacing w:line="232" w:lineRule="exact"/>
        <w:ind w:left="777" w:right="0" w:firstLine="0"/>
        <w:rPr>
          <w:rFonts w:ascii="Arial" w:hAnsi="Arial" w:cs="Arial" w:eastAsia="Arial" w:hint="default"/>
          <w:sz w:val="20"/>
          <w:szCs w:val="20"/>
        </w:rPr>
      </w:pPr>
      <w:r>
        <w:rPr>
          <w:rFonts w:ascii="Arial" w:hAnsi="Arial" w:cs="Arial" w:eastAsia="Arial" w:hint="default"/>
          <w:position w:val="-4"/>
          <w:sz w:val="20"/>
          <w:szCs w:val="20"/>
        </w:rPr>
        <w:drawing>
          <wp:inline distT="0" distB="0" distL="0" distR="0">
            <wp:extent cx="55357" cy="147637"/>
            <wp:effectExtent l="0" t="0" r="0" b="0"/>
            <wp:docPr id="15" name="image8.png" descr=""/>
            <wp:cNvGraphicFramePr>
              <a:graphicFrameLocks noChangeAspect="1"/>
            </wp:cNvGraphicFramePr>
            <a:graphic>
              <a:graphicData uri="http://schemas.openxmlformats.org/drawingml/2006/picture">
                <pic:pic>
                  <pic:nvPicPr>
                    <pic:cNvPr id="16" name="image8.png"/>
                    <pic:cNvPicPr/>
                  </pic:nvPicPr>
                  <pic:blipFill>
                    <a:blip r:embed="rId12" cstate="print"/>
                    <a:stretch>
                      <a:fillRect/>
                    </a:stretch>
                  </pic:blipFill>
                  <pic:spPr>
                    <a:xfrm>
                      <a:off x="0" y="0"/>
                      <a:ext cx="55357" cy="147637"/>
                    </a:xfrm>
                    <a:prstGeom prst="rect">
                      <a:avLst/>
                    </a:prstGeom>
                  </pic:spPr>
                </pic:pic>
              </a:graphicData>
            </a:graphic>
          </wp:inline>
        </w:drawing>
      </w:r>
      <w:r>
        <w:rPr>
          <w:rFonts w:ascii="Arial" w:hAnsi="Arial" w:cs="Arial" w:eastAsia="Arial" w:hint="default"/>
          <w:position w:val="-4"/>
          <w:sz w:val="20"/>
          <w:szCs w:val="20"/>
        </w:rPr>
      </w:r>
    </w:p>
    <w:p>
      <w:pPr>
        <w:spacing w:line="240" w:lineRule="auto" w:before="4"/>
        <w:rPr>
          <w:rFonts w:ascii="Arial" w:hAnsi="Arial" w:cs="Arial" w:eastAsia="Arial" w:hint="default"/>
          <w:sz w:val="7"/>
          <w:szCs w:val="7"/>
        </w:rPr>
      </w:pPr>
    </w:p>
    <w:p>
      <w:pPr>
        <w:tabs>
          <w:tab w:pos="11786" w:val="left" w:leader="none"/>
        </w:tabs>
        <w:spacing w:line="191" w:lineRule="exact"/>
        <w:ind w:left="278" w:right="0" w:firstLine="0"/>
        <w:rPr>
          <w:rFonts w:ascii="Arial" w:hAnsi="Arial" w:cs="Arial" w:eastAsia="Arial" w:hint="default"/>
          <w:sz w:val="17"/>
          <w:szCs w:val="17"/>
        </w:rPr>
      </w:pPr>
      <w:r>
        <w:rPr>
          <w:rFonts w:ascii="Arial"/>
          <w:position w:val="-3"/>
          <w:sz w:val="19"/>
        </w:rPr>
        <w:drawing>
          <wp:inline distT="0" distB="0" distL="0" distR="0">
            <wp:extent cx="54600" cy="121348"/>
            <wp:effectExtent l="0" t="0" r="0" b="0"/>
            <wp:docPr id="17" name="image9.png" descr=""/>
            <wp:cNvGraphicFramePr>
              <a:graphicFrameLocks noChangeAspect="1"/>
            </wp:cNvGraphicFramePr>
            <a:graphic>
              <a:graphicData uri="http://schemas.openxmlformats.org/drawingml/2006/picture">
                <pic:pic>
                  <pic:nvPicPr>
                    <pic:cNvPr id="18" name="image9.png"/>
                    <pic:cNvPicPr/>
                  </pic:nvPicPr>
                  <pic:blipFill>
                    <a:blip r:embed="rId13" cstate="print"/>
                    <a:stretch>
                      <a:fillRect/>
                    </a:stretch>
                  </pic:blipFill>
                  <pic:spPr>
                    <a:xfrm>
                      <a:off x="0" y="0"/>
                      <a:ext cx="54600" cy="121348"/>
                    </a:xfrm>
                    <a:prstGeom prst="rect">
                      <a:avLst/>
                    </a:prstGeom>
                  </pic:spPr>
                </pic:pic>
              </a:graphicData>
            </a:graphic>
          </wp:inline>
        </w:drawing>
      </w:r>
      <w:r>
        <w:rPr>
          <w:rFonts w:ascii="Arial"/>
          <w:position w:val="-3"/>
          <w:sz w:val="19"/>
        </w:rPr>
      </w:r>
      <w:r>
        <w:rPr>
          <w:rFonts w:ascii="Arial"/>
          <w:position w:val="-3"/>
          <w:sz w:val="19"/>
        </w:rPr>
        <w:tab/>
      </w:r>
      <w:r>
        <w:rPr>
          <w:rFonts w:ascii="Arial"/>
          <w:position w:val="-2"/>
          <w:sz w:val="17"/>
        </w:rPr>
        <w:drawing>
          <wp:inline distT="0" distB="0" distL="0" distR="0">
            <wp:extent cx="42592" cy="109537"/>
            <wp:effectExtent l="0" t="0" r="0" b="0"/>
            <wp:docPr id="19" name="image10.png" descr=""/>
            <wp:cNvGraphicFramePr>
              <a:graphicFrameLocks noChangeAspect="1"/>
            </wp:cNvGraphicFramePr>
            <a:graphic>
              <a:graphicData uri="http://schemas.openxmlformats.org/drawingml/2006/picture">
                <pic:pic>
                  <pic:nvPicPr>
                    <pic:cNvPr id="20" name="image10.png"/>
                    <pic:cNvPicPr/>
                  </pic:nvPicPr>
                  <pic:blipFill>
                    <a:blip r:embed="rId14" cstate="print"/>
                    <a:stretch>
                      <a:fillRect/>
                    </a:stretch>
                  </pic:blipFill>
                  <pic:spPr>
                    <a:xfrm>
                      <a:off x="0" y="0"/>
                      <a:ext cx="42592" cy="109537"/>
                    </a:xfrm>
                    <a:prstGeom prst="rect">
                      <a:avLst/>
                    </a:prstGeom>
                  </pic:spPr>
                </pic:pic>
              </a:graphicData>
            </a:graphic>
          </wp:inline>
        </w:drawing>
      </w:r>
      <w:r>
        <w:rPr>
          <w:rFonts w:ascii="Arial"/>
          <w:position w:val="-2"/>
          <w:sz w:val="17"/>
        </w:rPr>
      </w:r>
    </w:p>
    <w:p>
      <w:pPr>
        <w:spacing w:line="240" w:lineRule="auto" w:before="0"/>
        <w:rPr>
          <w:rFonts w:ascii="Arial" w:hAnsi="Arial" w:cs="Arial" w:eastAsia="Arial" w:hint="default"/>
          <w:sz w:val="3"/>
          <w:szCs w:val="3"/>
        </w:rPr>
      </w:pPr>
    </w:p>
    <w:p>
      <w:pPr>
        <w:spacing w:line="48" w:lineRule="exact"/>
        <w:ind w:left="580" w:right="0" w:firstLine="0"/>
        <w:rPr>
          <w:rFonts w:ascii="Arial" w:hAnsi="Arial" w:cs="Arial" w:eastAsia="Arial" w:hint="default"/>
          <w:sz w:val="4"/>
          <w:szCs w:val="4"/>
        </w:rPr>
      </w:pPr>
      <w:r>
        <w:rPr>
          <w:rFonts w:ascii="Arial" w:hAnsi="Arial" w:cs="Arial" w:eastAsia="Arial" w:hint="default"/>
          <w:position w:val="0"/>
          <w:sz w:val="4"/>
          <w:szCs w:val="4"/>
        </w:rPr>
        <w:drawing>
          <wp:inline distT="0" distB="0" distL="0" distR="0">
            <wp:extent cx="61334" cy="30670"/>
            <wp:effectExtent l="0" t="0" r="0" b="0"/>
            <wp:docPr id="21" name="image11.png" descr=""/>
            <wp:cNvGraphicFramePr>
              <a:graphicFrameLocks noChangeAspect="1"/>
            </wp:cNvGraphicFramePr>
            <a:graphic>
              <a:graphicData uri="http://schemas.openxmlformats.org/drawingml/2006/picture">
                <pic:pic>
                  <pic:nvPicPr>
                    <pic:cNvPr id="22" name="image11.png"/>
                    <pic:cNvPicPr/>
                  </pic:nvPicPr>
                  <pic:blipFill>
                    <a:blip r:embed="rId15" cstate="print"/>
                    <a:stretch>
                      <a:fillRect/>
                    </a:stretch>
                  </pic:blipFill>
                  <pic:spPr>
                    <a:xfrm>
                      <a:off x="0" y="0"/>
                      <a:ext cx="61334" cy="30670"/>
                    </a:xfrm>
                    <a:prstGeom prst="rect">
                      <a:avLst/>
                    </a:prstGeom>
                  </pic:spPr>
                </pic:pic>
              </a:graphicData>
            </a:graphic>
          </wp:inline>
        </w:drawing>
      </w:r>
      <w:r>
        <w:rPr>
          <w:rFonts w:ascii="Arial" w:hAnsi="Arial" w:cs="Arial" w:eastAsia="Arial" w:hint="default"/>
          <w:position w:val="0"/>
          <w:sz w:val="4"/>
          <w:szCs w:val="4"/>
        </w:rPr>
      </w:r>
    </w:p>
    <w:p>
      <w:pPr>
        <w:spacing w:line="240" w:lineRule="auto" w:before="2"/>
        <w:rPr>
          <w:rFonts w:ascii="Arial" w:hAnsi="Arial" w:cs="Arial" w:eastAsia="Arial" w:hint="default"/>
          <w:sz w:val="19"/>
          <w:szCs w:val="19"/>
        </w:rPr>
      </w:pPr>
    </w:p>
    <w:p>
      <w:pPr>
        <w:tabs>
          <w:tab w:pos="1295" w:val="left" w:leader="none"/>
        </w:tabs>
        <w:spacing w:line="57" w:lineRule="exact"/>
        <w:ind w:left="374" w:right="0" w:firstLine="0"/>
        <w:rPr>
          <w:rFonts w:ascii="Arial" w:hAnsi="Arial" w:cs="Arial" w:eastAsia="Arial" w:hint="default"/>
          <w:sz w:val="5"/>
          <w:szCs w:val="5"/>
        </w:rPr>
      </w:pPr>
      <w:r>
        <w:rPr>
          <w:rFonts w:ascii="Arial"/>
          <w:position w:val="1"/>
          <w:sz w:val="3"/>
        </w:rPr>
        <w:drawing>
          <wp:inline distT="0" distB="0" distL="0" distR="0">
            <wp:extent cx="60714" cy="24288"/>
            <wp:effectExtent l="0" t="0" r="0" b="0"/>
            <wp:docPr id="23" name="image12.png" descr=""/>
            <wp:cNvGraphicFramePr>
              <a:graphicFrameLocks noChangeAspect="1"/>
            </wp:cNvGraphicFramePr>
            <a:graphic>
              <a:graphicData uri="http://schemas.openxmlformats.org/drawingml/2006/picture">
                <pic:pic>
                  <pic:nvPicPr>
                    <pic:cNvPr id="24" name="image12.png"/>
                    <pic:cNvPicPr/>
                  </pic:nvPicPr>
                  <pic:blipFill>
                    <a:blip r:embed="rId16" cstate="print"/>
                    <a:stretch>
                      <a:fillRect/>
                    </a:stretch>
                  </pic:blipFill>
                  <pic:spPr>
                    <a:xfrm>
                      <a:off x="0" y="0"/>
                      <a:ext cx="60714" cy="24288"/>
                    </a:xfrm>
                    <a:prstGeom prst="rect">
                      <a:avLst/>
                    </a:prstGeom>
                  </pic:spPr>
                </pic:pic>
              </a:graphicData>
            </a:graphic>
          </wp:inline>
        </w:drawing>
      </w:r>
      <w:r>
        <w:rPr>
          <w:rFonts w:ascii="Arial"/>
          <w:position w:val="1"/>
          <w:sz w:val="3"/>
        </w:rPr>
      </w:r>
      <w:r>
        <w:rPr>
          <w:rFonts w:ascii="Arial"/>
          <w:position w:val="1"/>
          <w:sz w:val="3"/>
        </w:rPr>
        <w:tab/>
      </w:r>
      <w:r>
        <w:rPr>
          <w:rFonts w:ascii="Arial"/>
          <w:position w:val="0"/>
          <w:sz w:val="5"/>
        </w:rPr>
        <w:drawing>
          <wp:inline distT="0" distB="0" distL="0" distR="0">
            <wp:extent cx="67049" cy="36575"/>
            <wp:effectExtent l="0" t="0" r="0" b="0"/>
            <wp:docPr id="25" name="image13.png" descr=""/>
            <wp:cNvGraphicFramePr>
              <a:graphicFrameLocks noChangeAspect="1"/>
            </wp:cNvGraphicFramePr>
            <a:graphic>
              <a:graphicData uri="http://schemas.openxmlformats.org/drawingml/2006/picture">
                <pic:pic>
                  <pic:nvPicPr>
                    <pic:cNvPr id="26" name="image13.png"/>
                    <pic:cNvPicPr/>
                  </pic:nvPicPr>
                  <pic:blipFill>
                    <a:blip r:embed="rId17" cstate="print"/>
                    <a:stretch>
                      <a:fillRect/>
                    </a:stretch>
                  </pic:blipFill>
                  <pic:spPr>
                    <a:xfrm>
                      <a:off x="0" y="0"/>
                      <a:ext cx="67049" cy="36575"/>
                    </a:xfrm>
                    <a:prstGeom prst="rect">
                      <a:avLst/>
                    </a:prstGeom>
                  </pic:spPr>
                </pic:pic>
              </a:graphicData>
            </a:graphic>
          </wp:inline>
        </w:drawing>
      </w:r>
      <w:r>
        <w:rPr>
          <w:rFonts w:ascii="Arial"/>
          <w:position w:val="0"/>
          <w:sz w:val="5"/>
        </w:rPr>
      </w:r>
    </w:p>
    <w:p>
      <w:pPr>
        <w:spacing w:line="240" w:lineRule="auto" w:before="1"/>
        <w:rPr>
          <w:rFonts w:ascii="Arial" w:hAnsi="Arial" w:cs="Arial" w:eastAsia="Arial" w:hint="default"/>
          <w:sz w:val="5"/>
          <w:szCs w:val="5"/>
        </w:rPr>
      </w:pPr>
    </w:p>
    <w:p>
      <w:pPr>
        <w:tabs>
          <w:tab w:pos="911" w:val="left" w:leader="none"/>
        </w:tabs>
        <w:spacing w:line="161" w:lineRule="exact"/>
        <w:ind w:left="484" w:right="0" w:firstLine="0"/>
        <w:rPr>
          <w:rFonts w:ascii="Arial" w:hAnsi="Arial" w:cs="Arial" w:eastAsia="Arial" w:hint="default"/>
          <w:sz w:val="16"/>
          <w:szCs w:val="16"/>
        </w:rPr>
      </w:pPr>
      <w:r>
        <w:rPr>
          <w:rFonts w:ascii="Arial"/>
          <w:sz w:val="8"/>
        </w:rPr>
        <w:drawing>
          <wp:inline distT="0" distB="0" distL="0" distR="0">
            <wp:extent cx="115811" cy="54863"/>
            <wp:effectExtent l="0" t="0" r="0" b="0"/>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18" cstate="print"/>
                    <a:stretch>
                      <a:fillRect/>
                    </a:stretch>
                  </pic:blipFill>
                  <pic:spPr>
                    <a:xfrm>
                      <a:off x="0" y="0"/>
                      <a:ext cx="115811" cy="54863"/>
                    </a:xfrm>
                    <a:prstGeom prst="rect">
                      <a:avLst/>
                    </a:prstGeom>
                  </pic:spPr>
                </pic:pic>
              </a:graphicData>
            </a:graphic>
          </wp:inline>
        </w:drawing>
      </w:r>
      <w:r>
        <w:rPr>
          <w:rFonts w:ascii="Arial"/>
          <w:sz w:val="8"/>
        </w:rPr>
      </w:r>
      <w:r>
        <w:rPr>
          <w:rFonts w:ascii="Arial"/>
          <w:sz w:val="8"/>
        </w:rPr>
        <w:tab/>
      </w:r>
      <w:r>
        <w:rPr>
          <w:rFonts w:ascii="Arial"/>
          <w:position w:val="-2"/>
          <w:sz w:val="16"/>
        </w:rPr>
        <w:drawing>
          <wp:inline distT="0" distB="0" distL="0" distR="0">
            <wp:extent cx="48314" cy="102679"/>
            <wp:effectExtent l="0" t="0" r="0" b="0"/>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19" cstate="print"/>
                    <a:stretch>
                      <a:fillRect/>
                    </a:stretch>
                  </pic:blipFill>
                  <pic:spPr>
                    <a:xfrm>
                      <a:off x="0" y="0"/>
                      <a:ext cx="48314" cy="102679"/>
                    </a:xfrm>
                    <a:prstGeom prst="rect">
                      <a:avLst/>
                    </a:prstGeom>
                  </pic:spPr>
                </pic:pic>
              </a:graphicData>
            </a:graphic>
          </wp:inline>
        </w:drawing>
      </w:r>
      <w:r>
        <w:rPr>
          <w:rFonts w:ascii="Arial"/>
          <w:position w:val="-2"/>
          <w:sz w:val="16"/>
        </w:rPr>
      </w: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2"/>
        <w:rPr>
          <w:rFonts w:ascii="Arial" w:hAnsi="Arial" w:cs="Arial" w:eastAsia="Arial" w:hint="default"/>
          <w:sz w:val="26"/>
          <w:szCs w:val="26"/>
        </w:rPr>
      </w:pPr>
    </w:p>
    <w:p>
      <w:pPr>
        <w:spacing w:line="67" w:lineRule="exact"/>
        <w:ind w:left="1271" w:right="0" w:firstLine="0"/>
        <w:rPr>
          <w:rFonts w:ascii="Arial" w:hAnsi="Arial" w:cs="Arial" w:eastAsia="Arial" w:hint="default"/>
          <w:sz w:val="6"/>
          <w:szCs w:val="6"/>
        </w:rPr>
      </w:pPr>
      <w:r>
        <w:rPr>
          <w:rFonts w:ascii="Arial" w:hAnsi="Arial" w:cs="Arial" w:eastAsia="Arial" w:hint="default"/>
          <w:position w:val="0"/>
          <w:sz w:val="6"/>
          <w:szCs w:val="6"/>
        </w:rPr>
        <w:drawing>
          <wp:inline distT="0" distB="0" distL="0" distR="0">
            <wp:extent cx="91838" cy="42862"/>
            <wp:effectExtent l="0" t="0" r="0" b="0"/>
            <wp:docPr id="31" name="image16.png" descr=""/>
            <wp:cNvGraphicFramePr>
              <a:graphicFrameLocks noChangeAspect="1"/>
            </wp:cNvGraphicFramePr>
            <a:graphic>
              <a:graphicData uri="http://schemas.openxmlformats.org/drawingml/2006/picture">
                <pic:pic>
                  <pic:nvPicPr>
                    <pic:cNvPr id="32" name="image16.png"/>
                    <pic:cNvPicPr/>
                  </pic:nvPicPr>
                  <pic:blipFill>
                    <a:blip r:embed="rId20" cstate="print"/>
                    <a:stretch>
                      <a:fillRect/>
                    </a:stretch>
                  </pic:blipFill>
                  <pic:spPr>
                    <a:xfrm>
                      <a:off x="0" y="0"/>
                      <a:ext cx="91838" cy="42862"/>
                    </a:xfrm>
                    <a:prstGeom prst="rect">
                      <a:avLst/>
                    </a:prstGeom>
                  </pic:spPr>
                </pic:pic>
              </a:graphicData>
            </a:graphic>
          </wp:inline>
        </w:drawing>
      </w:r>
      <w:r>
        <w:rPr>
          <w:rFonts w:ascii="Arial" w:hAnsi="Arial" w:cs="Arial" w:eastAsia="Arial" w:hint="default"/>
          <w:position w:val="0"/>
          <w:sz w:val="6"/>
          <w:szCs w:val="6"/>
        </w:rPr>
      </w:r>
    </w:p>
    <w:p>
      <w:pPr>
        <w:spacing w:line="240" w:lineRule="auto" w:before="2"/>
        <w:rPr>
          <w:rFonts w:ascii="Arial" w:hAnsi="Arial" w:cs="Arial" w:eastAsia="Arial" w:hint="default"/>
          <w:sz w:val="14"/>
          <w:szCs w:val="14"/>
        </w:rPr>
      </w:pPr>
    </w:p>
    <w:p>
      <w:pPr>
        <w:tabs>
          <w:tab w:pos="681" w:val="left" w:leader="none"/>
          <w:tab w:pos="1650" w:val="left" w:leader="none"/>
          <w:tab w:pos="1900" w:val="left" w:leader="none"/>
          <w:tab w:pos="2793" w:val="left" w:leader="none"/>
          <w:tab w:pos="3157" w:val="left" w:leader="none"/>
        </w:tabs>
        <w:spacing w:line="902" w:lineRule="exact"/>
        <w:ind w:left="19" w:right="0" w:firstLine="0"/>
        <w:rPr>
          <w:rFonts w:ascii="Arial" w:hAnsi="Arial" w:cs="Arial" w:eastAsia="Arial" w:hint="default"/>
          <w:sz w:val="20"/>
          <w:szCs w:val="20"/>
        </w:rPr>
      </w:pPr>
      <w:r>
        <w:rPr>
          <w:rFonts w:ascii="Arial"/>
          <w:position w:val="37"/>
          <w:sz w:val="20"/>
        </w:rPr>
        <w:drawing>
          <wp:inline distT="0" distB="0" distL="0" distR="0">
            <wp:extent cx="48389" cy="223837"/>
            <wp:effectExtent l="0" t="0" r="0" b="0"/>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21" cstate="print"/>
                    <a:stretch>
                      <a:fillRect/>
                    </a:stretch>
                  </pic:blipFill>
                  <pic:spPr>
                    <a:xfrm>
                      <a:off x="0" y="0"/>
                      <a:ext cx="48389" cy="223837"/>
                    </a:xfrm>
                    <a:prstGeom prst="rect">
                      <a:avLst/>
                    </a:prstGeom>
                  </pic:spPr>
                </pic:pic>
              </a:graphicData>
            </a:graphic>
          </wp:inline>
        </w:drawing>
      </w:r>
      <w:r>
        <w:rPr>
          <w:rFonts w:ascii="Arial"/>
          <w:position w:val="37"/>
          <w:sz w:val="20"/>
        </w:rPr>
      </w:r>
      <w:r>
        <w:rPr>
          <w:rFonts w:ascii="Arial"/>
          <w:position w:val="37"/>
          <w:sz w:val="20"/>
        </w:rPr>
        <w:tab/>
      </w:r>
      <w:r>
        <w:rPr>
          <w:rFonts w:ascii="Arial"/>
          <w:position w:val="-13"/>
          <w:sz w:val="20"/>
        </w:rPr>
        <w:drawing>
          <wp:inline distT="0" distB="0" distL="0" distR="0">
            <wp:extent cx="54759" cy="328612"/>
            <wp:effectExtent l="0" t="0" r="0" b="0"/>
            <wp:docPr id="35" name="image18.png" descr=""/>
            <wp:cNvGraphicFramePr>
              <a:graphicFrameLocks noChangeAspect="1"/>
            </wp:cNvGraphicFramePr>
            <a:graphic>
              <a:graphicData uri="http://schemas.openxmlformats.org/drawingml/2006/picture">
                <pic:pic>
                  <pic:nvPicPr>
                    <pic:cNvPr id="36" name="image18.png"/>
                    <pic:cNvPicPr/>
                  </pic:nvPicPr>
                  <pic:blipFill>
                    <a:blip r:embed="rId22" cstate="print"/>
                    <a:stretch>
                      <a:fillRect/>
                    </a:stretch>
                  </pic:blipFill>
                  <pic:spPr>
                    <a:xfrm>
                      <a:off x="0" y="0"/>
                      <a:ext cx="54759" cy="328612"/>
                    </a:xfrm>
                    <a:prstGeom prst="rect">
                      <a:avLst/>
                    </a:prstGeom>
                  </pic:spPr>
                </pic:pic>
              </a:graphicData>
            </a:graphic>
          </wp:inline>
        </w:drawing>
      </w:r>
      <w:r>
        <w:rPr>
          <w:rFonts w:ascii="Arial"/>
          <w:position w:val="-13"/>
          <w:sz w:val="20"/>
        </w:rPr>
      </w:r>
      <w:r>
        <w:rPr>
          <w:rFonts w:ascii="Times New Roman"/>
          <w:spacing w:val="26"/>
          <w:position w:val="-13"/>
          <w:sz w:val="20"/>
        </w:rPr>
        <w:t> </w:t>
      </w:r>
      <w:r>
        <w:rPr>
          <w:rFonts w:ascii="Arial"/>
          <w:spacing w:val="26"/>
          <w:position w:val="-11"/>
          <w:sz w:val="20"/>
        </w:rPr>
        <w:pict>
          <v:group style="width:21.6pt;height:41.3pt;mso-position-horizontal-relative:char;mso-position-vertical-relative:line" coordorigin="0,0" coordsize="432,826">
            <v:group style="position:absolute;left:10;top:19;width:116;height:279" coordorigin="10,19" coordsize="116,279">
              <v:shape style="position:absolute;left:10;top:19;width:116;height:279" coordorigin="10,19" coordsize="116,279" path="m10,19l125,19,125,298,10,298,10,19xe" filled="true" fillcolor="#232323" stroked="false">
                <v:path arrowok="t"/>
                <v:fill type="solid"/>
              </v:shape>
              <v:shape style="position:absolute;left:0;top:336;width:58;height:490" type="#_x0000_t75" stroked="false">
                <v:imagedata r:id="rId23" o:title=""/>
              </v:shape>
              <v:shape style="position:absolute;left:10;top:0;width:173;height:317" type="#_x0000_t75" stroked="false">
                <v:imagedata r:id="rId24" o:title=""/>
              </v:shape>
              <v:shape style="position:absolute;left:240;top:341;width:48;height:480" type="#_x0000_t75" stroked="false">
                <v:imagedata r:id="rId25" o:title=""/>
              </v:shape>
              <v:shape style="position:absolute;left:336;top:19;width:96;height:278" type="#_x0000_t75" stroked="false">
                <v:imagedata r:id="rId26" o:title=""/>
              </v:shape>
            </v:group>
          </v:group>
        </w:pict>
      </w:r>
      <w:r>
        <w:rPr>
          <w:rFonts w:ascii="Arial"/>
          <w:spacing w:val="26"/>
          <w:position w:val="-11"/>
          <w:sz w:val="20"/>
        </w:rPr>
      </w:r>
      <w:r>
        <w:rPr>
          <w:rFonts w:ascii="Arial"/>
          <w:spacing w:val="26"/>
          <w:position w:val="-11"/>
          <w:sz w:val="20"/>
        </w:rPr>
        <w:tab/>
      </w:r>
      <w:r>
        <w:rPr>
          <w:rFonts w:ascii="Arial"/>
          <w:spacing w:val="26"/>
          <w:position w:val="-10"/>
          <w:sz w:val="20"/>
        </w:rPr>
        <w:drawing>
          <wp:inline distT="0" distB="0" distL="0" distR="0">
            <wp:extent cx="18451" cy="295275"/>
            <wp:effectExtent l="0" t="0" r="0" b="0"/>
            <wp:docPr id="37" name="image23.png" descr=""/>
            <wp:cNvGraphicFramePr>
              <a:graphicFrameLocks noChangeAspect="1"/>
            </wp:cNvGraphicFramePr>
            <a:graphic>
              <a:graphicData uri="http://schemas.openxmlformats.org/drawingml/2006/picture">
                <pic:pic>
                  <pic:nvPicPr>
                    <pic:cNvPr id="38" name="image23.png"/>
                    <pic:cNvPicPr/>
                  </pic:nvPicPr>
                  <pic:blipFill>
                    <a:blip r:embed="rId27" cstate="print"/>
                    <a:stretch>
                      <a:fillRect/>
                    </a:stretch>
                  </pic:blipFill>
                  <pic:spPr>
                    <a:xfrm>
                      <a:off x="0" y="0"/>
                      <a:ext cx="18451" cy="295275"/>
                    </a:xfrm>
                    <a:prstGeom prst="rect">
                      <a:avLst/>
                    </a:prstGeom>
                  </pic:spPr>
                </pic:pic>
              </a:graphicData>
            </a:graphic>
          </wp:inline>
        </w:drawing>
      </w:r>
      <w:r>
        <w:rPr>
          <w:rFonts w:ascii="Arial"/>
          <w:spacing w:val="26"/>
          <w:position w:val="-10"/>
          <w:sz w:val="20"/>
        </w:rPr>
      </w:r>
      <w:r>
        <w:rPr>
          <w:rFonts w:ascii="Arial"/>
          <w:spacing w:val="26"/>
          <w:position w:val="-10"/>
          <w:sz w:val="20"/>
        </w:rPr>
        <w:tab/>
      </w:r>
      <w:r>
        <w:rPr>
          <w:rFonts w:ascii="Arial"/>
          <w:spacing w:val="26"/>
          <w:position w:val="-17"/>
          <w:sz w:val="20"/>
        </w:rPr>
        <w:pict>
          <v:group style="width:11.3pt;height:44.4pt;mso-position-horizontal-relative:char;mso-position-vertical-relative:line" coordorigin="0,0" coordsize="226,888">
            <v:shape style="position:absolute;left:10;top:0;width:48;height:326" type="#_x0000_t75" stroked="false">
              <v:imagedata r:id="rId28" o:title=""/>
            </v:shape>
            <v:shape style="position:absolute;left:0;top:336;width:67;height:499" type="#_x0000_t75" stroked="false">
              <v:imagedata r:id="rId29" o:title=""/>
            </v:shape>
            <v:shape style="position:absolute;left:130;top:840;width:96;height:48" type="#_x0000_t75" stroked="false">
              <v:imagedata r:id="rId30" o:title=""/>
            </v:shape>
          </v:group>
        </w:pict>
      </w:r>
      <w:r>
        <w:rPr>
          <w:rFonts w:ascii="Arial"/>
          <w:spacing w:val="26"/>
          <w:position w:val="-17"/>
          <w:sz w:val="20"/>
        </w:rPr>
      </w:r>
      <w:r>
        <w:rPr>
          <w:rFonts w:ascii="Arial"/>
          <w:spacing w:val="26"/>
          <w:position w:val="-17"/>
          <w:sz w:val="20"/>
        </w:rPr>
        <w:tab/>
      </w:r>
      <w:r>
        <w:rPr>
          <w:rFonts w:ascii="Arial"/>
          <w:spacing w:val="26"/>
          <w:position w:val="-11"/>
          <w:sz w:val="20"/>
        </w:rPr>
        <w:drawing>
          <wp:inline distT="0" distB="0" distL="0" distR="0">
            <wp:extent cx="24581" cy="301180"/>
            <wp:effectExtent l="0" t="0" r="0" b="0"/>
            <wp:docPr id="39" name="image27.png" descr=""/>
            <wp:cNvGraphicFramePr>
              <a:graphicFrameLocks noChangeAspect="1"/>
            </wp:cNvGraphicFramePr>
            <a:graphic>
              <a:graphicData uri="http://schemas.openxmlformats.org/drawingml/2006/picture">
                <pic:pic>
                  <pic:nvPicPr>
                    <pic:cNvPr id="40" name="image27.png"/>
                    <pic:cNvPicPr/>
                  </pic:nvPicPr>
                  <pic:blipFill>
                    <a:blip r:embed="rId31" cstate="print"/>
                    <a:stretch>
                      <a:fillRect/>
                    </a:stretch>
                  </pic:blipFill>
                  <pic:spPr>
                    <a:xfrm>
                      <a:off x="0" y="0"/>
                      <a:ext cx="24581" cy="301180"/>
                    </a:xfrm>
                    <a:prstGeom prst="rect">
                      <a:avLst/>
                    </a:prstGeom>
                  </pic:spPr>
                </pic:pic>
              </a:graphicData>
            </a:graphic>
          </wp:inline>
        </w:drawing>
      </w:r>
      <w:r>
        <w:rPr>
          <w:rFonts w:ascii="Arial"/>
          <w:spacing w:val="26"/>
          <w:position w:val="-11"/>
          <w:sz w:val="20"/>
        </w:rPr>
      </w:r>
      <w:r>
        <w:rPr>
          <w:rFonts w:ascii="Arial"/>
          <w:spacing w:val="26"/>
          <w:position w:val="-11"/>
          <w:sz w:val="20"/>
        </w:rPr>
        <w:tab/>
      </w:r>
      <w:r>
        <w:rPr>
          <w:rFonts w:ascii="Arial"/>
          <w:spacing w:val="26"/>
          <w:position w:val="-11"/>
          <w:sz w:val="20"/>
        </w:rPr>
        <w:drawing>
          <wp:inline distT="0" distB="0" distL="0" distR="0">
            <wp:extent cx="42305" cy="314325"/>
            <wp:effectExtent l="0" t="0" r="0" b="0"/>
            <wp:docPr id="41" name="image28.png" descr=""/>
            <wp:cNvGraphicFramePr>
              <a:graphicFrameLocks noChangeAspect="1"/>
            </wp:cNvGraphicFramePr>
            <a:graphic>
              <a:graphicData uri="http://schemas.openxmlformats.org/drawingml/2006/picture">
                <pic:pic>
                  <pic:nvPicPr>
                    <pic:cNvPr id="42" name="image28.png"/>
                    <pic:cNvPicPr/>
                  </pic:nvPicPr>
                  <pic:blipFill>
                    <a:blip r:embed="rId32" cstate="print"/>
                    <a:stretch>
                      <a:fillRect/>
                    </a:stretch>
                  </pic:blipFill>
                  <pic:spPr>
                    <a:xfrm>
                      <a:off x="0" y="0"/>
                      <a:ext cx="42305" cy="314325"/>
                    </a:xfrm>
                    <a:prstGeom prst="rect">
                      <a:avLst/>
                    </a:prstGeom>
                  </pic:spPr>
                </pic:pic>
              </a:graphicData>
            </a:graphic>
          </wp:inline>
        </w:drawing>
      </w:r>
      <w:r>
        <w:rPr>
          <w:rFonts w:ascii="Arial"/>
          <w:spacing w:val="26"/>
          <w:position w:val="-11"/>
          <w:sz w:val="20"/>
        </w:rPr>
      </w:r>
    </w:p>
    <w:p>
      <w:pPr>
        <w:spacing w:line="240" w:lineRule="auto" w:before="0"/>
        <w:rPr>
          <w:rFonts w:ascii="Arial" w:hAnsi="Arial" w:cs="Arial" w:eastAsia="Arial" w:hint="default"/>
          <w:sz w:val="20"/>
          <w:szCs w:val="20"/>
        </w:rPr>
      </w:pPr>
    </w:p>
    <w:p>
      <w:pPr>
        <w:spacing w:line="240" w:lineRule="auto" w:before="7"/>
        <w:rPr>
          <w:rFonts w:ascii="Arial" w:hAnsi="Arial" w:cs="Arial" w:eastAsia="Arial" w:hint="default"/>
          <w:sz w:val="12"/>
          <w:szCs w:val="12"/>
        </w:rPr>
      </w:pPr>
    </w:p>
    <w:p>
      <w:pPr>
        <w:spacing w:line="57" w:lineRule="exact"/>
        <w:ind w:left="911" w:right="0" w:firstLine="0"/>
        <w:rPr>
          <w:rFonts w:ascii="Arial" w:hAnsi="Arial" w:cs="Arial" w:eastAsia="Arial" w:hint="default"/>
          <w:sz w:val="5"/>
          <w:szCs w:val="5"/>
        </w:rPr>
      </w:pPr>
      <w:r>
        <w:rPr>
          <w:rFonts w:ascii="Arial" w:hAnsi="Arial" w:cs="Arial" w:eastAsia="Arial" w:hint="default"/>
          <w:position w:val="0"/>
          <w:sz w:val="5"/>
          <w:szCs w:val="5"/>
        </w:rPr>
        <w:drawing>
          <wp:inline distT="0" distB="0" distL="0" distR="0">
            <wp:extent cx="67049" cy="36575"/>
            <wp:effectExtent l="0" t="0" r="0" b="0"/>
            <wp:docPr id="43" name="image29.png" descr=""/>
            <wp:cNvGraphicFramePr>
              <a:graphicFrameLocks noChangeAspect="1"/>
            </wp:cNvGraphicFramePr>
            <a:graphic>
              <a:graphicData uri="http://schemas.openxmlformats.org/drawingml/2006/picture">
                <pic:pic>
                  <pic:nvPicPr>
                    <pic:cNvPr id="44" name="image29.png"/>
                    <pic:cNvPicPr/>
                  </pic:nvPicPr>
                  <pic:blipFill>
                    <a:blip r:embed="rId33" cstate="print"/>
                    <a:stretch>
                      <a:fillRect/>
                    </a:stretch>
                  </pic:blipFill>
                  <pic:spPr>
                    <a:xfrm>
                      <a:off x="0" y="0"/>
                      <a:ext cx="67049" cy="36575"/>
                    </a:xfrm>
                    <a:prstGeom prst="rect">
                      <a:avLst/>
                    </a:prstGeom>
                  </pic:spPr>
                </pic:pic>
              </a:graphicData>
            </a:graphic>
          </wp:inline>
        </w:drawing>
      </w:r>
      <w:r>
        <w:rPr>
          <w:rFonts w:ascii="Arial" w:hAnsi="Arial" w:cs="Arial" w:eastAsia="Arial" w:hint="default"/>
          <w:position w:val="0"/>
          <w:sz w:val="5"/>
          <w:szCs w:val="5"/>
        </w:rPr>
      </w: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0"/>
        <w:rPr>
          <w:rFonts w:ascii="Arial" w:hAnsi="Arial" w:cs="Arial" w:eastAsia="Arial" w:hint="default"/>
          <w:sz w:val="20"/>
          <w:szCs w:val="20"/>
        </w:rPr>
      </w:pPr>
    </w:p>
    <w:p>
      <w:pPr>
        <w:spacing w:line="240" w:lineRule="auto" w:before="5"/>
        <w:rPr>
          <w:rFonts w:ascii="Arial" w:hAnsi="Arial" w:cs="Arial" w:eastAsia="Arial" w:hint="default"/>
          <w:sz w:val="21"/>
          <w:szCs w:val="21"/>
        </w:rPr>
      </w:pPr>
    </w:p>
    <w:p>
      <w:pPr>
        <w:spacing w:line="374" w:lineRule="exact"/>
        <w:ind w:left="3676" w:right="0" w:firstLine="0"/>
        <w:rPr>
          <w:rFonts w:ascii="Arial" w:hAnsi="Arial" w:cs="Arial" w:eastAsia="Arial" w:hint="default"/>
          <w:sz w:val="20"/>
          <w:szCs w:val="20"/>
        </w:rPr>
      </w:pPr>
      <w:r>
        <w:rPr>
          <w:rFonts w:ascii="Arial" w:hAnsi="Arial" w:cs="Arial" w:eastAsia="Arial" w:hint="default"/>
          <w:position w:val="-6"/>
          <w:sz w:val="20"/>
          <w:szCs w:val="20"/>
        </w:rPr>
        <w:pict>
          <v:group style="width:254.85pt;height:18.75pt;mso-position-horizontal-relative:char;mso-position-vertical-relative:line" coordorigin="0,0" coordsize="5097,375">
            <v:shape style="position:absolute;left:0;top:0;width:154;height:374" type="#_x0000_t75" stroked="false">
              <v:imagedata r:id="rId34" o:title=""/>
            </v:shape>
            <v:shape style="position:absolute;left:202;top:0;width:4895;height:374" type="#_x0000_t75" stroked="false">
              <v:imagedata r:id="rId35" o:title=""/>
            </v:shape>
          </v:group>
        </w:pict>
      </w:r>
      <w:r>
        <w:rPr>
          <w:rFonts w:ascii="Arial" w:hAnsi="Arial" w:cs="Arial" w:eastAsia="Arial" w:hint="default"/>
          <w:position w:val="-6"/>
          <w:sz w:val="20"/>
          <w:szCs w:val="20"/>
        </w:rPr>
      </w:r>
    </w:p>
    <w:p>
      <w:pPr>
        <w:tabs>
          <w:tab w:pos="1288" w:val="left" w:leader="none"/>
        </w:tabs>
        <w:spacing w:before="44"/>
        <w:ind w:left="650" w:right="0" w:firstLine="0"/>
        <w:jc w:val="center"/>
        <w:rPr>
          <w:rFonts w:ascii="Arial" w:hAnsi="Arial" w:cs="Arial" w:eastAsia="Arial" w:hint="default"/>
          <w:sz w:val="45"/>
          <w:szCs w:val="45"/>
        </w:rPr>
      </w:pPr>
      <w:r>
        <w:rPr/>
        <w:pict>
          <v:shape style="position:absolute;margin-left:535.092224pt;margin-top:8.664732pt;width:60.227807pt;height:30.72pt;mso-position-horizontal-relative:page;mso-position-vertical-relative:paragraph;z-index:1096" type="#_x0000_t75" stroked="false">
            <v:imagedata r:id="rId36" o:title=""/>
          </v:shape>
        </w:pict>
      </w:r>
      <w:r>
        <w:rPr/>
        <w:pict>
          <v:shape style="position:absolute;margin-left:301.379211pt;margin-top:8.664732pt;width:6.238742pt;height:30.720004pt;mso-position-horizontal-relative:page;mso-position-vertical-relative:paragraph;z-index:-1078384" type="#_x0000_t75" stroked="false">
            <v:imagedata r:id="rId37" o:title=""/>
          </v:shape>
        </w:pict>
      </w:r>
      <w:r>
        <w:rPr>
          <w:rFonts w:ascii="Consolas"/>
          <w:color w:val="FFFFFF"/>
          <w:w w:val="83"/>
          <w:sz w:val="44"/>
        </w:rPr>
      </w:r>
      <w:r>
        <w:rPr>
          <w:rFonts w:ascii="Consolas"/>
          <w:color w:val="FFFFFF"/>
          <w:spacing w:val="4"/>
          <w:w w:val="80"/>
          <w:sz w:val="44"/>
          <w:shd w:fill="232323" w:color="auto" w:val="clear"/>
        </w:rPr>
        <w:t>2</w:t>
      </w:r>
      <w:r>
        <w:rPr>
          <w:rFonts w:ascii="Arial"/>
          <w:color w:val="FFFFFF"/>
          <w:spacing w:val="4"/>
          <w:w w:val="80"/>
          <w:sz w:val="44"/>
          <w:shd w:fill="232323" w:color="auto" w:val="clear"/>
        </w:rPr>
        <w:t>0</w:t>
      </w:r>
      <w:r>
        <w:rPr>
          <w:rFonts w:ascii="Arial"/>
          <w:color w:val="FFFFFF"/>
          <w:spacing w:val="4"/>
          <w:w w:val="80"/>
          <w:sz w:val="44"/>
        </w:rPr>
        <w:tab/>
      </w:r>
      <w:r>
        <w:rPr>
          <w:rFonts w:ascii="Arial"/>
          <w:color w:val="FFFFFF"/>
          <w:w w:val="90"/>
          <w:sz w:val="44"/>
          <w:shd w:fill="232323" w:color="auto" w:val="clear"/>
        </w:rPr>
        <w:t>9</w:t>
      </w:r>
      <w:r>
        <w:rPr>
          <w:rFonts w:ascii="Arial"/>
          <w:color w:val="FFFFFF"/>
          <w:spacing w:val="-64"/>
          <w:w w:val="90"/>
          <w:sz w:val="44"/>
          <w:shd w:fill="232323" w:color="auto" w:val="clear"/>
        </w:rPr>
        <w:t> </w:t>
      </w:r>
      <w:r>
        <w:rPr>
          <w:rFonts w:ascii="Arial"/>
          <w:color w:val="FFFFFF"/>
          <w:spacing w:val="-64"/>
          <w:w w:val="90"/>
          <w:sz w:val="44"/>
        </w:rPr>
      </w:r>
      <w:r>
        <w:rPr>
          <w:rFonts w:ascii="Arial"/>
          <w:color w:val="FFFFFF"/>
          <w:spacing w:val="-64"/>
          <w:w w:val="90"/>
          <w:sz w:val="45"/>
        </w:rPr>
      </w:r>
      <w:r>
        <w:rPr>
          <w:rFonts w:ascii="Arial"/>
          <w:color w:val="FFFFFF"/>
          <w:w w:val="90"/>
          <w:sz w:val="45"/>
          <w:shd w:fill="232323" w:color="auto" w:val="clear"/>
        </w:rPr>
        <w:t>04</w:t>
      </w:r>
      <w:r>
        <w:rPr>
          <w:rFonts w:ascii="Arial"/>
          <w:color w:val="FFFFFF"/>
          <w:w w:val="90"/>
          <w:sz w:val="45"/>
        </w:rPr>
      </w:r>
      <w:r>
        <w:rPr>
          <w:rFonts w:ascii="Arial"/>
          <w:sz w:val="45"/>
        </w:rPr>
      </w:r>
    </w:p>
    <w:p>
      <w:pPr>
        <w:spacing w:after="0"/>
        <w:jc w:val="center"/>
        <w:rPr>
          <w:rFonts w:ascii="Arial" w:hAnsi="Arial" w:cs="Arial" w:eastAsia="Arial" w:hint="default"/>
          <w:sz w:val="45"/>
          <w:szCs w:val="45"/>
        </w:rPr>
        <w:sectPr>
          <w:type w:val="continuous"/>
          <w:pgSz w:w="11910" w:h="16840"/>
          <w:pgMar w:top="900" w:bottom="0" w:left="0" w:right="0"/>
        </w:sectPr>
      </w:pPr>
    </w:p>
    <w:p>
      <w:pPr>
        <w:spacing w:line="240" w:lineRule="auto" w:before="0"/>
        <w:rPr>
          <w:rFonts w:ascii="Arial" w:hAnsi="Arial" w:cs="Arial" w:eastAsia="Arial" w:hint="default"/>
          <w:sz w:val="20"/>
          <w:szCs w:val="20"/>
        </w:rPr>
      </w:pPr>
    </w:p>
    <w:p>
      <w:pPr>
        <w:spacing w:line="240" w:lineRule="auto" w:before="10"/>
        <w:rPr>
          <w:rFonts w:ascii="Arial" w:hAnsi="Arial" w:cs="Arial" w:eastAsia="Arial" w:hint="default"/>
          <w:sz w:val="24"/>
          <w:szCs w:val="24"/>
        </w:rPr>
      </w:pPr>
    </w:p>
    <w:p>
      <w:pPr>
        <w:pStyle w:val="Heading1"/>
        <w:spacing w:line="240" w:lineRule="auto"/>
        <w:ind w:left="2885" w:right="0"/>
        <w:jc w:val="left"/>
        <w:rPr>
          <w:b w:val="0"/>
          <w:bCs w:val="0"/>
        </w:rPr>
      </w:pPr>
      <w:bookmarkStart w:name="第一节重要提示、目录和释义" w:id="1"/>
      <w:bookmarkEnd w:id="1"/>
      <w:r>
        <w:rPr>
          <w:b w:val="0"/>
          <w:bCs w:val="0"/>
        </w:rPr>
      </w:r>
      <w:bookmarkStart w:name="_bookmark0" w:id="2"/>
      <w:bookmarkEnd w:id="2"/>
      <w:r>
        <w:rPr>
          <w:b w:val="0"/>
          <w:bCs w:val="0"/>
        </w:rPr>
      </w:r>
      <w:r>
        <w:rPr/>
        <w:t>第一节重要提示、目录和释义</w:t>
      </w:r>
      <w:r>
        <w:rPr>
          <w:b w:val="0"/>
          <w:bCs w:val="0"/>
        </w:rPr>
      </w:r>
    </w:p>
    <w:p>
      <w:pPr>
        <w:spacing w:line="240" w:lineRule="auto" w:before="8"/>
        <w:rPr>
          <w:rFonts w:ascii="宋体" w:hAnsi="宋体" w:cs="宋体" w:eastAsia="宋体" w:hint="default"/>
          <w:b/>
          <w:bCs/>
          <w:sz w:val="46"/>
          <w:szCs w:val="46"/>
        </w:rPr>
      </w:pPr>
    </w:p>
    <w:p>
      <w:pPr>
        <w:spacing w:line="408" w:lineRule="auto" w:before="0"/>
        <w:ind w:left="154" w:right="1131" w:firstLine="420"/>
        <w:jc w:val="both"/>
        <w:rPr>
          <w:rFonts w:ascii="宋体" w:hAnsi="宋体" w:cs="宋体" w:eastAsia="宋体" w:hint="default"/>
          <w:sz w:val="21"/>
          <w:szCs w:val="21"/>
        </w:rPr>
      </w:pPr>
      <w:r>
        <w:rPr>
          <w:rFonts w:ascii="宋体" w:hAnsi="宋体" w:cs="宋体" w:eastAsia="宋体" w:hint="default"/>
          <w:spacing w:val="-1"/>
          <w:sz w:val="21"/>
          <w:szCs w:val="21"/>
        </w:rPr>
        <w:t>公司董事会、监事会及董事、监事、高级管理人员保证年度报告内容的真实、准确、完整，不存在虚</w:t>
      </w:r>
      <w:r>
        <w:rPr>
          <w:rFonts w:ascii="宋体" w:hAnsi="宋体" w:cs="宋体" w:eastAsia="宋体" w:hint="default"/>
          <w:sz w:val="21"/>
          <w:szCs w:val="21"/>
        </w:rPr>
        <w:t> 假记载、误导性陈述或重大遗漏，并承担个别和连带的法律责任。</w:t>
      </w:r>
    </w:p>
    <w:p>
      <w:pPr>
        <w:spacing w:line="386" w:lineRule="auto" w:before="46"/>
        <w:ind w:left="154" w:right="0" w:firstLine="420"/>
        <w:jc w:val="left"/>
        <w:rPr>
          <w:rFonts w:ascii="宋体" w:hAnsi="宋体" w:cs="宋体" w:eastAsia="宋体" w:hint="default"/>
          <w:sz w:val="21"/>
          <w:szCs w:val="21"/>
        </w:rPr>
      </w:pPr>
      <w:r>
        <w:rPr>
          <w:rFonts w:ascii="宋体" w:hAnsi="宋体" w:cs="宋体" w:eastAsia="宋体" w:hint="default"/>
          <w:spacing w:val="-2"/>
          <w:sz w:val="21"/>
          <w:szCs w:val="21"/>
        </w:rPr>
        <w:t>公司负责人王宁先生、主管会计工作负责人林红女士及会计机构负责人</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会计主管人员</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王辉先生声明：</w:t>
      </w:r>
      <w:r>
        <w:rPr>
          <w:rFonts w:ascii="宋体" w:hAnsi="宋体" w:cs="宋体" w:eastAsia="宋体" w:hint="default"/>
          <w:sz w:val="21"/>
          <w:szCs w:val="21"/>
        </w:rPr>
        <w:t> 保证年度报告中财务报告的真实、准确、完整。</w:t>
      </w:r>
    </w:p>
    <w:p>
      <w:pPr>
        <w:spacing w:line="408" w:lineRule="auto" w:before="65"/>
        <w:ind w:left="576" w:right="0" w:hanging="3"/>
        <w:jc w:val="left"/>
        <w:rPr>
          <w:rFonts w:ascii="宋体" w:hAnsi="宋体" w:cs="宋体" w:eastAsia="宋体" w:hint="default"/>
          <w:sz w:val="21"/>
          <w:szCs w:val="21"/>
        </w:rPr>
      </w:pPr>
      <w:r>
        <w:rPr>
          <w:rFonts w:ascii="宋体" w:hAnsi="宋体" w:cs="宋体" w:eastAsia="宋体" w:hint="default"/>
          <w:sz w:val="21"/>
          <w:szCs w:val="21"/>
        </w:rPr>
        <w:t>所有董事均已出席了审议本报告的董事会会议。 </w:t>
      </w:r>
      <w:r>
        <w:rPr>
          <w:rFonts w:ascii="宋体" w:hAnsi="宋体" w:cs="宋体" w:eastAsia="宋体" w:hint="default"/>
          <w:b/>
          <w:bCs/>
          <w:sz w:val="21"/>
          <w:szCs w:val="21"/>
        </w:rPr>
        <w:t>随着市场竞争的激烈、业务发展的深入，在战略规划、组织架构、运营管理、内部控制、激励机制、</w:t>
      </w:r>
      <w:r>
        <w:rPr>
          <w:rFonts w:ascii="宋体" w:hAnsi="宋体" w:cs="宋体" w:eastAsia="宋体" w:hint="default"/>
          <w:sz w:val="21"/>
          <w:szCs w:val="21"/>
        </w:rPr>
      </w:r>
    </w:p>
    <w:p>
      <w:pPr>
        <w:pStyle w:val="Heading3"/>
        <w:spacing w:line="408" w:lineRule="auto" w:before="46"/>
        <w:ind w:left="576" w:right="0" w:hanging="423"/>
        <w:jc w:val="left"/>
        <w:rPr>
          <w:b w:val="0"/>
          <w:bCs w:val="0"/>
        </w:rPr>
      </w:pPr>
      <w:r>
        <w:rPr/>
        <w:t>企业文化建设等方面，都将对管理水平提出更大的挑战。</w:t>
      </w:r>
      <w:r>
        <w:rPr>
          <w:w w:val="99"/>
        </w:rPr>
        <w:t> </w:t>
      </w:r>
      <w:r>
        <w:rPr>
          <w:spacing w:val="-1"/>
          <w:w w:val="95"/>
        </w:rPr>
        <w:t>人工智能、物联网通讯技术两大创新领域目前处于行业高速发展期，技术更新迭代迅速，行业竞争激</w:t>
      </w:r>
      <w:r>
        <w:rPr>
          <w:b w:val="0"/>
          <w:bCs w:val="0"/>
          <w:spacing w:val="-1"/>
        </w:rPr>
      </w:r>
    </w:p>
    <w:p>
      <w:pPr>
        <w:pStyle w:val="Heading3"/>
        <w:spacing w:line="408" w:lineRule="auto" w:before="46"/>
        <w:ind w:right="0"/>
        <w:jc w:val="left"/>
        <w:rPr>
          <w:b w:val="0"/>
          <w:bCs w:val="0"/>
        </w:rPr>
      </w:pPr>
      <w:r>
        <w:rPr>
          <w:spacing w:val="-1"/>
          <w:w w:val="95"/>
        </w:rPr>
        <w:t>烈。若公司不能准确判断行业发展趋势，无法及时更新迭代技术、产品，满足市场需求，将会失去市场竞</w:t>
      </w:r>
      <w:r>
        <w:rPr>
          <w:spacing w:val="62"/>
          <w:w w:val="95"/>
        </w:rPr>
        <w:t> </w:t>
      </w:r>
      <w:r>
        <w:rPr>
          <w:spacing w:val="62"/>
          <w:w w:val="95"/>
        </w:rPr>
      </w:r>
      <w:r>
        <w:rPr/>
        <w:t>争力，从而影响公司持续发展能力。</w:t>
      </w:r>
      <w:r>
        <w:rPr>
          <w:b w:val="0"/>
          <w:bCs w:val="0"/>
        </w:rPr>
      </w:r>
    </w:p>
    <w:p>
      <w:pPr>
        <w:pStyle w:val="Heading3"/>
        <w:spacing w:line="408" w:lineRule="auto" w:before="46"/>
        <w:ind w:right="1137" w:firstLine="422"/>
        <w:jc w:val="both"/>
        <w:rPr>
          <w:b w:val="0"/>
          <w:bCs w:val="0"/>
        </w:rPr>
      </w:pPr>
      <w:r>
        <w:rPr>
          <w:spacing w:val="-1"/>
          <w:w w:val="95"/>
        </w:rPr>
        <w:t>游戏产品具有更新快、可模仿性较高、玩家喜好转换快、市场竞争激烈等特点，如果公司无法持续推</w:t>
      </w:r>
      <w:r>
        <w:rPr>
          <w:spacing w:val="-84"/>
          <w:w w:val="95"/>
        </w:rPr>
        <w:t> </w:t>
      </w:r>
      <w:r>
        <w:rPr>
          <w:spacing w:val="-84"/>
          <w:w w:val="95"/>
        </w:rPr>
      </w:r>
      <w:r>
        <w:rPr>
          <w:spacing w:val="-1"/>
          <w:w w:val="95"/>
        </w:rPr>
        <w:t>出受玩家认可的成功的游戏产品，或由于游戏研发周期延长、推广时间延长等原因造成游戏无法按计划推</w:t>
      </w:r>
      <w:r>
        <w:rPr>
          <w:spacing w:val="59"/>
          <w:w w:val="95"/>
        </w:rPr>
        <w:t> </w:t>
      </w:r>
      <w:r>
        <w:rPr>
          <w:spacing w:val="59"/>
          <w:w w:val="95"/>
        </w:rPr>
      </w:r>
      <w:r>
        <w:rPr>
          <w:spacing w:val="-1"/>
          <w:w w:val="95"/>
        </w:rPr>
        <w:t>出，从而造成老游戏盈利能力出现下滑时，新游戏无法成功按时推出难以弥补老游戏收入的下滑，则将对</w:t>
      </w:r>
      <w:r>
        <w:rPr>
          <w:spacing w:val="58"/>
          <w:w w:val="95"/>
        </w:rPr>
        <w:t> </w:t>
      </w:r>
      <w:r>
        <w:rPr>
          <w:spacing w:val="58"/>
          <w:w w:val="95"/>
        </w:rPr>
      </w:r>
      <w:r>
        <w:rPr/>
        <w:t>公司的运营产生不利影响。</w:t>
      </w:r>
      <w:r>
        <w:rPr>
          <w:b w:val="0"/>
          <w:bCs w:val="0"/>
        </w:rPr>
      </w:r>
    </w:p>
    <w:p>
      <w:pPr>
        <w:pStyle w:val="Heading3"/>
        <w:spacing w:line="398" w:lineRule="auto" w:before="46"/>
        <w:ind w:right="1132" w:firstLine="422"/>
        <w:jc w:val="both"/>
        <w:rPr>
          <w:b w:val="0"/>
          <w:bCs w:val="0"/>
        </w:rPr>
      </w:pPr>
      <w:r>
        <w:rPr>
          <w:rFonts w:ascii="Times New Roman" w:hAnsi="Times New Roman" w:cs="Times New Roman" w:eastAsia="Times New Roman" w:hint="default"/>
        </w:rPr>
        <w:t>2017</w:t>
      </w:r>
      <w:r>
        <w:rPr>
          <w:rFonts w:ascii="Times New Roman" w:hAnsi="Times New Roman" w:cs="Times New Roman" w:eastAsia="Times New Roman" w:hint="default"/>
          <w:spacing w:val="5"/>
        </w:rPr>
        <w:t> </w:t>
      </w:r>
      <w:r>
        <w:rPr>
          <w:spacing w:val="-7"/>
          <w:w w:val="99"/>
        </w:rPr>
        <w:t>年，公司严格加强客户的信用管理（包括黑名单制度、信用额度控制、结算政策、抵押担保等），</w:t>
      </w:r>
      <w:r>
        <w:rPr>
          <w:w w:val="99"/>
        </w:rPr>
        <w:t> </w:t>
      </w:r>
      <w:r>
        <w:rPr>
          <w:spacing w:val="-1"/>
          <w:w w:val="95"/>
        </w:rPr>
        <w:t>大规模减少系统集成业务的规模，运用市场化手段、法律手段等合法措施加大应收款项的催收，以保护上</w:t>
      </w:r>
      <w:r>
        <w:rPr>
          <w:spacing w:val="60"/>
          <w:w w:val="95"/>
        </w:rPr>
        <w:t> </w:t>
      </w:r>
      <w:r>
        <w:rPr>
          <w:spacing w:val="60"/>
          <w:w w:val="95"/>
        </w:rPr>
      </w:r>
      <w:r>
        <w:rPr>
          <w:spacing w:val="-1"/>
          <w:w w:val="95"/>
        </w:rPr>
        <w:t>市公司合法权益。其中公司起诉大唐半导体设计有限公司、大唐微电子技术有限公司要求其支付合同款项</w:t>
      </w:r>
      <w:r>
        <w:rPr>
          <w:spacing w:val="60"/>
          <w:w w:val="95"/>
        </w:rPr>
        <w:t> </w:t>
      </w:r>
      <w:r>
        <w:rPr>
          <w:spacing w:val="60"/>
          <w:w w:val="95"/>
        </w:rPr>
      </w:r>
      <w:r>
        <w:rPr/>
        <w:t>并支付相应违约金合计 </w:t>
      </w:r>
      <w:r>
        <w:rPr>
          <w:rFonts w:ascii="Times New Roman" w:hAnsi="Times New Roman" w:cs="Times New Roman" w:eastAsia="Times New Roman" w:hint="default"/>
        </w:rPr>
        <w:t>4.24</w:t>
      </w:r>
      <w:r>
        <w:rPr>
          <w:rFonts w:ascii="Times New Roman" w:hAnsi="Times New Roman" w:cs="Times New Roman" w:eastAsia="Times New Roman" w:hint="default"/>
          <w:spacing w:val="41"/>
        </w:rPr>
        <w:t> </w:t>
      </w:r>
      <w:r>
        <w:rPr/>
        <w:t>亿元，目前尚处于诉讼进程中，未来如果无法收回或收回周期很长，将对公</w:t>
      </w:r>
      <w:r>
        <w:rPr>
          <w:w w:val="99"/>
        </w:rPr>
        <w:t> </w:t>
      </w:r>
      <w:r>
        <w:rPr/>
        <w:t>司产生较大程度的影响和损失。</w:t>
      </w:r>
      <w:r>
        <w:rPr>
          <w:b w:val="0"/>
          <w:bCs w:val="0"/>
        </w:rPr>
      </w:r>
    </w:p>
    <w:p>
      <w:pPr>
        <w:pStyle w:val="Heading3"/>
        <w:spacing w:line="408" w:lineRule="auto" w:before="54"/>
        <w:ind w:right="1135" w:firstLine="422"/>
        <w:jc w:val="both"/>
        <w:rPr>
          <w:b w:val="0"/>
          <w:bCs w:val="0"/>
        </w:rPr>
      </w:pPr>
      <w:r>
        <w:rPr>
          <w:spacing w:val="-1"/>
          <w:w w:val="95"/>
        </w:rPr>
        <w:t>对外投资是企业发展的重要方式之一，由此也带来长期股权投资、金融资产或商誉金额的增加。如果</w:t>
      </w:r>
      <w:r>
        <w:rPr>
          <w:spacing w:val="-84"/>
          <w:w w:val="95"/>
        </w:rPr>
        <w:t> </w:t>
      </w:r>
      <w:r>
        <w:rPr>
          <w:spacing w:val="-84"/>
          <w:w w:val="95"/>
        </w:rPr>
      </w:r>
      <w:r>
        <w:rPr>
          <w:spacing w:val="-1"/>
          <w:w w:val="95"/>
        </w:rPr>
        <w:t>未来受宏观经济形势变化、整体行业萎靡、市场拓展、内部管理或其他原因导致相关公司未来经营状况未</w:t>
      </w:r>
      <w:r>
        <w:rPr>
          <w:spacing w:val="60"/>
          <w:w w:val="95"/>
        </w:rPr>
        <w:t> </w:t>
      </w:r>
      <w:r>
        <w:rPr>
          <w:spacing w:val="60"/>
          <w:w w:val="95"/>
        </w:rPr>
      </w:r>
      <w:r>
        <w:rPr/>
        <w:t>达预期，则公司可能存在长期投资或商誉减值风险，从而对公司当期业绩造成不利影响。</w:t>
      </w:r>
      <w:r>
        <w:rPr>
          <w:b w:val="0"/>
          <w:bCs w:val="0"/>
        </w:rPr>
      </w:r>
    </w:p>
    <w:p>
      <w:pPr>
        <w:pStyle w:val="Heading3"/>
        <w:spacing w:line="408" w:lineRule="auto" w:before="46"/>
        <w:ind w:right="1137" w:firstLine="422"/>
        <w:jc w:val="both"/>
        <w:rPr>
          <w:b w:val="0"/>
          <w:bCs w:val="0"/>
        </w:rPr>
      </w:pPr>
      <w:r>
        <w:rPr>
          <w:spacing w:val="-1"/>
          <w:w w:val="95"/>
        </w:rPr>
        <w:t>本年度报告中涉及的发展战略、经营计划等前瞻性陈述，不构成公司对投资者的实质承诺，投资者及</w:t>
      </w:r>
      <w:r>
        <w:rPr>
          <w:spacing w:val="-84"/>
          <w:w w:val="95"/>
        </w:rPr>
        <w:t> </w:t>
      </w:r>
      <w:r>
        <w:rPr>
          <w:spacing w:val="-84"/>
          <w:w w:val="95"/>
        </w:rPr>
      </w:r>
      <w:r>
        <w:rPr/>
        <w:t>相关人士均应当对此保持足够的风险认识，并且应当理解计划、预测与承诺之间的差异。</w:t>
      </w:r>
      <w:r>
        <w:rPr>
          <w:b w:val="0"/>
          <w:bCs w:val="0"/>
        </w:rPr>
      </w:r>
    </w:p>
    <w:p>
      <w:pPr>
        <w:spacing w:before="46"/>
        <w:ind w:left="574" w:right="0" w:firstLine="0"/>
        <w:jc w:val="left"/>
        <w:rPr>
          <w:rFonts w:ascii="宋体" w:hAnsi="宋体" w:cs="宋体" w:eastAsia="宋体" w:hint="default"/>
          <w:sz w:val="21"/>
          <w:szCs w:val="21"/>
        </w:rPr>
      </w:pPr>
      <w:r>
        <w:rPr>
          <w:rFonts w:ascii="宋体" w:hAnsi="宋体" w:cs="宋体" w:eastAsia="宋体" w:hint="default"/>
          <w:sz w:val="21"/>
          <w:szCs w:val="21"/>
        </w:rPr>
        <w:t>公司经本次董事会审议通过的利润分配预案为：以</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1,961,091,984</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为基数，向全体股东每</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股派发现</w:t>
      </w:r>
    </w:p>
    <w:p>
      <w:pPr>
        <w:spacing w:before="177"/>
        <w:ind w:left="154" w:right="0" w:firstLine="0"/>
        <w:jc w:val="left"/>
        <w:rPr>
          <w:rFonts w:ascii="宋体" w:hAnsi="宋体" w:cs="宋体" w:eastAsia="宋体" w:hint="default"/>
          <w:sz w:val="21"/>
          <w:szCs w:val="21"/>
        </w:rPr>
      </w:pPr>
      <w:r>
        <w:rPr>
          <w:rFonts w:ascii="宋体" w:hAnsi="宋体" w:cs="宋体" w:eastAsia="宋体" w:hint="default"/>
          <w:sz w:val="21"/>
          <w:szCs w:val="21"/>
        </w:rPr>
        <w:t>金红利</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元（含税</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宋体" w:hAnsi="宋体" w:cs="宋体" w:eastAsia="宋体" w:hint="default"/>
          <w:sz w:val="21"/>
          <w:szCs w:val="21"/>
        </w:rPr>
        <w:t>送红股</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0 </w:t>
      </w:r>
      <w:r>
        <w:rPr>
          <w:rFonts w:ascii="宋体" w:hAnsi="宋体" w:cs="宋体" w:eastAsia="宋体" w:hint="default"/>
          <w:spacing w:val="-2"/>
          <w:sz w:val="21"/>
          <w:szCs w:val="21"/>
        </w:rPr>
        <w:t>股</w:t>
      </w:r>
      <w:r>
        <w:rPr>
          <w:rFonts w:ascii="宋体" w:hAnsi="宋体" w:cs="宋体" w:eastAsia="宋体" w:hint="default"/>
          <w:sz w:val="21"/>
          <w:szCs w:val="21"/>
        </w:rPr>
        <w:t>（含税</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以</w:t>
      </w:r>
      <w:r>
        <w:rPr>
          <w:rFonts w:ascii="宋体" w:hAnsi="宋体" w:cs="宋体" w:eastAsia="宋体" w:hint="default"/>
          <w:sz w:val="21"/>
          <w:szCs w:val="21"/>
        </w:rPr>
        <w:t>资本公积金向全体股东每</w:t>
      </w:r>
      <w:r>
        <w:rPr>
          <w:rFonts w:ascii="宋体" w:hAnsi="宋体" w:cs="宋体" w:eastAsia="宋体" w:hint="default"/>
          <w:spacing w:val="-52"/>
          <w:sz w:val="21"/>
          <w:szCs w:val="21"/>
        </w:rPr>
        <w:t> </w:t>
      </w:r>
      <w:r>
        <w:rPr>
          <w:rFonts w:ascii="Times New Roman" w:hAnsi="Times New Roman" w:cs="Times New Roman" w:eastAsia="Times New Roman" w:hint="default"/>
          <w:spacing w:val="-1"/>
          <w:sz w:val="21"/>
          <w:szCs w:val="21"/>
        </w:rPr>
        <w:t>1</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股转增</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 </w:t>
      </w:r>
      <w:r>
        <w:rPr>
          <w:rFonts w:ascii="宋体" w:hAnsi="宋体" w:cs="宋体" w:eastAsia="宋体" w:hint="default"/>
          <w:sz w:val="21"/>
          <w:szCs w:val="21"/>
        </w:rPr>
        <w:t>股。</w:t>
      </w:r>
    </w:p>
    <w:p>
      <w:pPr>
        <w:spacing w:after="0"/>
        <w:jc w:val="left"/>
        <w:rPr>
          <w:rFonts w:ascii="宋体" w:hAnsi="宋体" w:cs="宋体" w:eastAsia="宋体" w:hint="default"/>
          <w:sz w:val="21"/>
          <w:szCs w:val="21"/>
        </w:rPr>
        <w:sectPr>
          <w:headerReference w:type="default" r:id="rId38"/>
          <w:footerReference w:type="default" r:id="rId39"/>
          <w:pgSz w:w="11910" w:h="16840"/>
          <w:pgMar w:header="851" w:footer="1187" w:top="1400" w:bottom="1380" w:left="980" w:right="0"/>
          <w:pgNumType w:start="2"/>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p>
      <w:pPr>
        <w:tabs>
          <w:tab w:pos="1083" w:val="left" w:leader="none"/>
        </w:tabs>
        <w:spacing w:line="460" w:lineRule="exact" w:before="0"/>
        <w:ind w:left="0" w:right="977" w:firstLine="0"/>
        <w:jc w:val="center"/>
        <w:rPr>
          <w:rFonts w:ascii="宋体" w:hAnsi="宋体" w:cs="宋体" w:eastAsia="宋体" w:hint="default"/>
          <w:sz w:val="36"/>
          <w:szCs w:val="36"/>
        </w:rPr>
      </w:pPr>
      <w:r>
        <w:rPr>
          <w:rFonts w:ascii="宋体" w:hAnsi="宋体" w:cs="宋体" w:eastAsia="宋体" w:hint="default"/>
          <w:b/>
          <w:bCs/>
          <w:w w:val="95"/>
          <w:sz w:val="36"/>
          <w:szCs w:val="36"/>
        </w:rPr>
        <w:t>目</w:t>
        <w:tab/>
      </w:r>
      <w:r>
        <w:rPr>
          <w:rFonts w:ascii="宋体" w:hAnsi="宋体" w:cs="宋体" w:eastAsia="宋体" w:hint="default"/>
          <w:b/>
          <w:bCs/>
          <w:sz w:val="36"/>
          <w:szCs w:val="36"/>
        </w:rPr>
        <w:t>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2"/>
        <w:rPr>
          <w:rFonts w:ascii="宋体" w:hAnsi="宋体" w:cs="宋体" w:eastAsia="宋体" w:hint="default"/>
          <w:b/>
          <w:bCs/>
          <w:sz w:val="48"/>
          <w:szCs w:val="48"/>
        </w:rPr>
      </w:pPr>
    </w:p>
    <w:sdt>
      <w:sdtPr>
        <w:docPartObj>
          <w:docPartGallery w:val="Table of Contents"/>
          <w:docPartUnique/>
        </w:docPartObj>
      </w:sdtPr>
      <w:sdtEndPr/>
      <w:sdtContent>
        <w:p>
          <w:pPr>
            <w:pStyle w:val="TOC1"/>
            <w:tabs>
              <w:tab w:pos="9782" w:val="right" w:leader="dot"/>
            </w:tabs>
            <w:spacing w:line="240" w:lineRule="auto" w:before="0"/>
            <w:ind w:right="0"/>
            <w:jc w:val="left"/>
            <w:rPr>
              <w:rFonts w:ascii="Times New Roman" w:hAnsi="Times New Roman" w:cs="Times New Roman" w:eastAsia="Times New Roman" w:hint="default"/>
            </w:rPr>
          </w:pPr>
          <w:r>
            <w:fldChar w:fldCharType="begin"/>
          </w:r>
          <w:r>
            <w:instrText>TOC \o "1-1" \h \z \u </w:instrText>
          </w:r>
          <w:r>
            <w:fldChar w:fldCharType="separate"/>
          </w:r>
          <w:hyperlink w:history="true" w:anchor="_bookmark0">
            <w:r>
              <w:rPr/>
              <w:t>第一节重要提示、目录和释义</w:t>
            </w:r>
            <w:r>
              <w:rPr>
                <w:rFonts w:ascii="Times New Roman" w:hAnsi="Times New Roman" w:cs="Times New Roman" w:eastAsia="Times New Roman" w:hint="default"/>
              </w:rPr>
              <w:tab/>
              <w:t>2</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1">
            <w:r>
              <w:rPr/>
              <w:t>第二节公司简介和主要财务指标</w:t>
            </w:r>
            <w:r>
              <w:rPr>
                <w:rFonts w:ascii="Times New Roman" w:hAnsi="Times New Roman" w:cs="Times New Roman" w:eastAsia="Times New Roman" w:hint="default"/>
              </w:rPr>
              <w:tab/>
              <w:t>7</w:t>
            </w:r>
          </w:hyperlink>
        </w:p>
        <w:p>
          <w:pPr>
            <w:pStyle w:val="TOC1"/>
            <w:tabs>
              <w:tab w:pos="9774" w:val="right" w:leader="dot"/>
            </w:tabs>
            <w:spacing w:line="240" w:lineRule="auto"/>
            <w:ind w:right="0"/>
            <w:jc w:val="left"/>
            <w:rPr>
              <w:rFonts w:ascii="Times New Roman" w:hAnsi="Times New Roman" w:cs="Times New Roman" w:eastAsia="Times New Roman" w:hint="default"/>
            </w:rPr>
          </w:pPr>
          <w:hyperlink w:history="true" w:anchor="_bookmark2">
            <w:r>
              <w:rPr/>
              <w:t>第三节公司业务概要</w:t>
            </w:r>
            <w:r>
              <w:rPr>
                <w:rFonts w:ascii="Times New Roman" w:hAnsi="Times New Roman" w:cs="Times New Roman" w:eastAsia="Times New Roman" w:hint="default"/>
              </w:rPr>
              <w:tab/>
            </w:r>
            <w:r>
              <w:rPr>
                <w:rFonts w:ascii="Times New Roman" w:hAnsi="Times New Roman" w:cs="Times New Roman" w:eastAsia="Times New Roman" w:hint="default"/>
                <w:spacing w:val="-9"/>
              </w:rPr>
              <w:t>11</w:t>
            </w:r>
            <w:r>
              <w:rPr>
                <w:rFonts w:ascii="Times New Roman" w:hAnsi="Times New Roman" w:cs="Times New Roman" w:eastAsia="Times New Roman" w:hint="default"/>
              </w:rPr>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3">
            <w:r>
              <w:rPr/>
              <w:t>第四节经营情况讨论与分析</w:t>
            </w:r>
            <w:r>
              <w:rPr>
                <w:rFonts w:ascii="Times New Roman" w:hAnsi="Times New Roman" w:cs="Times New Roman" w:eastAsia="Times New Roman" w:hint="default"/>
              </w:rPr>
              <w:tab/>
              <w:t>28</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4">
            <w:r>
              <w:rPr/>
              <w:t>第五节重要事项</w:t>
            </w:r>
            <w:r>
              <w:rPr>
                <w:rFonts w:ascii="Times New Roman" w:hAnsi="Times New Roman" w:cs="Times New Roman" w:eastAsia="Times New Roman" w:hint="default"/>
              </w:rPr>
              <w:tab/>
              <w:t>57</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5">
            <w:r>
              <w:rPr/>
              <w:t>第六节股份变动及股东情况</w:t>
            </w:r>
            <w:r>
              <w:rPr>
                <w:rFonts w:ascii="Times New Roman" w:hAnsi="Times New Roman" w:cs="Times New Roman" w:eastAsia="Times New Roman" w:hint="default"/>
              </w:rPr>
              <w:tab/>
              <w:t>72</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6">
            <w:r>
              <w:rPr/>
              <w:t>第七节优先股相关情况</w:t>
            </w:r>
            <w:r>
              <w:rPr>
                <w:rFonts w:ascii="Times New Roman" w:hAnsi="Times New Roman" w:cs="Times New Roman" w:eastAsia="Times New Roman" w:hint="default"/>
              </w:rPr>
              <w:tab/>
              <w:t>78</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7">
            <w:r>
              <w:rPr/>
              <w:t>第八节董事、监事、高级管理人员和员工情况</w:t>
            </w:r>
            <w:r>
              <w:rPr>
                <w:rFonts w:ascii="Times New Roman" w:hAnsi="Times New Roman" w:cs="Times New Roman" w:eastAsia="Times New Roman" w:hint="default"/>
              </w:rPr>
              <w:tab/>
              <w:t>79</w:t>
            </w:r>
          </w:hyperlink>
        </w:p>
        <w:p>
          <w:pPr>
            <w:pStyle w:val="TOC1"/>
            <w:tabs>
              <w:tab w:pos="9782" w:val="right" w:leader="dot"/>
            </w:tabs>
            <w:spacing w:line="240" w:lineRule="auto" w:before="136"/>
            <w:ind w:right="0"/>
            <w:jc w:val="left"/>
            <w:rPr>
              <w:rFonts w:ascii="Times New Roman" w:hAnsi="Times New Roman" w:cs="Times New Roman" w:eastAsia="Times New Roman" w:hint="default"/>
            </w:rPr>
          </w:pPr>
          <w:hyperlink w:history="true" w:anchor="_bookmark8">
            <w:r>
              <w:rPr/>
              <w:t>第九节公司治理</w:t>
            </w:r>
            <w:r>
              <w:rPr>
                <w:rFonts w:ascii="Times New Roman" w:hAnsi="Times New Roman" w:cs="Times New Roman" w:eastAsia="Times New Roman" w:hint="default"/>
              </w:rPr>
              <w:tab/>
              <w:t>89</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9">
            <w:r>
              <w:rPr/>
              <w:t>第十节公司债券相关情况</w:t>
            </w:r>
            <w:r>
              <w:rPr>
                <w:rFonts w:ascii="Times New Roman" w:hAnsi="Times New Roman" w:cs="Times New Roman" w:eastAsia="Times New Roman" w:hint="default"/>
              </w:rPr>
              <w:tab/>
              <w:t>96</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10">
            <w:r>
              <w:rPr/>
              <w:t>第十一节财务报告</w:t>
            </w:r>
            <w:r>
              <w:rPr>
                <w:rFonts w:ascii="Times New Roman" w:hAnsi="Times New Roman" w:cs="Times New Roman" w:eastAsia="Times New Roman" w:hint="default"/>
              </w:rPr>
              <w:tab/>
              <w:t>97</w:t>
            </w:r>
          </w:hyperlink>
        </w:p>
        <w:p>
          <w:pPr>
            <w:pStyle w:val="TOC1"/>
            <w:tabs>
              <w:tab w:pos="9782" w:val="right" w:leader="dot"/>
            </w:tabs>
            <w:spacing w:line="240" w:lineRule="auto"/>
            <w:ind w:right="0"/>
            <w:jc w:val="left"/>
            <w:rPr>
              <w:rFonts w:ascii="Times New Roman" w:hAnsi="Times New Roman" w:cs="Times New Roman" w:eastAsia="Times New Roman" w:hint="default"/>
            </w:rPr>
          </w:pPr>
          <w:hyperlink w:history="true" w:anchor="_bookmark11">
            <w:r>
              <w:rPr/>
              <w:t>第十二节备查文件目录</w:t>
            </w:r>
            <w:r>
              <w:rPr>
                <w:rFonts w:ascii="Times New Roman" w:hAnsi="Times New Roman" w:cs="Times New Roman" w:eastAsia="Times New Roman" w:hint="default"/>
              </w:rPr>
              <w:tab/>
              <w:t>220</w:t>
            </w:r>
          </w:hyperlink>
        </w:p>
        <w:p>
          <w:pPr/>
          <w:r>
            <w:fldChar w:fldCharType="end"/>
          </w:r>
        </w:p>
      </w:sdtContent>
    </w:sdt>
    <w:p>
      <w:pPr>
        <w:spacing w:after="0"/>
        <w:sectPr>
          <w:pgSz w:w="11910" w:h="16840"/>
          <w:pgMar w:header="851" w:footer="1187" w:top="1460" w:bottom="1380" w:left="980" w:right="0"/>
        </w:sectPr>
      </w:pPr>
    </w:p>
    <w:p>
      <w:pPr>
        <w:tabs>
          <w:tab w:pos="643" w:val="left" w:leader="none"/>
        </w:tabs>
        <w:spacing w:before="753"/>
        <w:ind w:left="0" w:right="977" w:firstLine="0"/>
        <w:jc w:val="center"/>
        <w:rPr>
          <w:rFonts w:ascii="宋体" w:hAnsi="宋体" w:cs="宋体" w:eastAsia="宋体" w:hint="default"/>
          <w:sz w:val="32"/>
          <w:szCs w:val="32"/>
        </w:rPr>
      </w:pPr>
      <w:r>
        <w:rPr>
          <w:rFonts w:ascii="宋体" w:hAnsi="宋体" w:cs="宋体" w:eastAsia="宋体" w:hint="default"/>
          <w:b/>
          <w:bCs/>
          <w:w w:val="95"/>
          <w:sz w:val="32"/>
          <w:szCs w:val="32"/>
        </w:rPr>
        <w:t>释</w:t>
        <w:tab/>
      </w:r>
      <w:r>
        <w:rPr>
          <w:rFonts w:ascii="宋体" w:hAnsi="宋体" w:cs="宋体" w:eastAsia="宋体" w:hint="default"/>
          <w:b/>
          <w:bCs/>
          <w:sz w:val="32"/>
          <w:szCs w:val="32"/>
        </w:rPr>
        <w:t>义</w:t>
      </w:r>
      <w:r>
        <w:rPr>
          <w:rFonts w:ascii="宋体" w:hAnsi="宋体" w:cs="宋体" w:eastAsia="宋体" w:hint="default"/>
          <w:sz w:val="32"/>
          <w:szCs w:val="32"/>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6"/>
        <w:rPr>
          <w:rFonts w:ascii="宋体" w:hAnsi="宋体" w:cs="宋体" w:eastAsia="宋体" w:hint="default"/>
          <w:b/>
          <w:bCs/>
          <w:sz w:val="18"/>
          <w:szCs w:val="18"/>
        </w:rPr>
      </w:pPr>
    </w:p>
    <w:p>
      <w:pPr>
        <w:pStyle w:val="BodyText"/>
        <w:spacing w:line="240" w:lineRule="auto"/>
        <w:ind w:left="0" w:right="1138"/>
        <w:jc w:val="right"/>
      </w:pPr>
      <w:r>
        <w:rPr/>
        <w:pict>
          <v:shape style="position:absolute;margin-left:56.459999pt;margin-top:-134.328278pt;width:479.25pt;height:593.15pt;mso-position-horizontal-relative:page;mso-position-vertical-relative:paragraph;z-index:11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536"/>
                    <w:gridCol w:w="598"/>
                    <w:gridCol w:w="5436"/>
                  </w:tblGrid>
                  <w:tr>
                    <w:trPr>
                      <w:trHeight w:val="402" w:hRule="exact"/>
                    </w:trPr>
                    <w:tc>
                      <w:tcPr>
                        <w:tcW w:w="35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释义项</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1429" w:hRule="exact"/>
                    </w:trPr>
                    <w:tc>
                      <w:tcPr>
                        <w:tcW w:w="3536" w:type="dxa"/>
                        <w:vMerge w:val="restart"/>
                        <w:tcBorders>
                          <w:top w:val="single" w:sz="4" w:space="0" w:color="000000"/>
                          <w:left w:val="single" w:sz="4" w:space="0" w:color="000000"/>
                          <w:right w:val="single" w:sz="9" w:space="0" w:color="D2D2D2"/>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right="4"/>
                          <w:jc w:val="center"/>
                          <w:rPr>
                            <w:rFonts w:ascii="宋体" w:hAnsi="宋体" w:cs="宋体" w:eastAsia="宋体" w:hint="default"/>
                            <w:sz w:val="18"/>
                            <w:szCs w:val="18"/>
                          </w:rPr>
                        </w:pPr>
                        <w:r>
                          <w:rPr>
                            <w:rFonts w:ascii="Times New Roman" w:hAnsi="Times New Roman" w:cs="Times New Roman" w:eastAsia="Times New Roman" w:hint="default"/>
                            <w:sz w:val="18"/>
                            <w:szCs w:val="18"/>
                          </w:rPr>
                          <w:t>ICT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运营管理</w:t>
                        </w:r>
                      </w:p>
                    </w:tc>
                    <w:tc>
                      <w:tcPr>
                        <w:tcW w:w="598" w:type="dxa"/>
                        <w:tcBorders>
                          <w:top w:val="single" w:sz="4" w:space="0" w:color="000000"/>
                          <w:left w:val="single" w:sz="4" w:space="0" w:color="000000"/>
                          <w:bottom w:val="nil" w:sz="6" w:space="0" w:color="auto"/>
                          <w:right w:val="single" w:sz="4" w:space="0" w:color="000000"/>
                        </w:tcBorders>
                        <w:shd w:val="clear" w:color="auto" w:fill="D2D2D2"/>
                      </w:tcPr>
                      <w:p>
                        <w:pPr/>
                      </w:p>
                    </w:tc>
                    <w:tc>
                      <w:tcPr>
                        <w:tcW w:w="5436" w:type="dxa"/>
                        <w:vMerge w:val="restart"/>
                        <w:tcBorders>
                          <w:top w:val="single" w:sz="4" w:space="0" w:color="000000"/>
                          <w:left w:val="single" w:sz="9" w:space="0" w:color="D2D2D2"/>
                          <w:right w:val="single" w:sz="4" w:space="0" w:color="000000"/>
                        </w:tcBorders>
                      </w:tcPr>
                      <w:p>
                        <w:pPr>
                          <w:pStyle w:val="TableParagraph"/>
                          <w:spacing w:line="300" w:lineRule="auto" w:before="51"/>
                          <w:ind w:left="27" w:right="22"/>
                          <w:jc w:val="both"/>
                          <w:rPr>
                            <w:rFonts w:ascii="宋体" w:hAnsi="宋体" w:cs="宋体" w:eastAsia="宋体" w:hint="default"/>
                            <w:sz w:val="18"/>
                            <w:szCs w:val="18"/>
                          </w:rPr>
                        </w:pPr>
                        <w:r>
                          <w:rPr>
                            <w:rFonts w:ascii="Times New Roman" w:hAnsi="Times New Roman" w:cs="Times New Roman" w:eastAsia="Times New Roman" w:hint="default"/>
                            <w:sz w:val="18"/>
                            <w:szCs w:val="18"/>
                          </w:rPr>
                          <w:t>ICT </w:t>
                        </w:r>
                        <w:r>
                          <w:rPr>
                            <w:rFonts w:ascii="宋体" w:hAnsi="宋体" w:cs="宋体" w:eastAsia="宋体" w:hint="default"/>
                            <w:sz w:val="18"/>
                            <w:szCs w:val="18"/>
                          </w:rPr>
                          <w:t>是信息产业（</w:t>
                        </w:r>
                        <w:r>
                          <w:rPr>
                            <w:rFonts w:ascii="Times New Roman" w:hAnsi="Times New Roman" w:cs="Times New Roman" w:eastAsia="Times New Roman" w:hint="default"/>
                            <w:sz w:val="18"/>
                            <w:szCs w:val="18"/>
                          </w:rPr>
                          <w:t>IT</w:t>
                        </w:r>
                        <w:r>
                          <w:rPr>
                            <w:rFonts w:ascii="宋体" w:hAnsi="宋体" w:cs="宋体" w:eastAsia="宋体" w:hint="default"/>
                            <w:sz w:val="18"/>
                            <w:szCs w:val="18"/>
                          </w:rPr>
                          <w:t>）与通信产业（</w:t>
                        </w:r>
                        <w:r>
                          <w:rPr>
                            <w:rFonts w:ascii="Times New Roman" w:hAnsi="Times New Roman" w:cs="Times New Roman" w:eastAsia="Times New Roman" w:hint="default"/>
                            <w:sz w:val="18"/>
                            <w:szCs w:val="18"/>
                          </w:rPr>
                          <w:t>CT</w:t>
                        </w:r>
                        <w:r>
                          <w:rPr>
                            <w:rFonts w:ascii="宋体" w:hAnsi="宋体" w:cs="宋体" w:eastAsia="宋体" w:hint="default"/>
                            <w:sz w:val="18"/>
                            <w:szCs w:val="18"/>
                          </w:rPr>
                          <w:t>）的统称，</w:t>
                        </w:r>
                        <w:r>
                          <w:rPr>
                            <w:rFonts w:ascii="Times New Roman" w:hAnsi="Times New Roman" w:cs="Times New Roman" w:eastAsia="Times New Roman" w:hint="default"/>
                            <w:sz w:val="18"/>
                            <w:szCs w:val="18"/>
                          </w:rPr>
                          <w:t>ICT</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运营管理即通</w:t>
                        </w:r>
                        <w:r>
                          <w:rPr>
                            <w:rFonts w:ascii="宋体" w:hAnsi="宋体" w:cs="宋体" w:eastAsia="宋体" w:hint="default"/>
                            <w:w w:val="99"/>
                            <w:sz w:val="18"/>
                            <w:szCs w:val="18"/>
                          </w:rPr>
                          <w:t> </w:t>
                        </w:r>
                        <w:r>
                          <w:rPr>
                            <w:rFonts w:ascii="宋体" w:hAnsi="宋体" w:cs="宋体" w:eastAsia="宋体" w:hint="default"/>
                            <w:sz w:val="18"/>
                            <w:szCs w:val="18"/>
                          </w:rPr>
                          <w:t>过提供软件与服务等方式对</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ICT</w:t>
                        </w:r>
                        <w:r>
                          <w:rPr>
                            <w:rFonts w:ascii="Times New Roman" w:hAnsi="Times New Roman" w:cs="Times New Roman" w:eastAsia="Times New Roman" w:hint="default"/>
                            <w:spacing w:val="3"/>
                            <w:sz w:val="18"/>
                            <w:szCs w:val="18"/>
                          </w:rPr>
                          <w:t> </w:t>
                        </w:r>
                        <w:r>
                          <w:rPr>
                            <w:rFonts w:ascii="宋体" w:hAnsi="宋体" w:cs="宋体" w:eastAsia="宋体" w:hint="default"/>
                            <w:spacing w:val="-4"/>
                            <w:sz w:val="18"/>
                            <w:szCs w:val="18"/>
                          </w:rPr>
                          <w:t>基础设施、业务应用和运维体系进行</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全面的管理，保障</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ICT</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系统安全、稳定、可靠、高效运行，包括信息</w:t>
                        </w:r>
                        <w:r>
                          <w:rPr>
                            <w:rFonts w:ascii="宋体" w:hAnsi="宋体" w:cs="宋体" w:eastAsia="宋体" w:hint="default"/>
                            <w:w w:val="99"/>
                            <w:sz w:val="18"/>
                            <w:szCs w:val="18"/>
                          </w:rPr>
                          <w:t> </w:t>
                        </w:r>
                        <w:r>
                          <w:rPr>
                            <w:rFonts w:ascii="宋体" w:hAnsi="宋体" w:cs="宋体" w:eastAsia="宋体" w:hint="default"/>
                            <w:sz w:val="18"/>
                            <w:szCs w:val="18"/>
                          </w:rPr>
                          <w:t>安全、网络管理、运维管理、网络优化等主要子领域。</w:t>
                        </w:r>
                      </w:p>
                      <w:p>
                        <w:pPr>
                          <w:pStyle w:val="TableParagraph"/>
                          <w:spacing w:line="307" w:lineRule="auto" w:before="70"/>
                          <w:ind w:left="27"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ICT</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运营管理是公司传统核心业务。公司是中国移动、中国联通、中</w:t>
                        </w:r>
                        <w:r>
                          <w:rPr>
                            <w:rFonts w:ascii="宋体" w:hAnsi="宋体" w:cs="宋体" w:eastAsia="宋体" w:hint="default"/>
                            <w:w w:val="99"/>
                            <w:sz w:val="18"/>
                            <w:szCs w:val="18"/>
                          </w:rPr>
                          <w:t> </w:t>
                        </w:r>
                        <w:r>
                          <w:rPr>
                            <w:rFonts w:ascii="宋体" w:hAnsi="宋体" w:cs="宋体" w:eastAsia="宋体" w:hint="default"/>
                            <w:sz w:val="18"/>
                            <w:szCs w:val="18"/>
                          </w:rPr>
                          <w:t>国电信的长期战略合作伙伴，是中国通信标准化协会（</w:t>
                        </w:r>
                        <w:r>
                          <w:rPr>
                            <w:rFonts w:ascii="Times New Roman" w:hAnsi="Times New Roman" w:cs="Times New Roman" w:eastAsia="Times New Roman" w:hint="default"/>
                            <w:sz w:val="18"/>
                            <w:szCs w:val="18"/>
                          </w:rPr>
                          <w:t>CCSA</w:t>
                        </w:r>
                        <w:r>
                          <w:rPr>
                            <w:rFonts w:ascii="宋体" w:hAnsi="宋体" w:cs="宋体" w:eastAsia="宋体" w:hint="default"/>
                            <w:sz w:val="18"/>
                            <w:szCs w:val="18"/>
                          </w:rPr>
                          <w:t>）全权</w:t>
                        </w:r>
                        <w:r>
                          <w:rPr>
                            <w:rFonts w:ascii="宋体" w:hAnsi="宋体" w:cs="宋体" w:eastAsia="宋体" w:hint="default"/>
                            <w:spacing w:val="-58"/>
                            <w:sz w:val="18"/>
                            <w:szCs w:val="18"/>
                          </w:rPr>
                          <w:t> </w:t>
                        </w:r>
                        <w:r>
                          <w:rPr>
                            <w:rFonts w:ascii="宋体" w:hAnsi="宋体" w:cs="宋体" w:eastAsia="宋体" w:hint="default"/>
                            <w:sz w:val="18"/>
                            <w:szCs w:val="18"/>
                          </w:rPr>
                          <w:t>会员，是中国移动业务支撑网运营管理系统和 </w:t>
                        </w:r>
                        <w:r>
                          <w:rPr>
                            <w:rFonts w:ascii="Times New Roman" w:hAnsi="Times New Roman" w:cs="Times New Roman" w:eastAsia="Times New Roman" w:hint="default"/>
                            <w:sz w:val="18"/>
                            <w:szCs w:val="18"/>
                          </w:rPr>
                          <w:t>OSS</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运维规范的主要 </w:t>
                        </w:r>
                        <w:r>
                          <w:rPr>
                            <w:rFonts w:ascii="宋体" w:hAnsi="宋体" w:cs="宋体" w:eastAsia="宋体" w:hint="default"/>
                            <w:spacing w:val="-5"/>
                            <w:sz w:val="18"/>
                            <w:szCs w:val="18"/>
                          </w:rPr>
                          <w:t>参与者之一，在金融、保险、政府等领域也拥有很多高端客户，包括</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2"/>
                            <w:sz w:val="18"/>
                            <w:szCs w:val="18"/>
                          </w:rPr>
                          <w:t>建设银行、农业银行、民生银行、光大银行、中信证券、国家开发银</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行、中国人寿等等。</w:t>
                        </w:r>
                      </w:p>
                    </w:tc>
                  </w:tr>
                  <w:tr>
                    <w:trPr>
                      <w:trHeight w:val="392" w:hRule="exact"/>
                    </w:trPr>
                    <w:tc>
                      <w:tcPr>
                        <w:tcW w:w="3536" w:type="dxa"/>
                        <w:vMerge/>
                        <w:tcBorders>
                          <w:left w:val="single" w:sz="4" w:space="0" w:color="000000"/>
                          <w:right w:val="single" w:sz="9" w:space="0" w:color="D2D2D2"/>
                        </w:tcBorders>
                      </w:tcPr>
                      <w:p>
                        <w:pPr/>
                      </w:p>
                    </w:tc>
                    <w:tc>
                      <w:tcPr>
                        <w:tcW w:w="59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vMerge/>
                        <w:tcBorders>
                          <w:left w:val="single" w:sz="9" w:space="0" w:color="D2D2D2"/>
                          <w:right w:val="single" w:sz="4" w:space="0" w:color="000000"/>
                        </w:tcBorders>
                      </w:tcPr>
                      <w:p>
                        <w:pPr/>
                      </w:p>
                    </w:tc>
                  </w:tr>
                  <w:tr>
                    <w:trPr>
                      <w:trHeight w:val="1428" w:hRule="exact"/>
                    </w:trPr>
                    <w:tc>
                      <w:tcPr>
                        <w:tcW w:w="3536" w:type="dxa"/>
                        <w:vMerge/>
                        <w:tcBorders>
                          <w:left w:val="single" w:sz="4" w:space="0" w:color="000000"/>
                          <w:bottom w:val="single" w:sz="4" w:space="0" w:color="000000"/>
                          <w:right w:val="single" w:sz="9" w:space="0" w:color="D2D2D2"/>
                        </w:tcBorders>
                      </w:tcPr>
                      <w:p>
                        <w:pPr/>
                      </w:p>
                    </w:tc>
                    <w:tc>
                      <w:tcPr>
                        <w:tcW w:w="598" w:type="dxa"/>
                        <w:tcBorders>
                          <w:top w:val="nil" w:sz="6" w:space="0" w:color="auto"/>
                          <w:left w:val="single" w:sz="4" w:space="0" w:color="000000"/>
                          <w:bottom w:val="single" w:sz="4" w:space="0" w:color="000000"/>
                          <w:right w:val="single" w:sz="4" w:space="0" w:color="000000"/>
                        </w:tcBorders>
                        <w:shd w:val="clear" w:color="auto" w:fill="D2D2D2"/>
                      </w:tcPr>
                      <w:p>
                        <w:pPr/>
                      </w:p>
                    </w:tc>
                    <w:tc>
                      <w:tcPr>
                        <w:tcW w:w="5436" w:type="dxa"/>
                        <w:vMerge/>
                        <w:tcBorders>
                          <w:left w:val="single" w:sz="9" w:space="0" w:color="D2D2D2"/>
                          <w:bottom w:val="single" w:sz="4" w:space="0" w:color="000000"/>
                          <w:right w:val="single" w:sz="4" w:space="0" w:color="000000"/>
                        </w:tcBorders>
                      </w:tcPr>
                      <w:p>
                        <w:pPr/>
                      </w:p>
                    </w:tc>
                  </w:tr>
                  <w:tr>
                    <w:trPr>
                      <w:trHeight w:val="1274" w:hRule="exact"/>
                    </w:trPr>
                    <w:tc>
                      <w:tcPr>
                        <w:tcW w:w="3536" w:type="dxa"/>
                        <w:vMerge w:val="restart"/>
                        <w:tcBorders>
                          <w:top w:val="single" w:sz="4" w:space="0" w:color="000000"/>
                          <w:left w:val="single" w:sz="4" w:space="0" w:color="000000"/>
                          <w:right w:val="single" w:sz="9" w:space="0" w:color="D2D2D2"/>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2"/>
                          <w:ind w:right="3"/>
                          <w:jc w:val="center"/>
                          <w:rPr>
                            <w:rFonts w:ascii="宋体" w:hAnsi="宋体" w:cs="宋体" w:eastAsia="宋体" w:hint="default"/>
                            <w:sz w:val="18"/>
                            <w:szCs w:val="18"/>
                          </w:rPr>
                        </w:pPr>
                        <w:r>
                          <w:rPr>
                            <w:rFonts w:ascii="宋体" w:hAnsi="宋体" w:cs="宋体" w:eastAsia="宋体" w:hint="default"/>
                            <w:sz w:val="18"/>
                            <w:szCs w:val="18"/>
                          </w:rPr>
                          <w:t>人工智能</w:t>
                        </w:r>
                      </w:p>
                    </w:tc>
                    <w:tc>
                      <w:tcPr>
                        <w:tcW w:w="598" w:type="dxa"/>
                        <w:tcBorders>
                          <w:top w:val="single" w:sz="4" w:space="0" w:color="000000"/>
                          <w:left w:val="single" w:sz="4" w:space="0" w:color="000000"/>
                          <w:bottom w:val="nil" w:sz="6" w:space="0" w:color="auto"/>
                          <w:right w:val="single" w:sz="4" w:space="0" w:color="000000"/>
                        </w:tcBorders>
                        <w:shd w:val="clear" w:color="auto" w:fill="D2D2D2"/>
                      </w:tcPr>
                      <w:p>
                        <w:pPr/>
                      </w:p>
                    </w:tc>
                    <w:tc>
                      <w:tcPr>
                        <w:tcW w:w="5436" w:type="dxa"/>
                        <w:vMerge w:val="restart"/>
                        <w:tcBorders>
                          <w:top w:val="single" w:sz="4" w:space="0" w:color="000000"/>
                          <w:left w:val="single" w:sz="9" w:space="0" w:color="D2D2D2"/>
                          <w:right w:val="single" w:sz="4" w:space="0" w:color="000000"/>
                        </w:tcBorders>
                      </w:tcPr>
                      <w:p>
                        <w:pPr>
                          <w:pStyle w:val="TableParagraph"/>
                          <w:spacing w:line="309" w:lineRule="auto" w:before="51"/>
                          <w:ind w:left="27" w:right="20"/>
                          <w:jc w:val="both"/>
                          <w:rPr>
                            <w:rFonts w:ascii="宋体" w:hAnsi="宋体" w:cs="宋体" w:eastAsia="宋体" w:hint="default"/>
                            <w:sz w:val="18"/>
                            <w:szCs w:val="18"/>
                          </w:rPr>
                        </w:pPr>
                        <w:r>
                          <w:rPr>
                            <w:rFonts w:ascii="宋体" w:hAnsi="宋体" w:cs="宋体" w:eastAsia="宋体" w:hint="default"/>
                            <w:sz w:val="18"/>
                            <w:szCs w:val="18"/>
                          </w:rPr>
                          <w:t>人工智能（</w:t>
                        </w:r>
                        <w:r>
                          <w:rPr>
                            <w:rFonts w:ascii="Times New Roman" w:hAnsi="Times New Roman" w:cs="Times New Roman" w:eastAsia="Times New Roman" w:hint="default"/>
                            <w:sz w:val="18"/>
                            <w:szCs w:val="18"/>
                          </w:rPr>
                          <w:t>Artificial </w:t>
                        </w:r>
                        <w:r>
                          <w:rPr>
                            <w:rFonts w:ascii="Times New Roman" w:hAnsi="Times New Roman" w:cs="Times New Roman" w:eastAsia="Times New Roman" w:hint="default"/>
                            <w:spacing w:val="-5"/>
                            <w:sz w:val="18"/>
                            <w:szCs w:val="18"/>
                          </w:rPr>
                          <w:t>Intelligence</w:t>
                        </w:r>
                        <w:r>
                          <w:rPr>
                            <w:rFonts w:ascii="宋体" w:hAnsi="宋体" w:cs="宋体" w:eastAsia="宋体" w:hint="default"/>
                            <w:spacing w:val="-5"/>
                            <w:sz w:val="18"/>
                            <w:szCs w:val="18"/>
                          </w:rPr>
                          <w:t>），英文缩写为</w:t>
                        </w:r>
                        <w:r>
                          <w:rPr>
                            <w:rFonts w:ascii="宋体" w:hAnsi="宋体" w:cs="宋体" w:eastAsia="宋体" w:hint="default"/>
                            <w:spacing w:val="-22"/>
                            <w:sz w:val="18"/>
                            <w:szCs w:val="18"/>
                          </w:rPr>
                          <w:t> </w:t>
                        </w:r>
                        <w:r>
                          <w:rPr>
                            <w:rFonts w:ascii="Times New Roman" w:hAnsi="Times New Roman" w:cs="Times New Roman" w:eastAsia="Times New Roman" w:hint="default"/>
                            <w:w w:val="99"/>
                            <w:sz w:val="18"/>
                            <w:szCs w:val="18"/>
                          </w:rPr>
                          <w:t>AI</w:t>
                        </w:r>
                        <w:r>
                          <w:rPr>
                            <w:rFonts w:ascii="宋体" w:hAnsi="宋体" w:cs="宋体" w:eastAsia="宋体" w:hint="default"/>
                            <w:w w:val="99"/>
                            <w:sz w:val="18"/>
                            <w:szCs w:val="18"/>
                          </w:rPr>
                          <w:t>，是研究、开发用</w:t>
                        </w:r>
                        <w:r>
                          <w:rPr>
                            <w:rFonts w:ascii="宋体" w:hAnsi="宋体" w:cs="宋体" w:eastAsia="宋体" w:hint="default"/>
                            <w:sz w:val="18"/>
                            <w:szCs w:val="18"/>
                          </w:rPr>
                          <w:t> </w:t>
                        </w:r>
                        <w:r>
                          <w:rPr>
                            <w:rFonts w:ascii="宋体" w:hAnsi="宋体" w:cs="宋体" w:eastAsia="宋体" w:hint="default"/>
                            <w:spacing w:val="-2"/>
                            <w:sz w:val="18"/>
                            <w:szCs w:val="18"/>
                          </w:rPr>
                          <w:t>于模拟、延伸和扩展人的智能的理论、方法、技术及应用系统的一门</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新的技术科学。</w:t>
                        </w:r>
                      </w:p>
                      <w:p>
                        <w:pPr>
                          <w:pStyle w:val="TableParagraph"/>
                          <w:spacing w:line="319" w:lineRule="auto" w:before="62"/>
                          <w:ind w:left="27" w:right="23"/>
                          <w:jc w:val="left"/>
                          <w:rPr>
                            <w:rFonts w:ascii="宋体" w:hAnsi="宋体" w:cs="宋体" w:eastAsia="宋体" w:hint="default"/>
                            <w:sz w:val="18"/>
                            <w:szCs w:val="18"/>
                          </w:rPr>
                        </w:pPr>
                        <w:r>
                          <w:rPr>
                            <w:rFonts w:ascii="宋体" w:hAnsi="宋体" w:cs="宋体" w:eastAsia="宋体" w:hint="default"/>
                            <w:spacing w:val="-2"/>
                            <w:sz w:val="18"/>
                            <w:szCs w:val="18"/>
                          </w:rPr>
                          <w:t>业界学者认为，人工智能包含三个层次：计算智能、感知智能、认知</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4"/>
                            <w:sz w:val="18"/>
                            <w:szCs w:val="18"/>
                          </w:rPr>
                          <w:t>智能。计算智能：即快速计算、记忆和储存能力；感知智能：即视觉</w:t>
                        </w:r>
                        <w:r>
                          <w:rPr>
                            <w:rFonts w:ascii="宋体" w:hAnsi="宋体" w:cs="宋体" w:eastAsia="宋体" w:hint="default"/>
                            <w:sz w:val="18"/>
                            <w:szCs w:val="18"/>
                          </w:rPr>
                          <w:t> </w:t>
                        </w:r>
                        <w:r>
                          <w:rPr>
                            <w:rFonts w:ascii="宋体" w:hAnsi="宋体" w:cs="宋体" w:eastAsia="宋体" w:hint="default"/>
                            <w:spacing w:val="-5"/>
                            <w:sz w:val="18"/>
                            <w:szCs w:val="18"/>
                          </w:rPr>
                          <w:t>听觉、触觉等感知能力，主要涉及到语音识别、图像识别、人脸识别</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5"/>
                            <w:sz w:val="18"/>
                            <w:szCs w:val="18"/>
                          </w:rPr>
                          <w:t>语音合成等技术方向；</w:t>
                        </w:r>
                        <w:r>
                          <w:rPr>
                            <w:rFonts w:ascii="宋体" w:hAnsi="宋体" w:cs="宋体" w:eastAsia="宋体" w:hint="default"/>
                            <w:b/>
                            <w:bCs/>
                            <w:spacing w:val="-5"/>
                            <w:sz w:val="18"/>
                            <w:szCs w:val="18"/>
                          </w:rPr>
                          <w:t>认知智能则更为复杂，包括分析、思考、理解</w:t>
                        </w:r>
                        <w:r>
                          <w:rPr>
                            <w:rFonts w:ascii="宋体" w:hAnsi="宋体" w:cs="宋体" w:eastAsia="宋体" w:hint="default"/>
                            <w:b/>
                            <w:bCs/>
                            <w:spacing w:val="-82"/>
                            <w:sz w:val="18"/>
                            <w:szCs w:val="18"/>
                          </w:rPr>
                          <w:t> </w:t>
                        </w:r>
                        <w:r>
                          <w:rPr>
                            <w:rFonts w:ascii="宋体" w:hAnsi="宋体" w:cs="宋体" w:eastAsia="宋体" w:hint="default"/>
                            <w:b/>
                            <w:bCs/>
                            <w:spacing w:val="-82"/>
                            <w:sz w:val="18"/>
                            <w:szCs w:val="18"/>
                          </w:rPr>
                        </w:r>
                        <w:r>
                          <w:rPr>
                            <w:rFonts w:ascii="宋体" w:hAnsi="宋体" w:cs="宋体" w:eastAsia="宋体" w:hint="default"/>
                            <w:b/>
                            <w:bCs/>
                            <w:spacing w:val="-2"/>
                            <w:sz w:val="18"/>
                            <w:szCs w:val="18"/>
                          </w:rPr>
                          <w:t>判断的能力，主要涉及到自然语言理解、知识表达、逻辑推理、自主</w:t>
                        </w:r>
                        <w:r>
                          <w:rPr>
                            <w:rFonts w:ascii="宋体" w:hAnsi="宋体" w:cs="宋体" w:eastAsia="宋体" w:hint="default"/>
                            <w:b/>
                            <w:bCs/>
                            <w:w w:val="99"/>
                            <w:sz w:val="18"/>
                            <w:szCs w:val="18"/>
                          </w:rPr>
                          <w:t> </w:t>
                        </w:r>
                        <w:r>
                          <w:rPr>
                            <w:rFonts w:ascii="宋体" w:hAnsi="宋体" w:cs="宋体" w:eastAsia="宋体" w:hint="default"/>
                            <w:b/>
                            <w:bCs/>
                            <w:sz w:val="18"/>
                            <w:szCs w:val="18"/>
                          </w:rPr>
                          <w:t>学习等方向。</w:t>
                        </w:r>
                        <w:r>
                          <w:rPr>
                            <w:rFonts w:ascii="宋体" w:hAnsi="宋体" w:cs="宋体" w:eastAsia="宋体" w:hint="default"/>
                            <w:sz w:val="18"/>
                            <w:szCs w:val="18"/>
                          </w:rPr>
                        </w:r>
                      </w:p>
                    </w:tc>
                  </w:tr>
                  <w:tr>
                    <w:trPr>
                      <w:trHeight w:val="392" w:hRule="exact"/>
                    </w:trPr>
                    <w:tc>
                      <w:tcPr>
                        <w:tcW w:w="3536" w:type="dxa"/>
                        <w:vMerge/>
                        <w:tcBorders>
                          <w:left w:val="single" w:sz="4" w:space="0" w:color="000000"/>
                          <w:right w:val="single" w:sz="9" w:space="0" w:color="D2D2D2"/>
                        </w:tcBorders>
                      </w:tcPr>
                      <w:p>
                        <w:pPr/>
                      </w:p>
                    </w:tc>
                    <w:tc>
                      <w:tcPr>
                        <w:tcW w:w="59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vMerge/>
                        <w:tcBorders>
                          <w:left w:val="single" w:sz="9" w:space="0" w:color="D2D2D2"/>
                          <w:right w:val="single" w:sz="4" w:space="0" w:color="000000"/>
                        </w:tcBorders>
                      </w:tcPr>
                      <w:p>
                        <w:pPr/>
                      </w:p>
                    </w:tc>
                  </w:tr>
                  <w:tr>
                    <w:trPr>
                      <w:trHeight w:val="1272" w:hRule="exact"/>
                    </w:trPr>
                    <w:tc>
                      <w:tcPr>
                        <w:tcW w:w="3536" w:type="dxa"/>
                        <w:vMerge/>
                        <w:tcBorders>
                          <w:left w:val="single" w:sz="4" w:space="0" w:color="000000"/>
                          <w:bottom w:val="single" w:sz="4" w:space="0" w:color="000000"/>
                          <w:right w:val="single" w:sz="9" w:space="0" w:color="D2D2D2"/>
                        </w:tcBorders>
                      </w:tcPr>
                      <w:p>
                        <w:pPr/>
                      </w:p>
                    </w:tc>
                    <w:tc>
                      <w:tcPr>
                        <w:tcW w:w="598" w:type="dxa"/>
                        <w:tcBorders>
                          <w:top w:val="nil" w:sz="6" w:space="0" w:color="auto"/>
                          <w:left w:val="single" w:sz="4" w:space="0" w:color="000000"/>
                          <w:bottom w:val="single" w:sz="4" w:space="0" w:color="000000"/>
                          <w:right w:val="single" w:sz="4" w:space="0" w:color="000000"/>
                        </w:tcBorders>
                        <w:shd w:val="clear" w:color="auto" w:fill="D2D2D2"/>
                      </w:tcPr>
                      <w:p>
                        <w:pPr/>
                      </w:p>
                    </w:tc>
                    <w:tc>
                      <w:tcPr>
                        <w:tcW w:w="5436" w:type="dxa"/>
                        <w:vMerge/>
                        <w:tcBorders>
                          <w:left w:val="single" w:sz="9" w:space="0" w:color="D2D2D2"/>
                          <w:bottom w:val="single" w:sz="4" w:space="0" w:color="000000"/>
                          <w:right w:val="single" w:sz="4" w:space="0" w:color="000000"/>
                        </w:tcBorders>
                      </w:tcPr>
                      <w:p>
                        <w:pPr/>
                      </w:p>
                    </w:tc>
                  </w:tr>
                  <w:tr>
                    <w:trPr>
                      <w:trHeight w:val="474" w:hRule="exact"/>
                    </w:trPr>
                    <w:tc>
                      <w:tcPr>
                        <w:tcW w:w="3536" w:type="dxa"/>
                        <w:vMerge w:val="restart"/>
                        <w:tcBorders>
                          <w:top w:val="single" w:sz="4" w:space="0" w:color="000000"/>
                          <w:left w:val="single" w:sz="4" w:space="0" w:color="000000"/>
                          <w:right w:val="single" w:sz="9" w:space="0" w:color="D2D2D2"/>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自然语言处理</w:t>
                        </w:r>
                      </w:p>
                    </w:tc>
                    <w:tc>
                      <w:tcPr>
                        <w:tcW w:w="598" w:type="dxa"/>
                        <w:tcBorders>
                          <w:top w:val="single" w:sz="4" w:space="0" w:color="000000"/>
                          <w:left w:val="single" w:sz="4" w:space="0" w:color="000000"/>
                          <w:bottom w:val="nil" w:sz="6" w:space="0" w:color="auto"/>
                          <w:right w:val="single" w:sz="4" w:space="0" w:color="000000"/>
                        </w:tcBorders>
                        <w:shd w:val="clear" w:color="auto" w:fill="D2D2D2"/>
                      </w:tcPr>
                      <w:p>
                        <w:pPr/>
                      </w:p>
                    </w:tc>
                    <w:tc>
                      <w:tcPr>
                        <w:tcW w:w="5436" w:type="dxa"/>
                        <w:vMerge w:val="restart"/>
                        <w:tcBorders>
                          <w:top w:val="single" w:sz="4" w:space="0" w:color="000000"/>
                          <w:left w:val="single" w:sz="9" w:space="0" w:color="D2D2D2"/>
                          <w:right w:val="single" w:sz="4" w:space="0" w:color="000000"/>
                        </w:tcBorders>
                      </w:tcPr>
                      <w:p>
                        <w:pPr>
                          <w:pStyle w:val="TableParagraph"/>
                          <w:spacing w:line="312" w:lineRule="auto" w:before="52"/>
                          <w:ind w:left="27" w:right="21"/>
                          <w:jc w:val="both"/>
                          <w:rPr>
                            <w:rFonts w:ascii="宋体" w:hAnsi="宋体" w:cs="宋体" w:eastAsia="宋体" w:hint="default"/>
                            <w:sz w:val="18"/>
                            <w:szCs w:val="18"/>
                          </w:rPr>
                        </w:pPr>
                        <w:r>
                          <w:rPr>
                            <w:rFonts w:ascii="宋体" w:hAnsi="宋体" w:cs="宋体" w:eastAsia="宋体" w:hint="default"/>
                            <w:sz w:val="18"/>
                            <w:szCs w:val="18"/>
                          </w:rPr>
                          <w:t>自然语言处理，即</w:t>
                        </w:r>
                        <w:r>
                          <w:rPr>
                            <w:rFonts w:ascii="宋体" w:hAnsi="宋体" w:cs="宋体" w:eastAsia="宋体" w:hint="default"/>
                            <w:spacing w:val="-41"/>
                            <w:sz w:val="18"/>
                            <w:szCs w:val="18"/>
                          </w:rPr>
                          <w:t> </w:t>
                        </w:r>
                        <w:r>
                          <w:rPr>
                            <w:rFonts w:ascii="Times New Roman" w:hAnsi="Times New Roman" w:cs="Times New Roman" w:eastAsia="Times New Roman" w:hint="default"/>
                            <w:spacing w:val="-1"/>
                            <w:w w:val="99"/>
                            <w:sz w:val="18"/>
                            <w:szCs w:val="18"/>
                          </w:rPr>
                          <w:t>NLP</w:t>
                        </w:r>
                        <w:r>
                          <w:rPr>
                            <w:rFonts w:ascii="宋体" w:hAnsi="宋体" w:cs="宋体" w:eastAsia="宋体" w:hint="default"/>
                            <w:spacing w:val="-1"/>
                            <w:w w:val="99"/>
                            <w:sz w:val="18"/>
                            <w:szCs w:val="18"/>
                          </w:rPr>
                          <w:t>（</w:t>
                        </w:r>
                        <w:r>
                          <w:rPr>
                            <w:rFonts w:ascii="Times New Roman" w:hAnsi="Times New Roman" w:cs="Times New Roman" w:eastAsia="Times New Roman" w:hint="default"/>
                            <w:spacing w:val="-1"/>
                            <w:w w:val="99"/>
                            <w:sz w:val="18"/>
                            <w:szCs w:val="18"/>
                          </w:rPr>
                          <w:t>Natural</w:t>
                        </w:r>
                        <w:r>
                          <w:rPr>
                            <w:rFonts w:ascii="Times New Roman" w:hAnsi="Times New Roman" w:cs="Times New Roman" w:eastAsia="Times New Roman" w:hint="default"/>
                            <w:spacing w:val="1"/>
                            <w:w w:val="99"/>
                            <w:sz w:val="18"/>
                            <w:szCs w:val="18"/>
                          </w:rPr>
                          <w:t> </w:t>
                        </w:r>
                        <w:r>
                          <w:rPr>
                            <w:rFonts w:ascii="Times New Roman" w:hAnsi="Times New Roman" w:cs="Times New Roman" w:eastAsia="Times New Roman" w:hint="default"/>
                            <w:spacing w:val="-1"/>
                            <w:sz w:val="18"/>
                            <w:szCs w:val="18"/>
                          </w:rPr>
                          <w:t>Language</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6"/>
                            <w:w w:val="99"/>
                            <w:sz w:val="18"/>
                            <w:szCs w:val="18"/>
                          </w:rPr>
                          <w:t>Processing</w:t>
                        </w:r>
                        <w:r>
                          <w:rPr>
                            <w:rFonts w:ascii="宋体" w:hAnsi="宋体" w:cs="宋体" w:eastAsia="宋体" w:hint="default"/>
                            <w:spacing w:val="-6"/>
                            <w:w w:val="99"/>
                            <w:sz w:val="18"/>
                            <w:szCs w:val="18"/>
                          </w:rPr>
                          <w:t>）。自然语言处</w:t>
                        </w:r>
                        <w:r>
                          <w:rPr>
                            <w:rFonts w:ascii="宋体" w:hAnsi="宋体" w:cs="宋体" w:eastAsia="宋体" w:hint="default"/>
                            <w:spacing w:val="-88"/>
                            <w:w w:val="99"/>
                            <w:sz w:val="18"/>
                            <w:szCs w:val="18"/>
                          </w:rPr>
                          <w:t> </w:t>
                        </w:r>
                        <w:r>
                          <w:rPr>
                            <w:rFonts w:ascii="宋体" w:hAnsi="宋体" w:cs="宋体" w:eastAsia="宋体" w:hint="default"/>
                            <w:spacing w:val="-88"/>
                            <w:w w:val="99"/>
                            <w:sz w:val="18"/>
                            <w:szCs w:val="18"/>
                          </w:rPr>
                        </w:r>
                        <w:r>
                          <w:rPr>
                            <w:rFonts w:ascii="宋体" w:hAnsi="宋体" w:cs="宋体" w:eastAsia="宋体" w:hint="default"/>
                            <w:spacing w:val="4"/>
                            <w:sz w:val="18"/>
                            <w:szCs w:val="18"/>
                          </w:rPr>
                          <w:t>理作为认知智能的核心技术将人工智能由能听会看提升到能理解会</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思考，是继图像处理和语音处理后公认的人工智能的最新热点，市场</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规模正逐步接近图像处理和语音处理。</w:t>
                        </w:r>
                      </w:p>
                    </w:tc>
                  </w:tr>
                  <w:tr>
                    <w:trPr>
                      <w:trHeight w:val="391" w:hRule="exact"/>
                    </w:trPr>
                    <w:tc>
                      <w:tcPr>
                        <w:tcW w:w="3536" w:type="dxa"/>
                        <w:vMerge/>
                        <w:tcBorders>
                          <w:left w:val="single" w:sz="4" w:space="0" w:color="000000"/>
                          <w:right w:val="single" w:sz="9" w:space="0" w:color="D2D2D2"/>
                        </w:tcBorders>
                      </w:tcPr>
                      <w:p>
                        <w:pPr/>
                      </w:p>
                    </w:tc>
                    <w:tc>
                      <w:tcPr>
                        <w:tcW w:w="59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vMerge/>
                        <w:tcBorders>
                          <w:left w:val="single" w:sz="9" w:space="0" w:color="D2D2D2"/>
                          <w:right w:val="single" w:sz="4" w:space="0" w:color="000000"/>
                        </w:tcBorders>
                      </w:tcPr>
                      <w:p>
                        <w:pPr/>
                      </w:p>
                    </w:tc>
                  </w:tr>
                  <w:tr>
                    <w:trPr>
                      <w:trHeight w:val="473" w:hRule="exact"/>
                    </w:trPr>
                    <w:tc>
                      <w:tcPr>
                        <w:tcW w:w="3536" w:type="dxa"/>
                        <w:vMerge/>
                        <w:tcBorders>
                          <w:left w:val="single" w:sz="4" w:space="0" w:color="000000"/>
                          <w:bottom w:val="single" w:sz="4" w:space="0" w:color="000000"/>
                          <w:right w:val="single" w:sz="9" w:space="0" w:color="D2D2D2"/>
                        </w:tcBorders>
                      </w:tcPr>
                      <w:p>
                        <w:pPr/>
                      </w:p>
                    </w:tc>
                    <w:tc>
                      <w:tcPr>
                        <w:tcW w:w="598" w:type="dxa"/>
                        <w:tcBorders>
                          <w:top w:val="nil" w:sz="6" w:space="0" w:color="auto"/>
                          <w:left w:val="single" w:sz="4" w:space="0" w:color="000000"/>
                          <w:bottom w:val="single" w:sz="4" w:space="0" w:color="000000"/>
                          <w:right w:val="single" w:sz="4" w:space="0" w:color="000000"/>
                        </w:tcBorders>
                        <w:shd w:val="clear" w:color="auto" w:fill="D2D2D2"/>
                      </w:tcPr>
                      <w:p>
                        <w:pPr/>
                      </w:p>
                    </w:tc>
                    <w:tc>
                      <w:tcPr>
                        <w:tcW w:w="5436" w:type="dxa"/>
                        <w:vMerge/>
                        <w:tcBorders>
                          <w:left w:val="single" w:sz="9" w:space="0" w:color="D2D2D2"/>
                          <w:bottom w:val="single" w:sz="4" w:space="0" w:color="000000"/>
                          <w:right w:val="single" w:sz="4" w:space="0" w:color="000000"/>
                        </w:tcBorders>
                      </w:tcPr>
                      <w:p>
                        <w:pPr/>
                      </w:p>
                    </w:tc>
                  </w:tr>
                  <w:tr>
                    <w:trPr>
                      <w:trHeight w:val="1098" w:hRule="exact"/>
                    </w:trPr>
                    <w:tc>
                      <w:tcPr>
                        <w:tcW w:w="3536" w:type="dxa"/>
                        <w:vMerge w:val="restart"/>
                        <w:tcBorders>
                          <w:top w:val="single" w:sz="4" w:space="0" w:color="000000"/>
                          <w:left w:val="single" w:sz="4" w:space="0" w:color="000000"/>
                          <w:right w:val="single" w:sz="9" w:space="0" w:color="D2D2D2"/>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4"/>
                          <w:jc w:val="center"/>
                          <w:rPr>
                            <w:rFonts w:ascii="Times New Roman" w:hAnsi="Times New Roman" w:cs="Times New Roman" w:eastAsia="Times New Roman" w:hint="default"/>
                            <w:sz w:val="18"/>
                            <w:szCs w:val="18"/>
                          </w:rPr>
                        </w:pPr>
                        <w:r>
                          <w:rPr>
                            <w:rFonts w:ascii="宋体" w:hAnsi="宋体" w:cs="宋体" w:eastAsia="宋体" w:hint="default"/>
                            <w:sz w:val="18"/>
                            <w:szCs w:val="18"/>
                          </w:rPr>
                          <w:t>智脑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p>
                    </w:tc>
                    <w:tc>
                      <w:tcPr>
                        <w:tcW w:w="598" w:type="dxa"/>
                        <w:tcBorders>
                          <w:top w:val="single" w:sz="4" w:space="0" w:color="000000"/>
                          <w:left w:val="single" w:sz="4" w:space="0" w:color="000000"/>
                          <w:bottom w:val="nil" w:sz="6" w:space="0" w:color="auto"/>
                          <w:right w:val="single" w:sz="4" w:space="0" w:color="000000"/>
                        </w:tcBorders>
                        <w:shd w:val="clear" w:color="auto" w:fill="D2D2D2"/>
                      </w:tcPr>
                      <w:p>
                        <w:pPr/>
                      </w:p>
                    </w:tc>
                    <w:tc>
                      <w:tcPr>
                        <w:tcW w:w="5436" w:type="dxa"/>
                        <w:vMerge w:val="restart"/>
                        <w:tcBorders>
                          <w:top w:val="single" w:sz="4" w:space="0" w:color="000000"/>
                          <w:left w:val="single" w:sz="9" w:space="0" w:color="D2D2D2"/>
                          <w:right w:val="single" w:sz="4" w:space="0" w:color="000000"/>
                        </w:tcBorders>
                      </w:tcPr>
                      <w:p>
                        <w:pPr>
                          <w:pStyle w:val="TableParagraph"/>
                          <w:spacing w:line="312" w:lineRule="auto" w:before="52"/>
                          <w:ind w:left="27" w:right="23"/>
                          <w:jc w:val="left"/>
                          <w:rPr>
                            <w:rFonts w:ascii="宋体" w:hAnsi="宋体" w:cs="宋体" w:eastAsia="宋体" w:hint="default"/>
                            <w:sz w:val="18"/>
                            <w:szCs w:val="18"/>
                          </w:rPr>
                        </w:pPr>
                        <w:r>
                          <w:rPr>
                            <w:rFonts w:ascii="宋体" w:hAnsi="宋体" w:cs="宋体" w:eastAsia="宋体" w:hint="default"/>
                            <w:spacing w:val="-2"/>
                            <w:sz w:val="18"/>
                            <w:szCs w:val="18"/>
                          </w:rPr>
                          <w:t>是公司推出面向公安行业的以“数据汇聚、手段集成、权限集中、警</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种联动、智能实用、安全可靠、成果共享”为中心原则，基于</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PB</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级 全量数据秒级运算的大数据</w:t>
                        </w:r>
                        <w:r>
                          <w:rPr>
                            <w:rFonts w:ascii="Times New Roman" w:hAnsi="Times New Roman" w:cs="Times New Roman" w:eastAsia="Times New Roman" w:hint="default"/>
                            <w:sz w:val="18"/>
                            <w:szCs w:val="18"/>
                          </w:rPr>
                          <w:t>+</w:t>
                        </w:r>
                        <w:r>
                          <w:rPr>
                            <w:rFonts w:ascii="宋体" w:hAnsi="宋体" w:cs="宋体" w:eastAsia="宋体" w:hint="default"/>
                            <w:sz w:val="18"/>
                            <w:szCs w:val="18"/>
                          </w:rPr>
                          <w:t>人工智能综合应用产品，打造的面向全</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z w:val="18"/>
                            <w:szCs w:val="18"/>
                          </w:rPr>
                          <w:t>警业务服务的新一代产品。 </w:t>
                        </w:r>
                        <w:r>
                          <w:rPr>
                            <w:rFonts w:ascii="宋体" w:hAnsi="宋体" w:cs="宋体" w:eastAsia="宋体" w:hint="default"/>
                            <w:spacing w:val="-2"/>
                            <w:sz w:val="18"/>
                            <w:szCs w:val="18"/>
                          </w:rPr>
                          <w:t>该系列产品基于三大平台产品为支撑，即：实体分析平台、智能研判</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平台及业务定义平台。产品在情报分析、案件串并、实体布控、实体</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挖掘、关联分析、时空轨迹分析、话单分析等领域，都提供了整套解</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决方案。</w:t>
                        </w:r>
                      </w:p>
                    </w:tc>
                  </w:tr>
                  <w:tr>
                    <w:trPr>
                      <w:trHeight w:val="391" w:hRule="exact"/>
                    </w:trPr>
                    <w:tc>
                      <w:tcPr>
                        <w:tcW w:w="3536" w:type="dxa"/>
                        <w:vMerge/>
                        <w:tcBorders>
                          <w:left w:val="single" w:sz="4" w:space="0" w:color="000000"/>
                          <w:right w:val="single" w:sz="9" w:space="0" w:color="D2D2D2"/>
                        </w:tcBorders>
                      </w:tcPr>
                      <w:p>
                        <w:pPr/>
                      </w:p>
                    </w:tc>
                    <w:tc>
                      <w:tcPr>
                        <w:tcW w:w="59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vMerge/>
                        <w:tcBorders>
                          <w:left w:val="single" w:sz="9" w:space="0" w:color="D2D2D2"/>
                          <w:right w:val="single" w:sz="4" w:space="0" w:color="000000"/>
                        </w:tcBorders>
                      </w:tcPr>
                      <w:p>
                        <w:pPr/>
                      </w:p>
                    </w:tc>
                  </w:tr>
                  <w:tr>
                    <w:trPr>
                      <w:trHeight w:val="1097" w:hRule="exact"/>
                    </w:trPr>
                    <w:tc>
                      <w:tcPr>
                        <w:tcW w:w="3536" w:type="dxa"/>
                        <w:vMerge/>
                        <w:tcBorders>
                          <w:left w:val="single" w:sz="4" w:space="0" w:color="000000"/>
                          <w:bottom w:val="single" w:sz="4" w:space="0" w:color="000000"/>
                          <w:right w:val="single" w:sz="9" w:space="0" w:color="D2D2D2"/>
                        </w:tcBorders>
                      </w:tcPr>
                      <w:p>
                        <w:pPr/>
                      </w:p>
                    </w:tc>
                    <w:tc>
                      <w:tcPr>
                        <w:tcW w:w="598" w:type="dxa"/>
                        <w:tcBorders>
                          <w:top w:val="nil" w:sz="6" w:space="0" w:color="auto"/>
                          <w:left w:val="single" w:sz="4" w:space="0" w:color="000000"/>
                          <w:bottom w:val="single" w:sz="4" w:space="0" w:color="000000"/>
                          <w:right w:val="single" w:sz="4" w:space="0" w:color="000000"/>
                        </w:tcBorders>
                        <w:shd w:val="clear" w:color="auto" w:fill="D2D2D2"/>
                      </w:tcPr>
                      <w:p>
                        <w:pPr/>
                      </w:p>
                    </w:tc>
                    <w:tc>
                      <w:tcPr>
                        <w:tcW w:w="5436" w:type="dxa"/>
                        <w:vMerge/>
                        <w:tcBorders>
                          <w:left w:val="single" w:sz="9" w:space="0" w:color="D2D2D2"/>
                          <w:bottom w:val="single" w:sz="4" w:space="0" w:color="000000"/>
                          <w:right w:val="single" w:sz="4" w:space="0" w:color="000000"/>
                        </w:tcBorders>
                      </w:tcPr>
                      <w:p>
                        <w:pPr/>
                      </w:p>
                    </w:tc>
                  </w:tr>
                  <w:tr>
                    <w:trPr>
                      <w:trHeight w:val="474" w:hRule="exact"/>
                    </w:trPr>
                    <w:tc>
                      <w:tcPr>
                        <w:tcW w:w="3536" w:type="dxa"/>
                        <w:vMerge w:val="restart"/>
                        <w:tcBorders>
                          <w:top w:val="single" w:sz="4" w:space="0" w:color="000000"/>
                          <w:left w:val="single" w:sz="4" w:space="0" w:color="000000"/>
                          <w:right w:val="single" w:sz="9" w:space="0" w:color="D2D2D2"/>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睿达控</w:t>
                        </w:r>
                      </w:p>
                    </w:tc>
                    <w:tc>
                      <w:tcPr>
                        <w:tcW w:w="598" w:type="dxa"/>
                        <w:tcBorders>
                          <w:top w:val="single" w:sz="4" w:space="0" w:color="000000"/>
                          <w:left w:val="single" w:sz="4" w:space="0" w:color="000000"/>
                          <w:bottom w:val="nil" w:sz="6" w:space="0" w:color="auto"/>
                          <w:right w:val="single" w:sz="4" w:space="0" w:color="000000"/>
                        </w:tcBorders>
                        <w:shd w:val="clear" w:color="auto" w:fill="D2D2D2"/>
                      </w:tcPr>
                      <w:p>
                        <w:pPr/>
                      </w:p>
                    </w:tc>
                    <w:tc>
                      <w:tcPr>
                        <w:tcW w:w="5436" w:type="dxa"/>
                        <w:vMerge w:val="restart"/>
                        <w:tcBorders>
                          <w:top w:val="single" w:sz="4" w:space="0" w:color="000000"/>
                          <w:left w:val="single" w:sz="9" w:space="0" w:color="D2D2D2"/>
                          <w:right w:val="single" w:sz="4" w:space="0" w:color="000000"/>
                        </w:tcBorders>
                      </w:tcPr>
                      <w:p>
                        <w:pPr>
                          <w:pStyle w:val="TableParagraph"/>
                          <w:spacing w:line="338" w:lineRule="auto" w:before="53"/>
                          <w:ind w:left="27" w:right="22"/>
                          <w:jc w:val="left"/>
                          <w:rPr>
                            <w:rFonts w:ascii="宋体" w:hAnsi="宋体" w:cs="宋体" w:eastAsia="宋体" w:hint="default"/>
                            <w:sz w:val="18"/>
                            <w:szCs w:val="18"/>
                          </w:rPr>
                        </w:pPr>
                        <w:r>
                          <w:rPr>
                            <w:rFonts w:ascii="宋体" w:hAnsi="宋体" w:cs="宋体" w:eastAsia="宋体" w:hint="default"/>
                            <w:spacing w:val="-2"/>
                            <w:sz w:val="18"/>
                            <w:szCs w:val="18"/>
                          </w:rPr>
                          <w:t>基于公司的语义认知、大数据、机器深度学习技术的，面向金融风控</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领域的大数据风控平台。 </w:t>
                        </w:r>
                        <w:r>
                          <w:rPr>
                            <w:rFonts w:ascii="宋体" w:hAnsi="宋体" w:cs="宋体" w:eastAsia="宋体" w:hint="default"/>
                            <w:spacing w:val="-2"/>
                            <w:sz w:val="18"/>
                            <w:szCs w:val="18"/>
                          </w:rPr>
                          <w:t>可通过对企业基本信息、信用报告等数据的处理，形成企业画像、企</w:t>
                        </w:r>
                      </w:p>
                      <w:p>
                        <w:pPr>
                          <w:pStyle w:val="TableParagraph"/>
                          <w:spacing w:line="240" w:lineRule="auto" w:before="2"/>
                          <w:ind w:left="27" w:right="0"/>
                          <w:jc w:val="left"/>
                          <w:rPr>
                            <w:rFonts w:ascii="宋体" w:hAnsi="宋体" w:cs="宋体" w:eastAsia="宋体" w:hint="default"/>
                            <w:sz w:val="18"/>
                            <w:szCs w:val="18"/>
                          </w:rPr>
                        </w:pPr>
                        <w:r>
                          <w:rPr>
                            <w:rFonts w:ascii="宋体" w:hAnsi="宋体" w:cs="宋体" w:eastAsia="宋体" w:hint="default"/>
                            <w:spacing w:val="-2"/>
                            <w:sz w:val="18"/>
                            <w:szCs w:val="18"/>
                          </w:rPr>
                          <w:t>业关联、风险预警等信息，以充分整合、利用互联网公开数据和机构</w:t>
                        </w:r>
                      </w:p>
                    </w:tc>
                  </w:tr>
                  <w:tr>
                    <w:trPr>
                      <w:trHeight w:val="391" w:hRule="exact"/>
                    </w:trPr>
                    <w:tc>
                      <w:tcPr>
                        <w:tcW w:w="3536" w:type="dxa"/>
                        <w:vMerge/>
                        <w:tcBorders>
                          <w:left w:val="single" w:sz="4" w:space="0" w:color="000000"/>
                          <w:right w:val="single" w:sz="9" w:space="0" w:color="D2D2D2"/>
                        </w:tcBorders>
                      </w:tcPr>
                      <w:p>
                        <w:pPr/>
                      </w:p>
                    </w:tc>
                    <w:tc>
                      <w:tcPr>
                        <w:tcW w:w="59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vMerge/>
                        <w:tcBorders>
                          <w:left w:val="single" w:sz="9" w:space="0" w:color="D2D2D2"/>
                          <w:right w:val="single" w:sz="4" w:space="0" w:color="000000"/>
                        </w:tcBorders>
                      </w:tcPr>
                      <w:p>
                        <w:pPr/>
                      </w:p>
                    </w:tc>
                  </w:tr>
                  <w:tr>
                    <w:trPr>
                      <w:trHeight w:val="474" w:hRule="exact"/>
                    </w:trPr>
                    <w:tc>
                      <w:tcPr>
                        <w:tcW w:w="3536" w:type="dxa"/>
                        <w:vMerge/>
                        <w:tcBorders>
                          <w:left w:val="single" w:sz="4" w:space="0" w:color="000000"/>
                          <w:bottom w:val="single" w:sz="4" w:space="0" w:color="000000"/>
                          <w:right w:val="single" w:sz="9" w:space="0" w:color="D2D2D2"/>
                        </w:tcBorders>
                      </w:tcPr>
                      <w:p>
                        <w:pPr/>
                      </w:p>
                    </w:tc>
                    <w:tc>
                      <w:tcPr>
                        <w:tcW w:w="598" w:type="dxa"/>
                        <w:tcBorders>
                          <w:top w:val="nil" w:sz="6" w:space="0" w:color="auto"/>
                          <w:left w:val="single" w:sz="4" w:space="0" w:color="000000"/>
                          <w:bottom w:val="single" w:sz="4" w:space="0" w:color="000000"/>
                          <w:right w:val="single" w:sz="4" w:space="0" w:color="000000"/>
                        </w:tcBorders>
                        <w:shd w:val="clear" w:color="auto" w:fill="D2D2D2"/>
                      </w:tcPr>
                      <w:p>
                        <w:pPr/>
                      </w:p>
                    </w:tc>
                    <w:tc>
                      <w:tcPr>
                        <w:tcW w:w="5436" w:type="dxa"/>
                        <w:vMerge/>
                        <w:tcBorders>
                          <w:left w:val="single" w:sz="9" w:space="0" w:color="D2D2D2"/>
                          <w:bottom w:val="single" w:sz="4" w:space="0" w:color="000000"/>
                          <w:right w:val="single" w:sz="4" w:space="0" w:color="000000"/>
                        </w:tcBorders>
                      </w:tcPr>
                      <w:p>
                        <w:pP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BodyText"/>
        <w:spacing w:line="240" w:lineRule="auto" w:before="63"/>
        <w:ind w:left="0" w:right="1138"/>
        <w:jc w:val="right"/>
      </w:pPr>
      <w:r>
        <w:rPr/>
        <w:t>、</w:t>
      </w:r>
    </w:p>
    <w:p>
      <w:pPr>
        <w:pStyle w:val="BodyText"/>
        <w:spacing w:line="240" w:lineRule="auto" w:before="76"/>
        <w:ind w:left="0" w:right="1138"/>
        <w:jc w:val="right"/>
      </w:pPr>
      <w:r>
        <w:rPr/>
        <w:t>、</w:t>
      </w:r>
    </w:p>
    <w:p>
      <w:pPr>
        <w:pStyle w:val="Heading5"/>
        <w:spacing w:line="240" w:lineRule="auto" w:before="76"/>
        <w:ind w:left="0" w:right="1140"/>
        <w:jc w:val="right"/>
        <w:rPr>
          <w:b w:val="0"/>
          <w:bCs w:val="0"/>
        </w:rPr>
      </w:pPr>
      <w:r>
        <w:rPr>
          <w:w w:val="99"/>
        </w:rPr>
        <w:t>、</w:t>
      </w:r>
      <w:r>
        <w:rPr>
          <w:b w:val="0"/>
          <w:bCs w:val="0"/>
        </w:rPr>
      </w:r>
    </w:p>
    <w:p>
      <w:pPr>
        <w:spacing w:after="0" w:line="240" w:lineRule="auto"/>
        <w:jc w:val="right"/>
        <w:sectPr>
          <w:pgSz w:w="11910" w:h="16840"/>
          <w:pgMar w:header="851" w:footer="1187" w:top="1460" w:bottom="1380" w:left="980" w:right="0"/>
        </w:sectPr>
      </w:pPr>
    </w:p>
    <w:p>
      <w:pPr>
        <w:spacing w:line="240" w:lineRule="auto" w:before="0"/>
        <w:rPr>
          <w:rFonts w:ascii="宋体" w:hAnsi="宋体" w:cs="宋体" w:eastAsia="宋体" w:hint="default"/>
          <w:b/>
          <w:bCs/>
          <w:sz w:val="20"/>
          <w:szCs w:val="20"/>
        </w:rPr>
      </w:pPr>
      <w:r>
        <w:rPr/>
        <w:pict>
          <v:shape style="position:absolute;margin-left:56.459999pt;margin-top:72.179985pt;width:479.25pt;height:692.25pt;mso-position-horizontal-relative:page;mso-position-vertical-relative:page;z-index:11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525"/>
                    <w:gridCol w:w="621"/>
                    <w:gridCol w:w="5424"/>
                  </w:tblGrid>
                  <w:tr>
                    <w:trPr>
                      <w:trHeight w:val="374" w:hRule="exact"/>
                    </w:trPr>
                    <w:tc>
                      <w:tcPr>
                        <w:tcW w:w="3525" w:type="dxa"/>
                        <w:tcBorders>
                          <w:top w:val="single" w:sz="10" w:space="0" w:color="000000"/>
                          <w:left w:val="single" w:sz="4" w:space="0" w:color="000000"/>
                          <w:bottom w:val="single" w:sz="4" w:space="0" w:color="000000"/>
                          <w:right w:val="single" w:sz="4" w:space="0" w:color="000000"/>
                        </w:tcBorders>
                      </w:tcPr>
                      <w:p>
                        <w:pPr/>
                      </w:p>
                    </w:tc>
                    <w:tc>
                      <w:tcPr>
                        <w:tcW w:w="621" w:type="dxa"/>
                        <w:tcBorders>
                          <w:top w:val="single" w:sz="10" w:space="0" w:color="000000"/>
                          <w:left w:val="single" w:sz="4" w:space="0" w:color="000000"/>
                          <w:bottom w:val="single" w:sz="4" w:space="0" w:color="000000"/>
                          <w:right w:val="single" w:sz="4" w:space="0" w:color="000000"/>
                        </w:tcBorders>
                        <w:shd w:val="clear" w:color="auto" w:fill="D2D2D2"/>
                      </w:tcPr>
                      <w:p>
                        <w:pPr/>
                      </w:p>
                    </w:tc>
                    <w:tc>
                      <w:tcPr>
                        <w:tcW w:w="542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7"/>
                          <w:ind w:left="22" w:right="0"/>
                          <w:jc w:val="left"/>
                          <w:rPr>
                            <w:rFonts w:ascii="宋体" w:hAnsi="宋体" w:cs="宋体" w:eastAsia="宋体" w:hint="default"/>
                            <w:sz w:val="18"/>
                            <w:szCs w:val="18"/>
                          </w:rPr>
                        </w:pPr>
                        <w:r>
                          <w:rPr>
                            <w:rFonts w:ascii="宋体" w:hAnsi="宋体" w:cs="宋体" w:eastAsia="宋体" w:hint="default"/>
                            <w:sz w:val="18"/>
                            <w:szCs w:val="18"/>
                          </w:rPr>
                          <w:t>内部数据，缔造新型金融风控体系。</w:t>
                        </w:r>
                      </w:p>
                    </w:tc>
                  </w:tr>
                  <w:tr>
                    <w:trPr>
                      <w:trHeight w:val="2626"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中文信息（深度）处理开放创新平台</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
                          <w:jc w:val="left"/>
                          <w:rPr>
                            <w:rFonts w:ascii="宋体" w:hAnsi="宋体" w:cs="宋体" w:eastAsia="宋体" w:hint="default"/>
                            <w:sz w:val="18"/>
                            <w:szCs w:val="18"/>
                          </w:rPr>
                        </w:pPr>
                        <w:r>
                          <w:rPr>
                            <w:rFonts w:ascii="宋体" w:hAnsi="宋体" w:cs="宋体" w:eastAsia="宋体" w:hint="default"/>
                            <w:spacing w:val="-2"/>
                            <w:sz w:val="18"/>
                            <w:szCs w:val="18"/>
                          </w:rPr>
                          <w:t>公司联合中国中文信息学会、中国声谷，共同打造的智能语义产业平</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台</w:t>
                        </w:r>
                        <w:r>
                          <w:rPr>
                            <w:rFonts w:ascii="Times New Roman" w:hAnsi="Times New Roman" w:cs="Times New Roman" w:eastAsia="Times New Roman" w:hint="default"/>
                            <w:sz w:val="18"/>
                            <w:szCs w:val="18"/>
                          </w:rPr>
                          <w:t>——</w:t>
                        </w:r>
                        <w:r>
                          <w:rPr>
                            <w:rFonts w:ascii="宋体" w:hAnsi="宋体" w:cs="宋体" w:eastAsia="宋体" w:hint="default"/>
                            <w:sz w:val="18"/>
                            <w:szCs w:val="18"/>
                          </w:rPr>
                          <w:t>中文信息（深度）处理开放创新平台。 </w:t>
                        </w:r>
                        <w:r>
                          <w:rPr>
                            <w:rFonts w:ascii="宋体" w:hAnsi="宋体" w:cs="宋体" w:eastAsia="宋体" w:hint="default"/>
                            <w:spacing w:val="-2"/>
                            <w:sz w:val="18"/>
                            <w:szCs w:val="18"/>
                          </w:rPr>
                          <w:t>其汇聚了自然语言理解、人机交互、机器翻译、知识图谱等等人工智</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能技术及国内外 </w:t>
                        </w:r>
                        <w:r>
                          <w:rPr>
                            <w:rFonts w:ascii="Times New Roman" w:hAnsi="Times New Roman" w:cs="Times New Roman" w:eastAsia="Times New Roman" w:hint="default"/>
                            <w:sz w:val="18"/>
                            <w:szCs w:val="18"/>
                          </w:rPr>
                          <w:t>NLP</w:t>
                        </w:r>
                        <w:r>
                          <w:rPr>
                            <w:rFonts w:ascii="Times New Roman" w:hAnsi="Times New Roman" w:cs="Times New Roman" w:eastAsia="Times New Roman" w:hint="default"/>
                            <w:spacing w:val="31"/>
                            <w:sz w:val="18"/>
                            <w:szCs w:val="18"/>
                          </w:rPr>
                          <w:t> </w:t>
                        </w:r>
                        <w:r>
                          <w:rPr>
                            <w:rFonts w:ascii="宋体" w:hAnsi="宋体" w:cs="宋体" w:eastAsia="宋体" w:hint="default"/>
                            <w:sz w:val="18"/>
                            <w:szCs w:val="18"/>
                          </w:rPr>
                          <w:t>专家团队，经过多年探索与实践打造出的国内 </w:t>
                        </w:r>
                        <w:r>
                          <w:rPr>
                            <w:rFonts w:ascii="宋体" w:hAnsi="宋体" w:cs="宋体" w:eastAsia="宋体" w:hint="default"/>
                            <w:spacing w:val="-2"/>
                            <w:sz w:val="18"/>
                            <w:szCs w:val="18"/>
                          </w:rPr>
                          <w:t>首个智能语义开放平台。该平台专注于认知智能、语言智能，语义智</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能技术和产品服务，是一个集成果展示、品牌建设、创新项目落地、 </w:t>
                        </w:r>
                        <w:r>
                          <w:rPr>
                            <w:rFonts w:ascii="宋体" w:hAnsi="宋体" w:cs="宋体" w:eastAsia="宋体" w:hint="default"/>
                            <w:spacing w:val="-2"/>
                            <w:sz w:val="18"/>
                            <w:szCs w:val="18"/>
                          </w:rPr>
                          <w:t>数据共享、产品孵化、技术推广、知识分享于一体的完整的产学研用</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育的生态体系。</w:t>
                        </w:r>
                      </w:p>
                    </w:tc>
                  </w:tr>
                  <w:tr>
                    <w:trPr>
                      <w:trHeight w:val="196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0"/>
                          <w:jc w:val="center"/>
                          <w:rPr>
                            <w:rFonts w:ascii="宋体" w:hAnsi="宋体" w:cs="宋体" w:eastAsia="宋体" w:hint="default"/>
                            <w:sz w:val="18"/>
                            <w:szCs w:val="18"/>
                          </w:rPr>
                        </w:pPr>
                        <w:r>
                          <w:rPr>
                            <w:rFonts w:ascii="宋体" w:hAnsi="宋体" w:cs="宋体" w:eastAsia="宋体" w:hint="default"/>
                            <w:sz w:val="18"/>
                            <w:szCs w:val="18"/>
                          </w:rPr>
                          <w:t>物联网</w:t>
                        </w:r>
                        <w:r>
                          <w:rPr>
                            <w:rFonts w:ascii="Times New Roman" w:hAnsi="Times New Roman" w:cs="Times New Roman" w:eastAsia="Times New Roman" w:hint="default"/>
                            <w:sz w:val="18"/>
                            <w:szCs w:val="18"/>
                          </w:rPr>
                          <w:t>/</w:t>
                        </w:r>
                        <w:r>
                          <w:rPr>
                            <w:rFonts w:ascii="宋体" w:hAnsi="宋体" w:cs="宋体" w:eastAsia="宋体" w:hint="default"/>
                            <w:sz w:val="18"/>
                            <w:szCs w:val="18"/>
                          </w:rPr>
                          <w:t>通信</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9"/>
                          <w:jc w:val="left"/>
                          <w:rPr>
                            <w:rFonts w:ascii="宋体" w:hAnsi="宋体" w:cs="宋体" w:eastAsia="宋体" w:hint="default"/>
                            <w:sz w:val="18"/>
                            <w:szCs w:val="18"/>
                          </w:rPr>
                        </w:pPr>
                        <w:r>
                          <w:rPr>
                            <w:rFonts w:ascii="宋体" w:hAnsi="宋体" w:cs="宋体" w:eastAsia="宋体" w:hint="default"/>
                            <w:spacing w:val="-2"/>
                            <w:sz w:val="18"/>
                            <w:szCs w:val="18"/>
                          </w:rPr>
                          <w:t>公司专注于物联网及通信技术的研究，经过多年的积累，已将各技术</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封装为可任意拼装的模块化单元，这样的单元包括：自有操作系统、 </w:t>
                        </w:r>
                        <w:r>
                          <w:rPr>
                            <w:rFonts w:ascii="宋体" w:hAnsi="宋体" w:cs="宋体" w:eastAsia="宋体" w:hint="default"/>
                            <w:spacing w:val="-5"/>
                            <w:sz w:val="18"/>
                            <w:szCs w:val="18"/>
                          </w:rPr>
                          <w:t>协议栈、无线通信、有线通信、高精度定位、异物监测、传感监控等</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利用这些单元，针对不同的行业领域提供深度定制化设备，填补相关</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行业空白，助力工业、军事等领域构建完全自主可控的物联网与统一</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通信平台，已广泛应用于核设施、城市管廊、周界安防等领域。</w:t>
                        </w:r>
                      </w:p>
                    </w:tc>
                  </w:tr>
                  <w:tr>
                    <w:trPr>
                      <w:trHeight w:val="1338"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智慧线</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2"/>
                            <w:sz w:val="18"/>
                            <w:szCs w:val="18"/>
                          </w:rPr>
                          <w:t>是公司自主研发的物联网通讯技术的核心产品，内嵌物联网芯片，集</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5"/>
                            <w:sz w:val="18"/>
                            <w:szCs w:val="18"/>
                          </w:rPr>
                          <w:t>射频收发、供电、数字信号传输于一体，解决了多种场景的覆盖难题</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其强大的信息安全、无线感知、精准定位、数据接入能力支撑广泛应</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用于隧道场景。</w:t>
                        </w:r>
                      </w:p>
                    </w:tc>
                  </w:tr>
                  <w:tr>
                    <w:trPr>
                      <w:trHeight w:val="3915"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Nu-WiFi</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核专业无线通信系统</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23"/>
                          <w:jc w:val="both"/>
                          <w:rPr>
                            <w:rFonts w:ascii="宋体" w:hAnsi="宋体" w:cs="宋体" w:eastAsia="宋体" w:hint="default"/>
                            <w:sz w:val="18"/>
                            <w:szCs w:val="18"/>
                          </w:rPr>
                        </w:pPr>
                        <w:r>
                          <w:rPr>
                            <w:rFonts w:ascii="Times New Roman" w:hAnsi="Times New Roman" w:cs="Times New Roman" w:eastAsia="Times New Roman" w:hint="default"/>
                            <w:sz w:val="18"/>
                            <w:szCs w:val="18"/>
                          </w:rPr>
                          <w:t>Nu-WiFi</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核专业无线通信系统，是面向核设施场景开发的集通信、定 </w:t>
                        </w:r>
                        <w:r>
                          <w:rPr>
                            <w:rFonts w:ascii="宋体" w:hAnsi="宋体" w:cs="宋体" w:eastAsia="宋体" w:hint="default"/>
                            <w:spacing w:val="-2"/>
                            <w:sz w:val="18"/>
                            <w:szCs w:val="18"/>
                          </w:rPr>
                          <w:t>位、传感监控、宽带数据传输于一体的、国内外首个完全满足核电站</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高电磁安全、高信息安全、高辐照要求的无线通信系统。</w:t>
                        </w:r>
                      </w:p>
                      <w:p>
                        <w:pPr>
                          <w:pStyle w:val="TableParagraph"/>
                          <w:spacing w:line="314" w:lineRule="auto" w:before="62"/>
                          <w:ind w:left="22" w:right="20"/>
                          <w:jc w:val="both"/>
                          <w:rPr>
                            <w:rFonts w:ascii="宋体" w:hAnsi="宋体" w:cs="宋体" w:eastAsia="宋体" w:hint="default"/>
                            <w:sz w:val="18"/>
                            <w:szCs w:val="18"/>
                          </w:rPr>
                        </w:pPr>
                        <w:r>
                          <w:rPr>
                            <w:rFonts w:ascii="宋体" w:hAnsi="宋体" w:cs="宋体" w:eastAsia="宋体" w:hint="default"/>
                            <w:sz w:val="18"/>
                            <w:szCs w:val="18"/>
                          </w:rPr>
                          <w:t>该系统实现了物联网的超低功率、海量终端接入特性与 </w:t>
                        </w:r>
                        <w:r>
                          <w:rPr>
                            <w:rFonts w:ascii="Times New Roman" w:hAnsi="Times New Roman" w:cs="Times New Roman" w:eastAsia="Times New Roman" w:hint="default"/>
                            <w:sz w:val="18"/>
                            <w:szCs w:val="18"/>
                          </w:rPr>
                          <w:t>WiFi</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网络的 </w:t>
                        </w:r>
                        <w:r>
                          <w:rPr>
                            <w:rFonts w:ascii="宋体" w:hAnsi="宋体" w:cs="宋体" w:eastAsia="宋体" w:hint="default"/>
                            <w:spacing w:val="-2"/>
                            <w:sz w:val="18"/>
                            <w:szCs w:val="18"/>
                          </w:rPr>
                          <w:t>高带宽特性的结合，以及电磁敏感区，超低功率无线接入模式与常规</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区域自动漫游切换，具备精准的功率控制能力和分级可控的安全接入</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机制，支持移动通信、精确定位、物联网接入、宽带数据传输等多种</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业务需求，能够在核电站建设、调试、运行、检修工作中为核电业主</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提供可靠、高质量的通信和数据传输通道。</w:t>
                        </w:r>
                      </w:p>
                      <w:p>
                        <w:pPr>
                          <w:pStyle w:val="TableParagraph"/>
                          <w:spacing w:line="300" w:lineRule="auto" w:before="59"/>
                          <w:ind w:left="22" w:right="23"/>
                          <w:jc w:val="both"/>
                          <w:rPr>
                            <w:rFonts w:ascii="宋体" w:hAnsi="宋体" w:cs="宋体" w:eastAsia="宋体" w:hint="default"/>
                            <w:sz w:val="18"/>
                            <w:szCs w:val="18"/>
                          </w:rPr>
                        </w:pPr>
                        <w:r>
                          <w:rPr>
                            <w:rFonts w:ascii="Times New Roman" w:hAnsi="Times New Roman" w:cs="Times New Roman" w:eastAsia="Times New Roman" w:hint="default"/>
                            <w:sz w:val="18"/>
                            <w:szCs w:val="18"/>
                          </w:rPr>
                          <w:t>Nu-WiFi </w:t>
                        </w:r>
                        <w:r>
                          <w:rPr>
                            <w:rFonts w:ascii="宋体" w:hAnsi="宋体" w:cs="宋体" w:eastAsia="宋体" w:hint="default"/>
                            <w:sz w:val="18"/>
                            <w:szCs w:val="18"/>
                          </w:rPr>
                          <w:t>已形成完整的面向各类场景的全系列产品：室内覆盖 </w:t>
                        </w:r>
                        <w:r>
                          <w:rPr>
                            <w:rFonts w:ascii="Times New Roman" w:hAnsi="Times New Roman" w:cs="Times New Roman" w:eastAsia="Times New Roman" w:hint="default"/>
                            <w:sz w:val="18"/>
                            <w:szCs w:val="18"/>
                          </w:rPr>
                          <w:t>NP</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系 列、大功率厂房</w:t>
                        </w:r>
                        <w:r>
                          <w:rPr>
                            <w:rFonts w:ascii="宋体" w:hAnsi="宋体" w:cs="宋体" w:eastAsia="宋体" w:hint="default"/>
                            <w:spacing w:val="-31"/>
                            <w:sz w:val="18"/>
                            <w:szCs w:val="18"/>
                          </w:rPr>
                          <w:t> </w:t>
                        </w:r>
                        <w:r>
                          <w:rPr>
                            <w:rFonts w:ascii="Times New Roman" w:hAnsi="Times New Roman" w:cs="Times New Roman" w:eastAsia="Times New Roman" w:hint="default"/>
                            <w:sz w:val="18"/>
                            <w:szCs w:val="18"/>
                          </w:rPr>
                          <w:t>NL</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系列、室外基站</w:t>
                        </w:r>
                        <w:r>
                          <w:rPr>
                            <w:rFonts w:ascii="宋体" w:hAnsi="宋体" w:cs="宋体" w:eastAsia="宋体" w:hint="default"/>
                            <w:spacing w:val="-31"/>
                            <w:sz w:val="18"/>
                            <w:szCs w:val="18"/>
                          </w:rPr>
                          <w:t> </w:t>
                        </w:r>
                        <w:r>
                          <w:rPr>
                            <w:rFonts w:ascii="Times New Roman" w:hAnsi="Times New Roman" w:cs="Times New Roman" w:eastAsia="Times New Roman" w:hint="default"/>
                            <w:sz w:val="18"/>
                            <w:szCs w:val="18"/>
                          </w:rPr>
                          <w:t>NV</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系列、工业拉远的</w:t>
                        </w:r>
                        <w:r>
                          <w:rPr>
                            <w:rFonts w:ascii="宋体" w:hAnsi="宋体" w:cs="宋体" w:eastAsia="宋体" w:hint="default"/>
                            <w:spacing w:val="-31"/>
                            <w:sz w:val="18"/>
                            <w:szCs w:val="18"/>
                          </w:rPr>
                          <w:t> </w:t>
                        </w:r>
                        <w:r>
                          <w:rPr>
                            <w:rFonts w:ascii="Times New Roman" w:hAnsi="Times New Roman" w:cs="Times New Roman" w:eastAsia="Times New Roman" w:hint="default"/>
                            <w:sz w:val="18"/>
                            <w:szCs w:val="18"/>
                          </w:rPr>
                          <w:t>NEV</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系 列、反应堆厂房的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N1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系列。</w:t>
                        </w:r>
                      </w:p>
                    </w:tc>
                  </w:tr>
                  <w:tr>
                    <w:trPr>
                      <w:trHeight w:val="2938"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2"/>
                          <w:ind w:right="0"/>
                          <w:jc w:val="center"/>
                          <w:rPr>
                            <w:rFonts w:ascii="宋体" w:hAnsi="宋体" w:cs="宋体" w:eastAsia="宋体" w:hint="default"/>
                            <w:sz w:val="18"/>
                            <w:szCs w:val="18"/>
                          </w:rPr>
                        </w:pPr>
                        <w:r>
                          <w:rPr>
                            <w:rFonts w:ascii="宋体" w:hAnsi="宋体" w:cs="宋体" w:eastAsia="宋体" w:hint="default"/>
                            <w:sz w:val="18"/>
                            <w:szCs w:val="18"/>
                          </w:rPr>
                          <w:t>综合管廊安防通信一体化系统</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1"/>
                          <w:ind w:left="22" w:right="18"/>
                          <w:jc w:val="left"/>
                          <w:rPr>
                            <w:rFonts w:ascii="宋体" w:hAnsi="宋体" w:cs="宋体" w:eastAsia="宋体" w:hint="default"/>
                            <w:sz w:val="18"/>
                            <w:szCs w:val="18"/>
                          </w:rPr>
                        </w:pPr>
                        <w:r>
                          <w:rPr>
                            <w:rFonts w:ascii="宋体" w:hAnsi="宋体" w:cs="宋体" w:eastAsia="宋体" w:hint="default"/>
                            <w:spacing w:val="-2"/>
                            <w:sz w:val="18"/>
                            <w:szCs w:val="18"/>
                          </w:rPr>
                          <w:t>综合管廊是城市地下的隧道空间，其将电力、通信，燃气、供热、给</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排水等各种工程管线集于一体，是未来城市建设的重要组成部分。 公司自主研发设计的</w:t>
                        </w:r>
                        <w:r>
                          <w:rPr>
                            <w:rFonts w:ascii="Times New Roman" w:hAnsi="Times New Roman" w:cs="Times New Roman" w:eastAsia="Times New Roman" w:hint="default"/>
                            <w:sz w:val="18"/>
                            <w:szCs w:val="18"/>
                          </w:rPr>
                          <w:t>“</w:t>
                        </w:r>
                        <w:r>
                          <w:rPr>
                            <w:rFonts w:ascii="宋体" w:hAnsi="宋体" w:cs="宋体" w:eastAsia="宋体" w:hint="default"/>
                            <w:sz w:val="18"/>
                            <w:szCs w:val="18"/>
                          </w:rPr>
                          <w:t>基于智慧线的城市综合管廊通信安防一体化系</w:t>
                        </w:r>
                      </w:p>
                      <w:p>
                        <w:pPr>
                          <w:pStyle w:val="TableParagraph"/>
                          <w:spacing w:line="230" w:lineRule="exact"/>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统</w:t>
                        </w:r>
                        <w:r>
                          <w:rPr>
                            <w:rFonts w:ascii="Times New Roman" w:hAnsi="Times New Roman" w:cs="Times New Roman" w:eastAsia="Times New Roman" w:hint="default"/>
                            <w:w w:val="100"/>
                            <w:sz w:val="18"/>
                            <w:szCs w:val="18"/>
                          </w:rPr>
                          <w:t>”</w:t>
                        </w:r>
                        <w:r>
                          <w:rPr>
                            <w:rFonts w:ascii="宋体" w:hAnsi="宋体" w:cs="宋体" w:eastAsia="宋体" w:hint="default"/>
                            <w:spacing w:val="-80"/>
                            <w:sz w:val="18"/>
                            <w:szCs w:val="18"/>
                          </w:rPr>
                          <w:t>，</w:t>
                        </w:r>
                        <w:r>
                          <w:rPr>
                            <w:rFonts w:ascii="宋体" w:hAnsi="宋体" w:cs="宋体" w:eastAsia="宋体" w:hint="default"/>
                            <w:sz w:val="18"/>
                            <w:szCs w:val="18"/>
                          </w:rPr>
                          <w:t>通过独创的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T</w:t>
                        </w:r>
                        <w:r>
                          <w:rPr>
                            <w:rFonts w:ascii="Times New Roman" w:hAnsi="Times New Roman" w:cs="Times New Roman" w:eastAsia="Times New Roman" w:hint="default"/>
                            <w:spacing w:val="-1"/>
                            <w:w w:val="99"/>
                            <w:sz w:val="18"/>
                            <w:szCs w:val="18"/>
                          </w:rPr>
                          <w:t>S</w:t>
                        </w:r>
                        <w:r>
                          <w:rPr>
                            <w:rFonts w:ascii="Times New Roman" w:hAnsi="Times New Roman" w:cs="Times New Roman" w:eastAsia="Times New Roman" w:hint="default"/>
                            <w:spacing w:val="-80"/>
                            <w:w w:val="99"/>
                            <w:sz w:val="18"/>
                            <w:szCs w:val="18"/>
                          </w:rPr>
                          <w:t>M</w:t>
                        </w:r>
                        <w:r>
                          <w:rPr>
                            <w:rFonts w:ascii="宋体" w:hAnsi="宋体" w:cs="宋体" w:eastAsia="宋体" w:hint="default"/>
                            <w:sz w:val="18"/>
                            <w:szCs w:val="18"/>
                          </w:rPr>
                          <w:t>（隧</w:t>
                        </w:r>
                        <w:r>
                          <w:rPr>
                            <w:rFonts w:ascii="宋体" w:hAnsi="宋体" w:cs="宋体" w:eastAsia="宋体" w:hint="default"/>
                            <w:spacing w:val="1"/>
                            <w:sz w:val="18"/>
                            <w:szCs w:val="18"/>
                          </w:rPr>
                          <w:t>道</w:t>
                        </w:r>
                        <w:r>
                          <w:rPr>
                            <w:rFonts w:ascii="宋体" w:hAnsi="宋体" w:cs="宋体" w:eastAsia="宋体" w:hint="default"/>
                            <w:sz w:val="18"/>
                            <w:szCs w:val="18"/>
                          </w:rPr>
                          <w:t>移动通信系统</w:t>
                        </w:r>
                        <w:r>
                          <w:rPr>
                            <w:rFonts w:ascii="宋体" w:hAnsi="宋体" w:cs="宋体" w:eastAsia="宋体" w:hint="default"/>
                            <w:spacing w:val="-80"/>
                            <w:sz w:val="18"/>
                            <w:szCs w:val="18"/>
                          </w:rPr>
                          <w:t>）</w:t>
                        </w:r>
                        <w:r>
                          <w:rPr>
                            <w:rFonts w:ascii="宋体" w:hAnsi="宋体" w:cs="宋体" w:eastAsia="宋体" w:hint="default"/>
                            <w:sz w:val="18"/>
                            <w:szCs w:val="18"/>
                          </w:rPr>
                          <w:t>技术</w:t>
                        </w:r>
                        <w:r>
                          <w:rPr>
                            <w:rFonts w:ascii="宋体" w:hAnsi="宋体" w:cs="宋体" w:eastAsia="宋体" w:hint="default"/>
                            <w:spacing w:val="-80"/>
                            <w:sz w:val="18"/>
                            <w:szCs w:val="18"/>
                          </w:rPr>
                          <w:t>，</w:t>
                        </w:r>
                        <w:r>
                          <w:rPr>
                            <w:rFonts w:ascii="宋体" w:hAnsi="宋体" w:cs="宋体" w:eastAsia="宋体" w:hint="default"/>
                            <w:sz w:val="18"/>
                            <w:szCs w:val="18"/>
                          </w:rPr>
                          <w:t>实现对管廊各舱</w:t>
                        </w:r>
                        <w:r>
                          <w:rPr>
                            <w:rFonts w:ascii="Times New Roman" w:hAnsi="Times New Roman" w:cs="Times New Roman" w:eastAsia="Times New Roman" w:hint="default"/>
                            <w:spacing w:val="-1"/>
                            <w:w w:val="100"/>
                            <w:sz w:val="18"/>
                            <w:szCs w:val="18"/>
                          </w:rPr>
                          <w:t>“</w:t>
                        </w:r>
                        <w:r>
                          <w:rPr>
                            <w:rFonts w:ascii="Times New Roman" w:hAnsi="Times New Roman" w:cs="Times New Roman" w:eastAsia="Times New Roman" w:hint="default"/>
                            <w:w w:val="99"/>
                            <w:sz w:val="18"/>
                            <w:szCs w:val="18"/>
                          </w:rPr>
                          <w:t>2M</w:t>
                        </w:r>
                        <w:r>
                          <w:rPr>
                            <w:rFonts w:ascii="Times New Roman" w:hAnsi="Times New Roman" w:cs="Times New Roman" w:eastAsia="Times New Roman" w:hint="default"/>
                            <w:sz w:val="18"/>
                            <w:szCs w:val="18"/>
                          </w:rPr>
                        </w:r>
                      </w:p>
                      <w:p>
                        <w:pPr>
                          <w:pStyle w:val="TableParagraph"/>
                          <w:spacing w:line="309" w:lineRule="auto" w:before="63"/>
                          <w:ind w:left="22" w:right="20"/>
                          <w:jc w:val="both"/>
                          <w:rPr>
                            <w:rFonts w:ascii="宋体" w:hAnsi="宋体" w:cs="宋体" w:eastAsia="宋体" w:hint="default"/>
                            <w:sz w:val="18"/>
                            <w:szCs w:val="18"/>
                          </w:rPr>
                        </w:pPr>
                        <w:r>
                          <w:rPr>
                            <w:rFonts w:ascii="宋体" w:hAnsi="宋体" w:cs="宋体" w:eastAsia="宋体" w:hint="default"/>
                            <w:sz w:val="18"/>
                            <w:szCs w:val="18"/>
                          </w:rPr>
                          <w:t>物联网</w:t>
                        </w:r>
                        <w:r>
                          <w:rPr>
                            <w:rFonts w:ascii="Times New Roman" w:hAnsi="Times New Roman" w:cs="Times New Roman" w:eastAsia="Times New Roman" w:hint="default"/>
                            <w:sz w:val="18"/>
                            <w:szCs w:val="18"/>
                          </w:rPr>
                          <w:t>+1.266G</w:t>
                        </w:r>
                        <w:r>
                          <w:rPr>
                            <w:rFonts w:ascii="Times New Roman" w:hAnsi="Times New Roman" w:cs="Times New Roman" w:eastAsia="Times New Roman" w:hint="default"/>
                            <w:spacing w:val="25"/>
                            <w:sz w:val="18"/>
                            <w:szCs w:val="18"/>
                          </w:rPr>
                          <w:t> </w:t>
                        </w:r>
                        <w:r>
                          <w:rPr>
                            <w:rFonts w:ascii="宋体" w:hAnsi="宋体" w:cs="宋体" w:eastAsia="宋体" w:hint="default"/>
                            <w:sz w:val="18"/>
                            <w:szCs w:val="18"/>
                          </w:rPr>
                          <w:t>宽带</w:t>
                        </w:r>
                        <w:r>
                          <w:rPr>
                            <w:rFonts w:ascii="Times New Roman" w:hAnsi="Times New Roman" w:cs="Times New Roman" w:eastAsia="Times New Roman" w:hint="default"/>
                            <w:sz w:val="18"/>
                            <w:szCs w:val="18"/>
                          </w:rPr>
                          <w:t>”</w:t>
                        </w:r>
                        <w:r>
                          <w:rPr>
                            <w:rFonts w:ascii="宋体" w:hAnsi="宋体" w:cs="宋体" w:eastAsia="宋体" w:hint="default"/>
                            <w:sz w:val="18"/>
                            <w:szCs w:val="18"/>
                          </w:rPr>
                          <w:t>的无线信号全覆盖，打造管廊内的</w:t>
                        </w:r>
                        <w:r>
                          <w:rPr>
                            <w:rFonts w:ascii="Times New Roman" w:hAnsi="Times New Roman" w:cs="Times New Roman" w:eastAsia="Times New Roman" w:hint="default"/>
                            <w:sz w:val="18"/>
                            <w:szCs w:val="18"/>
                          </w:rPr>
                          <w:t>“</w:t>
                        </w:r>
                        <w:r>
                          <w:rPr>
                            <w:rFonts w:ascii="宋体" w:hAnsi="宋体" w:cs="宋体" w:eastAsia="宋体" w:hint="default"/>
                            <w:sz w:val="18"/>
                            <w:szCs w:val="18"/>
                          </w:rPr>
                          <w:t>信息高速公 路</w:t>
                        </w:r>
                        <w:r>
                          <w:rPr>
                            <w:rFonts w:ascii="Times New Roman" w:hAnsi="Times New Roman" w:cs="Times New Roman" w:eastAsia="Times New Roman" w:hint="default"/>
                            <w:sz w:val="18"/>
                            <w:szCs w:val="18"/>
                          </w:rPr>
                          <w:t>”</w:t>
                        </w:r>
                        <w:r>
                          <w:rPr>
                            <w:rFonts w:ascii="宋体" w:hAnsi="宋体" w:cs="宋体" w:eastAsia="宋体" w:hint="default"/>
                            <w:sz w:val="18"/>
                            <w:szCs w:val="18"/>
                          </w:rPr>
                          <w:t>，实现管廊内移动通信、物联网传感、精准定位及轨迹跟踪、入</w:t>
                        </w:r>
                        <w:r>
                          <w:rPr>
                            <w:rFonts w:ascii="宋体" w:hAnsi="宋体" w:cs="宋体" w:eastAsia="宋体" w:hint="default"/>
                            <w:spacing w:val="-34"/>
                            <w:sz w:val="18"/>
                            <w:szCs w:val="18"/>
                          </w:rPr>
                          <w:t> </w:t>
                        </w:r>
                        <w:r>
                          <w:rPr>
                            <w:rFonts w:ascii="宋体" w:hAnsi="宋体" w:cs="宋体" w:eastAsia="宋体" w:hint="default"/>
                            <w:spacing w:val="-34"/>
                            <w:sz w:val="18"/>
                            <w:szCs w:val="18"/>
                          </w:rPr>
                        </w:r>
                        <w:r>
                          <w:rPr>
                            <w:rFonts w:ascii="宋体" w:hAnsi="宋体" w:cs="宋体" w:eastAsia="宋体" w:hint="default"/>
                            <w:spacing w:val="-2"/>
                            <w:sz w:val="18"/>
                            <w:szCs w:val="18"/>
                          </w:rPr>
                          <w:t>侵报警及定位、宽带无线接入、在线巡查管理等功能，并可与消防系</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统、通风系统、供电系统、照明系统、排水系统、标识系统联动，提</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高城市综合管廊的</w:t>
                        </w:r>
                        <w:r>
                          <w:rPr>
                            <w:rFonts w:ascii="Times New Roman" w:hAnsi="Times New Roman" w:cs="Times New Roman" w:eastAsia="Times New Roman" w:hint="default"/>
                            <w:sz w:val="18"/>
                            <w:szCs w:val="18"/>
                          </w:rPr>
                          <w:t>“</w:t>
                        </w:r>
                        <w:r>
                          <w:rPr>
                            <w:rFonts w:ascii="宋体" w:hAnsi="宋体" w:cs="宋体" w:eastAsia="宋体" w:hint="default"/>
                            <w:sz w:val="18"/>
                            <w:szCs w:val="18"/>
                          </w:rPr>
                          <w:t>数字化</w:t>
                        </w:r>
                        <w:r>
                          <w:rPr>
                            <w:rFonts w:ascii="Times New Roman" w:hAnsi="Times New Roman" w:cs="Times New Roman" w:eastAsia="Times New Roman" w:hint="default"/>
                            <w:sz w:val="18"/>
                            <w:szCs w:val="18"/>
                          </w:rPr>
                          <w:t>”</w:t>
                        </w:r>
                        <w:r>
                          <w:rPr>
                            <w:rFonts w:ascii="宋体" w:hAnsi="宋体" w:cs="宋体" w:eastAsia="宋体" w:hint="default"/>
                            <w:sz w:val="18"/>
                            <w:szCs w:val="18"/>
                          </w:rPr>
                          <w:t>管理水平，实现</w:t>
                        </w:r>
                        <w:r>
                          <w:rPr>
                            <w:rFonts w:ascii="Times New Roman" w:hAnsi="Times New Roman" w:cs="Times New Roman" w:eastAsia="Times New Roman" w:hint="default"/>
                            <w:sz w:val="18"/>
                            <w:szCs w:val="18"/>
                          </w:rPr>
                          <w:t>“</w:t>
                        </w:r>
                        <w:r>
                          <w:rPr>
                            <w:rFonts w:ascii="宋体" w:hAnsi="宋体" w:cs="宋体" w:eastAsia="宋体" w:hint="default"/>
                            <w:sz w:val="18"/>
                            <w:szCs w:val="18"/>
                          </w:rPr>
                          <w:t>智慧管廊</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674"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周界安防智慧墙入侵探测系统</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20"/>
                          <w:jc w:val="left"/>
                          <w:rPr>
                            <w:rFonts w:ascii="宋体" w:hAnsi="宋体" w:cs="宋体" w:eastAsia="宋体" w:hint="default"/>
                            <w:sz w:val="18"/>
                            <w:szCs w:val="18"/>
                          </w:rPr>
                        </w:pPr>
                        <w:r>
                          <w:rPr>
                            <w:rFonts w:ascii="宋体" w:hAnsi="宋体" w:cs="宋体" w:eastAsia="宋体" w:hint="default"/>
                            <w:spacing w:val="-1"/>
                            <w:sz w:val="18"/>
                            <w:szCs w:val="18"/>
                          </w:rPr>
                          <w:t>公司自主研发的</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智慧墙入侵探测系统</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，拥有周界安防领先的核心技</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2"/>
                            <w:sz w:val="18"/>
                            <w:szCs w:val="18"/>
                          </w:rPr>
                          <w:t>术，利用芯片收发微波信号形成向量对外构建传感探测场，探测场信</w:t>
                        </w:r>
                      </w:p>
                    </w:tc>
                  </w:tr>
                </w:tbl>
                <w:p>
                  <w:pPr/>
                </w:p>
              </w:txbxContent>
            </v:textbox>
            <w10:wrap type="none"/>
          </v:shape>
        </w:pict>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8"/>
          <w:szCs w:val="18"/>
        </w:rPr>
      </w:pPr>
    </w:p>
    <w:p>
      <w:pPr>
        <w:pStyle w:val="BodyText"/>
        <w:spacing w:line="240" w:lineRule="auto" w:before="44"/>
        <w:ind w:left="0" w:right="1138"/>
        <w:jc w:val="right"/>
      </w:pP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4"/>
          <w:szCs w:val="24"/>
        </w:rPr>
      </w:pPr>
    </w:p>
    <w:p>
      <w:pPr>
        <w:pStyle w:val="BodyText"/>
        <w:spacing w:line="240" w:lineRule="auto" w:before="44"/>
        <w:ind w:left="0" w:right="1139"/>
        <w:jc w:val="right"/>
      </w:pPr>
      <w:r>
        <w:rPr/>
        <w:t>，</w:t>
      </w:r>
    </w:p>
    <w:p>
      <w:pPr>
        <w:spacing w:after="0" w:line="240" w:lineRule="auto"/>
        <w:jc w:val="right"/>
        <w:sectPr>
          <w:pgSz w:w="11910" w:h="16840"/>
          <w:pgMar w:header="851" w:footer="1187" w:top="1440" w:bottom="1380" w:left="1020" w:right="0"/>
        </w:sectPr>
      </w:pPr>
    </w:p>
    <w:p>
      <w:pPr>
        <w:spacing w:line="240" w:lineRule="auto" w:before="7"/>
        <w:rPr>
          <w:rFonts w:ascii="Times New Roman" w:hAnsi="Times New Roman" w:cs="Times New Roman" w:eastAsia="Times New Roman" w:hint="default"/>
          <w:sz w:val="3"/>
          <w:szCs w:val="3"/>
        </w:rPr>
      </w:pPr>
    </w:p>
    <w:tbl>
      <w:tblPr>
        <w:tblW w:w="0" w:type="auto"/>
        <w:jc w:val="left"/>
        <w:tblInd w:w="109" w:type="dxa"/>
        <w:tblLayout w:type="fixed"/>
        <w:tblCellMar>
          <w:top w:w="0" w:type="dxa"/>
          <w:left w:w="0" w:type="dxa"/>
          <w:bottom w:w="0" w:type="dxa"/>
          <w:right w:w="0" w:type="dxa"/>
        </w:tblCellMar>
        <w:tblLook w:val="01E0"/>
      </w:tblPr>
      <w:tblGrid>
        <w:gridCol w:w="3525"/>
        <w:gridCol w:w="621"/>
        <w:gridCol w:w="5424"/>
      </w:tblGrid>
      <w:tr>
        <w:trPr>
          <w:trHeight w:val="998" w:hRule="exact"/>
        </w:trPr>
        <w:tc>
          <w:tcPr>
            <w:tcW w:w="3525" w:type="dxa"/>
            <w:tcBorders>
              <w:top w:val="single" w:sz="10" w:space="0" w:color="000000"/>
              <w:left w:val="single" w:sz="4" w:space="0" w:color="000000"/>
              <w:bottom w:val="single" w:sz="4" w:space="0" w:color="000000"/>
              <w:right w:val="single" w:sz="4" w:space="0" w:color="000000"/>
            </w:tcBorders>
          </w:tcPr>
          <w:p>
            <w:pPr/>
          </w:p>
        </w:tc>
        <w:tc>
          <w:tcPr>
            <w:tcW w:w="621" w:type="dxa"/>
            <w:tcBorders>
              <w:top w:val="single" w:sz="10" w:space="0" w:color="000000"/>
              <w:left w:val="single" w:sz="4" w:space="0" w:color="000000"/>
              <w:bottom w:val="single" w:sz="4" w:space="0" w:color="000000"/>
              <w:right w:val="single" w:sz="4" w:space="0" w:color="000000"/>
            </w:tcBorders>
            <w:shd w:val="clear" w:color="auto" w:fill="D2D2D2"/>
          </w:tcPr>
          <w:p>
            <w:pPr/>
          </w:p>
        </w:tc>
        <w:tc>
          <w:tcPr>
            <w:tcW w:w="5424" w:type="dxa"/>
            <w:tcBorders>
              <w:top w:val="single" w:sz="10" w:space="0" w:color="000000"/>
              <w:left w:val="single" w:sz="4" w:space="0" w:color="000000"/>
              <w:bottom w:val="single" w:sz="4" w:space="0" w:color="000000"/>
              <w:right w:val="single" w:sz="4" w:space="0" w:color="000000"/>
            </w:tcBorders>
          </w:tcPr>
          <w:p>
            <w:pPr>
              <w:pStyle w:val="TableParagraph"/>
              <w:spacing w:line="319" w:lineRule="auto" w:before="16"/>
              <w:ind w:left="22" w:right="20"/>
              <w:jc w:val="both"/>
              <w:rPr>
                <w:rFonts w:ascii="宋体" w:hAnsi="宋体" w:cs="宋体" w:eastAsia="宋体" w:hint="default"/>
                <w:sz w:val="18"/>
                <w:szCs w:val="18"/>
              </w:rPr>
            </w:pPr>
            <w:r>
              <w:rPr>
                <w:rFonts w:ascii="宋体" w:hAnsi="宋体" w:cs="宋体" w:eastAsia="宋体" w:hint="default"/>
                <w:spacing w:val="4"/>
                <w:sz w:val="18"/>
                <w:szCs w:val="18"/>
              </w:rPr>
              <w:t>号扰动波形分析形成报警信息，采用卷积神经网络算法确定入侵行</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为，不受风雪雨雾影响，虚报率、漏报率低，施工方便，支持精准定</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位与敌我识别，是新一代周界安防技术和产品。</w:t>
            </w:r>
          </w:p>
        </w:tc>
      </w:tr>
      <w:tr>
        <w:trPr>
          <w:trHeight w:val="1690"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right="1397"/>
              <w:jc w:val="right"/>
              <w:rPr>
                <w:rFonts w:ascii="宋体" w:hAnsi="宋体" w:cs="宋体" w:eastAsia="宋体" w:hint="default"/>
                <w:sz w:val="18"/>
                <w:szCs w:val="18"/>
              </w:rPr>
            </w:pPr>
            <w:r>
              <w:rPr>
                <w:rFonts w:ascii="宋体" w:hAnsi="宋体" w:cs="宋体" w:eastAsia="宋体" w:hint="default"/>
                <w:sz w:val="18"/>
                <w:szCs w:val="18"/>
              </w:rPr>
              <w:t>融合通信</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2"/>
              <w:jc w:val="both"/>
              <w:rPr>
                <w:rFonts w:ascii="宋体" w:hAnsi="宋体" w:cs="宋体" w:eastAsia="宋体" w:hint="default"/>
                <w:sz w:val="18"/>
                <w:szCs w:val="18"/>
              </w:rPr>
            </w:pPr>
            <w:r>
              <w:rPr>
                <w:rFonts w:ascii="宋体" w:hAnsi="宋体" w:cs="宋体" w:eastAsia="宋体" w:hint="default"/>
                <w:spacing w:val="-2"/>
                <w:sz w:val="18"/>
                <w:szCs w:val="18"/>
              </w:rPr>
              <w:t>融合通信是一种集语音、消息、视频、内容共享等多种通信方式及功</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能于一体的融合性通信服务。</w:t>
            </w:r>
          </w:p>
          <w:p>
            <w:pPr>
              <w:pStyle w:val="TableParagraph"/>
              <w:spacing w:line="319" w:lineRule="auto" w:before="55"/>
              <w:ind w:left="22" w:right="23"/>
              <w:jc w:val="both"/>
              <w:rPr>
                <w:rFonts w:ascii="宋体" w:hAnsi="宋体" w:cs="宋体" w:eastAsia="宋体" w:hint="default"/>
                <w:sz w:val="18"/>
                <w:szCs w:val="18"/>
              </w:rPr>
            </w:pPr>
            <w:r>
              <w:rPr>
                <w:rFonts w:ascii="宋体" w:hAnsi="宋体" w:cs="宋体" w:eastAsia="宋体" w:hint="default"/>
                <w:spacing w:val="4"/>
                <w:sz w:val="18"/>
                <w:szCs w:val="18"/>
              </w:rPr>
              <w:t>公司基于多年为中国移动通信集团公司研发并运营飞信项目的成功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2"/>
                <w:sz w:val="18"/>
                <w:szCs w:val="18"/>
              </w:rPr>
              <w:t>经验，配合中国移动推进融合通信战略，同时为政府、金融、大型企</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业等各行业提供融合通信服务。</w:t>
            </w:r>
          </w:p>
        </w:tc>
      </w:tr>
      <w:tr>
        <w:trPr>
          <w:trHeight w:val="196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1397"/>
              <w:jc w:val="right"/>
              <w:rPr>
                <w:rFonts w:ascii="宋体" w:hAnsi="宋体" w:cs="宋体" w:eastAsia="宋体" w:hint="default"/>
                <w:sz w:val="18"/>
                <w:szCs w:val="18"/>
              </w:rPr>
            </w:pPr>
            <w:r>
              <w:rPr>
                <w:rFonts w:ascii="宋体" w:hAnsi="宋体" w:cs="宋体" w:eastAsia="宋体" w:hint="default"/>
                <w:sz w:val="18"/>
                <w:szCs w:val="18"/>
              </w:rPr>
              <w:t>信息安全</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2"/>
              <w:ind w:left="22" w:right="20"/>
              <w:jc w:val="both"/>
              <w:rPr>
                <w:rFonts w:ascii="宋体" w:hAnsi="宋体" w:cs="宋体" w:eastAsia="宋体" w:hint="default"/>
                <w:sz w:val="18"/>
                <w:szCs w:val="18"/>
              </w:rPr>
            </w:pPr>
            <w:r>
              <w:rPr>
                <w:rFonts w:ascii="宋体" w:hAnsi="宋体" w:cs="宋体" w:eastAsia="宋体" w:hint="default"/>
                <w:spacing w:val="-2"/>
                <w:sz w:val="18"/>
                <w:szCs w:val="18"/>
              </w:rPr>
              <w:t>公司在信息安全领域拥有十六年的产品研发和项目实施经验，围绕企</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业的“人、事、物”推出了身份安全管控、行为安全管控、事件安全</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管控、流量安全管控、资产安全管控、配置安全管控六大类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多款 产品，是金融、电信等 </w:t>
            </w:r>
            <w:r>
              <w:rPr>
                <w:rFonts w:ascii="Times New Roman" w:hAnsi="Times New Roman" w:cs="Times New Roman" w:eastAsia="Times New Roman" w:hint="default"/>
                <w:sz w:val="18"/>
                <w:szCs w:val="18"/>
              </w:rPr>
              <w:t>IT</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应用最密集行业中主流的安全产品和服务 </w:t>
            </w:r>
            <w:r>
              <w:rPr>
                <w:rFonts w:ascii="宋体" w:hAnsi="宋体" w:cs="宋体" w:eastAsia="宋体" w:hint="default"/>
                <w:spacing w:val="-3"/>
                <w:sz w:val="18"/>
                <w:szCs w:val="18"/>
              </w:rPr>
              <w:t>商，也是</w:t>
            </w:r>
            <w:r>
              <w:rPr>
                <w:rFonts w:ascii="宋体" w:hAnsi="宋体" w:cs="宋体" w:eastAsia="宋体" w:hint="default"/>
                <w:spacing w:val="-34"/>
                <w:sz w:val="18"/>
                <w:szCs w:val="18"/>
              </w:rPr>
              <w:t> </w:t>
            </w:r>
            <w:r>
              <w:rPr>
                <w:rFonts w:ascii="Times New Roman" w:hAnsi="Times New Roman" w:cs="Times New Roman" w:eastAsia="Times New Roman" w:hint="default"/>
                <w:spacing w:val="-5"/>
                <w:w w:val="99"/>
                <w:sz w:val="18"/>
                <w:szCs w:val="18"/>
              </w:rPr>
              <w:t>IAM</w:t>
            </w:r>
            <w:r>
              <w:rPr>
                <w:rFonts w:ascii="宋体" w:hAnsi="宋体" w:cs="宋体" w:eastAsia="宋体" w:hint="default"/>
                <w:spacing w:val="-5"/>
                <w:w w:val="99"/>
                <w:sz w:val="18"/>
                <w:szCs w:val="18"/>
              </w:rPr>
              <w:t>（用户和认证管理）、</w:t>
            </w:r>
            <w:r>
              <w:rPr>
                <w:rFonts w:ascii="Times New Roman" w:hAnsi="Times New Roman" w:cs="Times New Roman" w:eastAsia="Times New Roman" w:hint="default"/>
                <w:spacing w:val="-5"/>
                <w:w w:val="99"/>
                <w:sz w:val="18"/>
                <w:szCs w:val="18"/>
              </w:rPr>
              <w:t>SIEM</w:t>
            </w:r>
            <w:r>
              <w:rPr>
                <w:rFonts w:ascii="宋体" w:hAnsi="宋体" w:cs="宋体" w:eastAsia="宋体" w:hint="default"/>
                <w:spacing w:val="-5"/>
                <w:w w:val="99"/>
                <w:sz w:val="18"/>
                <w:szCs w:val="18"/>
              </w:rPr>
              <w:t>（安全事件管理）和安全合</w:t>
            </w:r>
            <w:r>
              <w:rPr>
                <w:rFonts w:ascii="宋体" w:hAnsi="宋体" w:cs="宋体" w:eastAsia="宋体" w:hint="default"/>
                <w:spacing w:val="-85"/>
                <w:w w:val="99"/>
                <w:sz w:val="18"/>
                <w:szCs w:val="18"/>
              </w:rPr>
              <w:t> </w:t>
            </w:r>
            <w:r>
              <w:rPr>
                <w:rFonts w:ascii="宋体" w:hAnsi="宋体" w:cs="宋体" w:eastAsia="宋体" w:hint="default"/>
                <w:spacing w:val="-85"/>
                <w:w w:val="99"/>
                <w:sz w:val="18"/>
                <w:szCs w:val="18"/>
              </w:rPr>
            </w:r>
            <w:r>
              <w:rPr>
                <w:rFonts w:ascii="宋体" w:hAnsi="宋体" w:cs="宋体" w:eastAsia="宋体" w:hint="default"/>
                <w:sz w:val="18"/>
                <w:szCs w:val="18"/>
              </w:rPr>
              <w:t>规管理领域的领导厂商。</w:t>
            </w:r>
          </w:p>
        </w:tc>
      </w:tr>
    </w:tbl>
    <w:p>
      <w:pPr>
        <w:spacing w:after="0" w:line="307" w:lineRule="auto"/>
        <w:jc w:val="both"/>
        <w:rPr>
          <w:rFonts w:ascii="宋体" w:hAnsi="宋体" w:cs="宋体" w:eastAsia="宋体" w:hint="default"/>
          <w:sz w:val="18"/>
          <w:szCs w:val="18"/>
        </w:rPr>
        <w:sectPr>
          <w:pgSz w:w="11910" w:h="16840"/>
          <w:pgMar w:header="851" w:footer="1187" w:top="1400" w:bottom="1380" w:left="1020" w:right="0"/>
        </w:sectPr>
      </w:pPr>
    </w:p>
    <w:p>
      <w:pPr>
        <w:spacing w:line="240" w:lineRule="auto" w:before="1"/>
        <w:rPr>
          <w:rFonts w:ascii="Times New Roman" w:hAnsi="Times New Roman" w:cs="Times New Roman" w:eastAsia="Times New Roman" w:hint="default"/>
          <w:sz w:val="4"/>
          <w:szCs w:val="4"/>
        </w:rPr>
      </w:pPr>
    </w:p>
    <w:p>
      <w:pPr>
        <w:spacing w:line="20" w:lineRule="exact"/>
        <w:ind w:left="11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pStyle w:val="Heading1"/>
        <w:spacing w:line="240" w:lineRule="auto" w:before="181"/>
        <w:ind w:left="2724" w:right="0"/>
        <w:jc w:val="left"/>
        <w:rPr>
          <w:b w:val="0"/>
          <w:bCs w:val="0"/>
        </w:rPr>
      </w:pPr>
      <w:bookmarkStart w:name="第二节公司简介和主要财务指标" w:id="3"/>
      <w:bookmarkEnd w:id="3"/>
      <w:r>
        <w:rPr>
          <w:b w:val="0"/>
          <w:bCs w:val="0"/>
        </w:rPr>
      </w:r>
      <w:bookmarkStart w:name="_bookmark1" w:id="4"/>
      <w:bookmarkEnd w:id="4"/>
      <w:r>
        <w:rPr>
          <w:b w:val="0"/>
          <w:bCs w:val="0"/>
        </w:rPr>
      </w:r>
      <w:r>
        <w:rPr/>
        <w:t>第二节公司简介和主要财务指标</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公司信息" w:id="5"/>
      <w:bookmarkEnd w:id="5"/>
      <w:r>
        <w:rPr>
          <w:b w:val="0"/>
          <w:bCs w:val="0"/>
        </w:rPr>
      </w:r>
      <w:r>
        <w:rPr/>
        <w:t>一、公司信息</w:t>
      </w:r>
      <w:r>
        <w:rPr>
          <w:b w:val="0"/>
          <w:bCs w:val="0"/>
        </w:rPr>
      </w:r>
    </w:p>
    <w:p>
      <w:pPr>
        <w:spacing w:line="240" w:lineRule="auto" w:before="9"/>
        <w:rPr>
          <w:rFonts w:ascii="宋体" w:hAnsi="宋体" w:cs="宋体" w:eastAsia="宋体" w:hint="default"/>
          <w:b/>
          <w:bCs/>
          <w:sz w:val="25"/>
          <w:szCs w:val="25"/>
        </w:rPr>
      </w:pPr>
    </w:p>
    <w:tbl>
      <w:tblPr>
        <w:tblW w:w="0" w:type="auto"/>
        <w:jc w:val="left"/>
        <w:tblInd w:w="121" w:type="dxa"/>
        <w:tblLayout w:type="fixed"/>
        <w:tblCellMar>
          <w:top w:w="0" w:type="dxa"/>
          <w:left w:w="0" w:type="dxa"/>
          <w:bottom w:w="0" w:type="dxa"/>
          <w:right w:w="0" w:type="dxa"/>
        </w:tblCellMar>
        <w:tblLook w:val="01E0"/>
      </w:tblPr>
      <w:tblGrid>
        <w:gridCol w:w="2301"/>
        <w:gridCol w:w="3005"/>
        <w:gridCol w:w="2184"/>
        <w:gridCol w:w="2204"/>
      </w:tblGrid>
      <w:tr>
        <w:trPr>
          <w:trHeight w:val="402" w:hRule="exact"/>
        </w:trPr>
        <w:tc>
          <w:tcPr>
            <w:tcW w:w="2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股票简称</w:t>
            </w:r>
          </w:p>
        </w:tc>
        <w:tc>
          <w:tcPr>
            <w:tcW w:w="30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神州泰岳</w:t>
            </w:r>
          </w:p>
        </w:tc>
        <w:tc>
          <w:tcPr>
            <w:tcW w:w="2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股票代码</w:t>
            </w:r>
          </w:p>
        </w:tc>
        <w:tc>
          <w:tcPr>
            <w:tcW w:w="2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Times New Roman" w:hAnsi="Times New Roman" w:cs="Times New Roman" w:eastAsia="Times New Roman" w:hint="default"/>
                <w:sz w:val="18"/>
                <w:szCs w:val="18"/>
              </w:rPr>
            </w:pPr>
            <w:r>
              <w:rPr>
                <w:rFonts w:ascii="Times New Roman"/>
                <w:sz w:val="18"/>
              </w:rPr>
              <w:t>300002</w:t>
            </w:r>
          </w:p>
        </w:tc>
      </w:tr>
      <w:tr>
        <w:trPr>
          <w:trHeight w:val="402" w:hRule="exact"/>
        </w:trPr>
        <w:tc>
          <w:tcPr>
            <w:tcW w:w="2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公司的中文名称</w:t>
            </w:r>
          </w:p>
        </w:tc>
        <w:tc>
          <w:tcPr>
            <w:tcW w:w="7393"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430" w:right="0"/>
              <w:jc w:val="left"/>
              <w:rPr>
                <w:rFonts w:ascii="宋体" w:hAnsi="宋体" w:cs="宋体" w:eastAsia="宋体" w:hint="default"/>
                <w:sz w:val="18"/>
                <w:szCs w:val="18"/>
              </w:rPr>
            </w:pPr>
            <w:r>
              <w:rPr>
                <w:rFonts w:ascii="宋体" w:hAnsi="宋体" w:cs="宋体" w:eastAsia="宋体" w:hint="default"/>
                <w:sz w:val="18"/>
                <w:szCs w:val="18"/>
              </w:rPr>
              <w:t>北京神州泰岳软件股份有限公司</w:t>
            </w:r>
          </w:p>
        </w:tc>
      </w:tr>
      <w:tr>
        <w:trPr>
          <w:trHeight w:val="402" w:hRule="exact"/>
        </w:trPr>
        <w:tc>
          <w:tcPr>
            <w:tcW w:w="2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公司的中文简称</w:t>
            </w:r>
          </w:p>
        </w:tc>
        <w:tc>
          <w:tcPr>
            <w:tcW w:w="7393"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3" w:right="0"/>
              <w:jc w:val="center"/>
              <w:rPr>
                <w:rFonts w:ascii="宋体" w:hAnsi="宋体" w:cs="宋体" w:eastAsia="宋体" w:hint="default"/>
                <w:sz w:val="18"/>
                <w:szCs w:val="18"/>
              </w:rPr>
            </w:pPr>
            <w:r>
              <w:rPr>
                <w:rFonts w:ascii="宋体" w:hAnsi="宋体" w:cs="宋体" w:eastAsia="宋体" w:hint="default"/>
                <w:sz w:val="18"/>
                <w:szCs w:val="18"/>
              </w:rPr>
              <w:t>神州泰岳</w:t>
            </w:r>
          </w:p>
        </w:tc>
      </w:tr>
      <w:tr>
        <w:trPr>
          <w:trHeight w:val="402" w:hRule="exact"/>
        </w:trPr>
        <w:tc>
          <w:tcPr>
            <w:tcW w:w="2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公司的外文名称</w:t>
            </w:r>
          </w:p>
        </w:tc>
        <w:tc>
          <w:tcPr>
            <w:tcW w:w="7393"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284" w:right="0"/>
              <w:jc w:val="left"/>
              <w:rPr>
                <w:rFonts w:ascii="Times New Roman" w:hAnsi="Times New Roman" w:cs="Times New Roman" w:eastAsia="Times New Roman" w:hint="default"/>
                <w:sz w:val="18"/>
                <w:szCs w:val="18"/>
              </w:rPr>
            </w:pPr>
            <w:r>
              <w:rPr>
                <w:rFonts w:ascii="Times New Roman"/>
                <w:sz w:val="18"/>
              </w:rPr>
              <w:t>Beijing Ultrapower Software Co.,</w:t>
            </w:r>
            <w:r>
              <w:rPr>
                <w:rFonts w:ascii="Times New Roman"/>
                <w:spacing w:val="-7"/>
                <w:sz w:val="18"/>
              </w:rPr>
              <w:t> </w:t>
            </w:r>
            <w:r>
              <w:rPr>
                <w:rFonts w:ascii="Times New Roman"/>
                <w:spacing w:val="-6"/>
                <w:sz w:val="18"/>
              </w:rPr>
              <w:t>LTD</w:t>
            </w:r>
          </w:p>
        </w:tc>
      </w:tr>
      <w:tr>
        <w:trPr>
          <w:trHeight w:val="402" w:hRule="exact"/>
        </w:trPr>
        <w:tc>
          <w:tcPr>
            <w:tcW w:w="2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公司的外文名称缩写</w:t>
            </w:r>
          </w:p>
        </w:tc>
        <w:tc>
          <w:tcPr>
            <w:tcW w:w="7393"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3" w:right="0"/>
              <w:jc w:val="center"/>
              <w:rPr>
                <w:rFonts w:ascii="Times New Roman" w:hAnsi="Times New Roman" w:cs="Times New Roman" w:eastAsia="Times New Roman" w:hint="default"/>
                <w:sz w:val="18"/>
                <w:szCs w:val="18"/>
              </w:rPr>
            </w:pPr>
            <w:r>
              <w:rPr>
                <w:rFonts w:ascii="Times New Roman"/>
                <w:sz w:val="18"/>
              </w:rPr>
              <w:t>Ultrapower</w:t>
            </w:r>
          </w:p>
        </w:tc>
      </w:tr>
      <w:tr>
        <w:trPr>
          <w:trHeight w:val="402" w:hRule="exact"/>
        </w:trPr>
        <w:tc>
          <w:tcPr>
            <w:tcW w:w="2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注册地址</w:t>
            </w:r>
          </w:p>
        </w:tc>
        <w:tc>
          <w:tcPr>
            <w:tcW w:w="7393"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1375" w:right="0"/>
              <w:jc w:val="left"/>
              <w:rPr>
                <w:rFonts w:ascii="宋体" w:hAnsi="宋体" w:cs="宋体" w:eastAsia="宋体" w:hint="default"/>
                <w:sz w:val="18"/>
                <w:szCs w:val="18"/>
              </w:rPr>
            </w:pPr>
            <w:r>
              <w:rPr>
                <w:rFonts w:ascii="宋体" w:hAnsi="宋体" w:cs="宋体" w:eastAsia="宋体" w:hint="default"/>
                <w:sz w:val="18"/>
                <w:szCs w:val="18"/>
              </w:rPr>
              <w:t>北京市海淀区万泉庄路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号万柳新贵大厦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座</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601 </w:t>
            </w:r>
            <w:r>
              <w:rPr>
                <w:rFonts w:ascii="宋体" w:hAnsi="宋体" w:cs="宋体" w:eastAsia="宋体" w:hint="default"/>
                <w:sz w:val="18"/>
                <w:szCs w:val="18"/>
              </w:rPr>
              <w:t>室</w:t>
            </w:r>
          </w:p>
        </w:tc>
      </w:tr>
      <w:tr>
        <w:trPr>
          <w:trHeight w:val="402" w:hRule="exact"/>
        </w:trPr>
        <w:tc>
          <w:tcPr>
            <w:tcW w:w="2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393"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3" w:right="0"/>
              <w:jc w:val="center"/>
              <w:rPr>
                <w:rFonts w:ascii="宋体" w:hAnsi="宋体" w:cs="宋体" w:eastAsia="宋体" w:hint="default"/>
                <w:sz w:val="18"/>
                <w:szCs w:val="18"/>
              </w:rPr>
            </w:pPr>
            <w:r>
              <w:rPr>
                <w:rFonts w:ascii="宋体" w:hAnsi="宋体" w:cs="宋体" w:eastAsia="宋体" w:hint="default"/>
                <w:sz w:val="18"/>
                <w:szCs w:val="18"/>
              </w:rPr>
              <w:t>王宁先生</w:t>
            </w:r>
          </w:p>
        </w:tc>
      </w:tr>
      <w:tr>
        <w:trPr>
          <w:trHeight w:val="402" w:hRule="exact"/>
        </w:trPr>
        <w:tc>
          <w:tcPr>
            <w:tcW w:w="2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393"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3" w:right="0"/>
              <w:jc w:val="center"/>
              <w:rPr>
                <w:rFonts w:ascii="Times New Roman" w:hAnsi="Times New Roman" w:cs="Times New Roman" w:eastAsia="Times New Roman" w:hint="default"/>
                <w:sz w:val="18"/>
                <w:szCs w:val="18"/>
              </w:rPr>
            </w:pPr>
            <w:r>
              <w:rPr>
                <w:rFonts w:ascii="Times New Roman"/>
                <w:sz w:val="18"/>
              </w:rPr>
              <w:t>100089</w:t>
            </w:r>
          </w:p>
        </w:tc>
      </w:tr>
      <w:tr>
        <w:trPr>
          <w:trHeight w:val="402" w:hRule="exact"/>
        </w:trPr>
        <w:tc>
          <w:tcPr>
            <w:tcW w:w="2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办公地址</w:t>
            </w:r>
          </w:p>
        </w:tc>
        <w:tc>
          <w:tcPr>
            <w:tcW w:w="7393"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1980" w:right="0"/>
              <w:jc w:val="left"/>
              <w:rPr>
                <w:rFonts w:ascii="宋体" w:hAnsi="宋体" w:cs="宋体" w:eastAsia="宋体" w:hint="default"/>
                <w:sz w:val="18"/>
                <w:szCs w:val="18"/>
              </w:rPr>
            </w:pPr>
            <w:r>
              <w:rPr>
                <w:rFonts w:ascii="宋体" w:hAnsi="宋体" w:cs="宋体" w:eastAsia="宋体" w:hint="default"/>
                <w:sz w:val="18"/>
                <w:szCs w:val="18"/>
              </w:rPr>
              <w:t>北京市朝阳区北苑路甲</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p>
        </w:tc>
      </w:tr>
      <w:tr>
        <w:trPr>
          <w:trHeight w:val="402" w:hRule="exact"/>
        </w:trPr>
        <w:tc>
          <w:tcPr>
            <w:tcW w:w="2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393"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3" w:right="0"/>
              <w:jc w:val="center"/>
              <w:rPr>
                <w:rFonts w:ascii="Times New Roman" w:hAnsi="Times New Roman" w:cs="Times New Roman" w:eastAsia="Times New Roman" w:hint="default"/>
                <w:sz w:val="18"/>
                <w:szCs w:val="18"/>
              </w:rPr>
            </w:pPr>
            <w:r>
              <w:rPr>
                <w:rFonts w:ascii="Times New Roman"/>
                <w:sz w:val="18"/>
              </w:rPr>
              <w:t>100107</w:t>
            </w:r>
          </w:p>
        </w:tc>
      </w:tr>
      <w:tr>
        <w:trPr>
          <w:trHeight w:val="402" w:hRule="exact"/>
        </w:trPr>
        <w:tc>
          <w:tcPr>
            <w:tcW w:w="2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公司国际互联网网址</w:t>
            </w:r>
          </w:p>
        </w:tc>
        <w:tc>
          <w:tcPr>
            <w:tcW w:w="7393"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 w:right="0"/>
              <w:jc w:val="center"/>
              <w:rPr>
                <w:rFonts w:ascii="Times New Roman" w:hAnsi="Times New Roman" w:cs="Times New Roman" w:eastAsia="Times New Roman" w:hint="default"/>
                <w:sz w:val="18"/>
                <w:szCs w:val="18"/>
              </w:rPr>
            </w:pPr>
            <w:hyperlink r:id="rId40">
              <w:r>
                <w:rPr>
                  <w:rFonts w:ascii="Times New Roman"/>
                  <w:sz w:val="18"/>
                </w:rPr>
                <w:t>www.ultrapower.com.cn</w:t>
              </w:r>
            </w:hyperlink>
          </w:p>
        </w:tc>
      </w:tr>
      <w:tr>
        <w:trPr>
          <w:trHeight w:val="403" w:hRule="exact"/>
        </w:trPr>
        <w:tc>
          <w:tcPr>
            <w:tcW w:w="2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电子信箱</w:t>
            </w:r>
          </w:p>
        </w:tc>
        <w:tc>
          <w:tcPr>
            <w:tcW w:w="7393"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 w:right="0"/>
              <w:jc w:val="center"/>
              <w:rPr>
                <w:rFonts w:ascii="Times New Roman" w:hAnsi="Times New Roman" w:cs="Times New Roman" w:eastAsia="Times New Roman" w:hint="default"/>
                <w:sz w:val="18"/>
                <w:szCs w:val="18"/>
              </w:rPr>
            </w:pPr>
            <w:hyperlink r:id="rId41">
              <w:r>
                <w:rPr>
                  <w:rFonts w:ascii="Times New Roman"/>
                  <w:sz w:val="18"/>
                </w:rPr>
                <w:t>IRM@ultrapower.com.cn</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二、联系人和联系方式" w:id="6"/>
      <w:bookmarkEnd w:id="6"/>
      <w:r>
        <w:rPr>
          <w:b w:val="0"/>
          <w:bCs w:val="0"/>
        </w:rPr>
      </w:r>
      <w:r>
        <w:rPr/>
        <w:t>二、联系人和联系方式</w:t>
      </w:r>
      <w:r>
        <w:rPr>
          <w:b w:val="0"/>
          <w:bCs w:val="0"/>
        </w:rPr>
      </w:r>
    </w:p>
    <w:p>
      <w:pPr>
        <w:spacing w:line="240" w:lineRule="auto" w:before="9"/>
        <w:rPr>
          <w:rFonts w:ascii="宋体" w:hAnsi="宋体" w:cs="宋体" w:eastAsia="宋体" w:hint="default"/>
          <w:b/>
          <w:bCs/>
          <w:sz w:val="25"/>
          <w:szCs w:val="25"/>
        </w:rPr>
      </w:pPr>
    </w:p>
    <w:tbl>
      <w:tblPr>
        <w:tblW w:w="0" w:type="auto"/>
        <w:jc w:val="left"/>
        <w:tblInd w:w="133" w:type="dxa"/>
        <w:tblLayout w:type="fixed"/>
        <w:tblCellMar>
          <w:top w:w="0" w:type="dxa"/>
          <w:left w:w="0" w:type="dxa"/>
          <w:bottom w:w="0" w:type="dxa"/>
          <w:right w:w="0" w:type="dxa"/>
        </w:tblCellMar>
        <w:tblLook w:val="01E0"/>
      </w:tblPr>
      <w:tblGrid>
        <w:gridCol w:w="2385"/>
        <w:gridCol w:w="3603"/>
        <w:gridCol w:w="3695"/>
      </w:tblGrid>
      <w:tr>
        <w:trPr>
          <w:trHeight w:val="402" w:hRule="exact"/>
        </w:trPr>
        <w:tc>
          <w:tcPr>
            <w:tcW w:w="238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6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6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2" w:hRule="exact"/>
        </w:trPr>
        <w:tc>
          <w:tcPr>
            <w:tcW w:w="23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36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张黔山</w:t>
            </w:r>
          </w:p>
        </w:tc>
        <w:tc>
          <w:tcPr>
            <w:tcW w:w="3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丁思茗</w:t>
            </w:r>
          </w:p>
        </w:tc>
      </w:tr>
      <w:tr>
        <w:trPr>
          <w:trHeight w:val="402" w:hRule="exact"/>
        </w:trPr>
        <w:tc>
          <w:tcPr>
            <w:tcW w:w="23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联系地址</w:t>
            </w:r>
          </w:p>
        </w:tc>
        <w:tc>
          <w:tcPr>
            <w:tcW w:w="36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北京市朝阳区北苑路甲</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p>
        </w:tc>
        <w:tc>
          <w:tcPr>
            <w:tcW w:w="3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北京市朝阳区北苑路甲</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p>
        </w:tc>
      </w:tr>
      <w:tr>
        <w:trPr>
          <w:trHeight w:val="402" w:hRule="exact"/>
        </w:trPr>
        <w:tc>
          <w:tcPr>
            <w:tcW w:w="23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电话</w:t>
            </w:r>
          </w:p>
        </w:tc>
        <w:tc>
          <w:tcPr>
            <w:tcW w:w="36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010-84927606</w:t>
            </w:r>
          </w:p>
        </w:tc>
        <w:tc>
          <w:tcPr>
            <w:tcW w:w="3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010-84927606</w:t>
            </w:r>
          </w:p>
        </w:tc>
      </w:tr>
      <w:tr>
        <w:trPr>
          <w:trHeight w:val="402" w:hRule="exact"/>
        </w:trPr>
        <w:tc>
          <w:tcPr>
            <w:tcW w:w="23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传真</w:t>
            </w:r>
          </w:p>
        </w:tc>
        <w:tc>
          <w:tcPr>
            <w:tcW w:w="36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010-58847583</w:t>
            </w:r>
          </w:p>
        </w:tc>
        <w:tc>
          <w:tcPr>
            <w:tcW w:w="3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010-58847583</w:t>
            </w:r>
          </w:p>
        </w:tc>
      </w:tr>
      <w:tr>
        <w:trPr>
          <w:trHeight w:val="402" w:hRule="exact"/>
        </w:trPr>
        <w:tc>
          <w:tcPr>
            <w:tcW w:w="23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电子信箱</w:t>
            </w:r>
          </w:p>
        </w:tc>
        <w:tc>
          <w:tcPr>
            <w:tcW w:w="36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hyperlink r:id="rId41">
              <w:r>
                <w:rPr>
                  <w:rFonts w:ascii="Times New Roman"/>
                  <w:sz w:val="18"/>
                </w:rPr>
                <w:t>IRM@ultrapower.com.cn</w:t>
              </w:r>
            </w:hyperlink>
          </w:p>
        </w:tc>
        <w:tc>
          <w:tcPr>
            <w:tcW w:w="3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hyperlink r:id="rId41">
              <w:r>
                <w:rPr>
                  <w:rFonts w:ascii="Times New Roman"/>
                  <w:sz w:val="18"/>
                </w:rPr>
                <w:t>IRM@ultrapower.com.cn</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三、信息披露及备置地点" w:id="7"/>
      <w:bookmarkEnd w:id="7"/>
      <w:r>
        <w:rPr>
          <w:b w:val="0"/>
          <w:bCs w:val="0"/>
        </w:rPr>
      </w:r>
      <w:r>
        <w:rPr/>
        <w:t>三、信息披露及备置地点</w:t>
      </w:r>
      <w:r>
        <w:rPr>
          <w:b w:val="0"/>
          <w:bCs w:val="0"/>
        </w:rPr>
      </w:r>
    </w:p>
    <w:p>
      <w:pPr>
        <w:spacing w:line="240" w:lineRule="auto" w:before="9"/>
        <w:rPr>
          <w:rFonts w:ascii="宋体" w:hAnsi="宋体" w:cs="宋体" w:eastAsia="宋体" w:hint="default"/>
          <w:b/>
          <w:bCs/>
          <w:sz w:val="25"/>
          <w:szCs w:val="25"/>
        </w:rPr>
      </w:pPr>
    </w:p>
    <w:tbl>
      <w:tblPr>
        <w:tblW w:w="0" w:type="auto"/>
        <w:jc w:val="left"/>
        <w:tblInd w:w="121" w:type="dxa"/>
        <w:tblLayout w:type="fixed"/>
        <w:tblCellMar>
          <w:top w:w="0" w:type="dxa"/>
          <w:left w:w="0" w:type="dxa"/>
          <w:bottom w:w="0" w:type="dxa"/>
          <w:right w:w="0" w:type="dxa"/>
        </w:tblCellMar>
        <w:tblLook w:val="01E0"/>
      </w:tblPr>
      <w:tblGrid>
        <w:gridCol w:w="4045"/>
        <w:gridCol w:w="5650"/>
      </w:tblGrid>
      <w:tr>
        <w:trPr>
          <w:trHeight w:val="403" w:hRule="exact"/>
        </w:trPr>
        <w:tc>
          <w:tcPr>
            <w:tcW w:w="4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《证券日报》</w:t>
            </w:r>
          </w:p>
        </w:tc>
      </w:tr>
      <w:tr>
        <w:trPr>
          <w:trHeight w:val="402" w:hRule="exact"/>
        </w:trPr>
        <w:tc>
          <w:tcPr>
            <w:tcW w:w="4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hyperlink r:id="rId42">
              <w:r>
                <w:rPr>
                  <w:rFonts w:ascii="Times New Roman"/>
                  <w:sz w:val="18"/>
                </w:rPr>
                <w:t>www.cninfo.com.cn</w:t>
              </w:r>
            </w:hyperlink>
          </w:p>
        </w:tc>
      </w:tr>
      <w:tr>
        <w:trPr>
          <w:trHeight w:val="403" w:hRule="exact"/>
        </w:trPr>
        <w:tc>
          <w:tcPr>
            <w:tcW w:w="4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公司董事会办公室</w:t>
            </w:r>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四、其他有关资料" w:id="8"/>
      <w:bookmarkEnd w:id="8"/>
      <w:r>
        <w:rPr>
          <w:b w:val="0"/>
          <w:bCs w:val="0"/>
        </w:rPr>
      </w:r>
      <w:r>
        <w:rPr/>
        <w:t>四、其他有关资料</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公司聘请的会计师事务所</w:t>
      </w:r>
    </w:p>
    <w:p>
      <w:pPr>
        <w:spacing w:after="0" w:line="240" w:lineRule="auto"/>
        <w:jc w:val="left"/>
        <w:sectPr>
          <w:pgSz w:w="11910" w:h="16840"/>
          <w:pgMar w:header="851" w:footer="1187" w:top="1400" w:bottom="1380" w:left="980" w:right="0"/>
        </w:sectPr>
      </w:pPr>
    </w:p>
    <w:p>
      <w:pPr>
        <w:spacing w:line="240" w:lineRule="auto" w:before="7"/>
        <w:rPr>
          <w:rFonts w:ascii="宋体" w:hAnsi="宋体" w:cs="宋体" w:eastAsia="宋体" w:hint="default"/>
          <w:sz w:val="3"/>
          <w:szCs w:val="3"/>
        </w:rPr>
      </w:pPr>
    </w:p>
    <w:tbl>
      <w:tblPr>
        <w:tblW w:w="0" w:type="auto"/>
        <w:jc w:val="left"/>
        <w:tblInd w:w="109" w:type="dxa"/>
        <w:tblLayout w:type="fixed"/>
        <w:tblCellMar>
          <w:top w:w="0" w:type="dxa"/>
          <w:left w:w="0" w:type="dxa"/>
          <w:bottom w:w="0" w:type="dxa"/>
          <w:right w:w="0" w:type="dxa"/>
        </w:tblCellMar>
        <w:tblLook w:val="01E0"/>
      </w:tblPr>
      <w:tblGrid>
        <w:gridCol w:w="2662"/>
        <w:gridCol w:w="6907"/>
      </w:tblGrid>
      <w:tr>
        <w:trPr>
          <w:trHeight w:val="409" w:hRule="exact"/>
        </w:trPr>
        <w:tc>
          <w:tcPr>
            <w:tcW w:w="266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上海市南京东路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号新黄浦金融大厦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楼</w:t>
            </w:r>
          </w:p>
        </w:tc>
      </w:tr>
      <w:tr>
        <w:trPr>
          <w:trHeight w:val="403"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签字会计师姓名</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王一芳、张佳朕</w:t>
            </w:r>
          </w:p>
        </w:tc>
      </w:tr>
    </w:tbl>
    <w:p>
      <w:pPr>
        <w:pStyle w:val="Heading5"/>
        <w:spacing w:line="240" w:lineRule="auto" w:before="89"/>
        <w:ind w:left="114" w:right="1276"/>
        <w:jc w:val="left"/>
        <w:rPr>
          <w:b w:val="0"/>
          <w:bCs w:val="0"/>
        </w:rPr>
      </w:pPr>
      <w:r>
        <w:rPr/>
        <w:t>公司聘请的报告期内履行持续督导职责的保荐机构</w:t>
      </w:r>
      <w:r>
        <w:rPr>
          <w:b w:val="0"/>
          <w:bCs w:val="0"/>
        </w:rPr>
      </w:r>
    </w:p>
    <w:p>
      <w:pPr>
        <w:spacing w:line="240" w:lineRule="auto" w:before="12"/>
        <w:rPr>
          <w:rFonts w:ascii="宋体" w:hAnsi="宋体" w:cs="宋体" w:eastAsia="宋体" w:hint="default"/>
          <w:b/>
          <w:bCs/>
          <w:sz w:val="14"/>
          <w:szCs w:val="14"/>
        </w:rPr>
      </w:pPr>
    </w:p>
    <w:p>
      <w:pPr>
        <w:pStyle w:val="Heading5"/>
        <w:spacing w:line="412" w:lineRule="auto"/>
        <w:ind w:left="114" w:right="6776"/>
        <w:jc w:val="left"/>
        <w:rPr>
          <w:b w:val="0"/>
          <w:bCs w:val="0"/>
        </w:rPr>
      </w:pPr>
      <w:r>
        <w:rPr>
          <w:rFonts w:ascii="Times New Roman" w:hAnsi="Times New Roman" w:cs="Times New Roman" w:eastAsia="Times New Roman" w:hint="default"/>
          <w:b w:val="0"/>
          <w:bCs w:val="0"/>
        </w:rPr>
        <w:t>□ </w:t>
      </w:r>
      <w:r>
        <w:rPr>
          <w:rFonts w:ascii="宋体" w:hAnsi="宋体" w:cs="宋体" w:eastAsia="宋体" w:hint="default"/>
          <w:b w:val="0"/>
          <w:bCs w:val="0"/>
        </w:rPr>
        <w:t>适用 </w:t>
      </w:r>
      <w:r>
        <w:rPr/>
        <w:t>√</w:t>
      </w:r>
      <w:r>
        <w:rPr>
          <w:spacing w:val="-1"/>
        </w:rPr>
        <w:t> </w:t>
      </w:r>
      <w:r>
        <w:rPr/>
        <w:t>不适用</w:t>
      </w:r>
      <w:r>
        <w:rPr>
          <w:w w:val="99"/>
        </w:rPr>
        <w:t> </w:t>
      </w:r>
      <w:r>
        <w:rPr/>
        <w:t>公司聘请的报告期内履行持续督导职责的财务顾问</w:t>
      </w:r>
      <w:r>
        <w:rPr>
          <w:b w:val="0"/>
          <w:bCs w:val="0"/>
        </w:rPr>
      </w:r>
    </w:p>
    <w:p>
      <w:pPr>
        <w:spacing w:before="65"/>
        <w:ind w:left="114" w:right="127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24"/>
          <w:szCs w:val="24"/>
        </w:rPr>
      </w:pPr>
    </w:p>
    <w:p>
      <w:pPr>
        <w:pStyle w:val="Heading2"/>
        <w:spacing w:line="240" w:lineRule="auto"/>
        <w:ind w:left="114" w:right="1276"/>
        <w:jc w:val="left"/>
        <w:rPr>
          <w:b w:val="0"/>
          <w:bCs w:val="0"/>
        </w:rPr>
      </w:pPr>
      <w:bookmarkStart w:name="五、主要会计数据和财务指标" w:id="9"/>
      <w:bookmarkEnd w:id="9"/>
      <w:r>
        <w:rPr>
          <w:b w:val="0"/>
          <w:bCs w:val="0"/>
        </w:rPr>
      </w:r>
      <w:r>
        <w:rPr/>
        <w:t>五、主要会计数据和财务指标</w:t>
      </w:r>
      <w:r>
        <w:rPr>
          <w:b w:val="0"/>
          <w:bCs w:val="0"/>
        </w:rPr>
      </w:r>
    </w:p>
    <w:p>
      <w:pPr>
        <w:spacing w:line="240" w:lineRule="auto" w:before="7"/>
        <w:rPr>
          <w:rFonts w:ascii="宋体" w:hAnsi="宋体" w:cs="宋体" w:eastAsia="宋体" w:hint="default"/>
          <w:b/>
          <w:bCs/>
          <w:sz w:val="32"/>
          <w:szCs w:val="32"/>
        </w:rPr>
      </w:pPr>
    </w:p>
    <w:p>
      <w:pPr>
        <w:pStyle w:val="Heading5"/>
        <w:spacing w:line="240" w:lineRule="auto"/>
        <w:ind w:left="114" w:right="1276"/>
        <w:jc w:val="left"/>
        <w:rPr>
          <w:b w:val="0"/>
          <w:bCs w:val="0"/>
        </w:rPr>
      </w:pPr>
      <w:r>
        <w:rPr/>
        <w:t>公司是否需追溯调整或重述以前年度会计数据</w:t>
      </w:r>
      <w:r>
        <w:rPr>
          <w:b w:val="0"/>
          <w:bCs w:val="0"/>
        </w:rPr>
      </w:r>
    </w:p>
    <w:p>
      <w:pPr>
        <w:spacing w:line="240" w:lineRule="auto" w:before="12"/>
        <w:rPr>
          <w:rFonts w:ascii="宋体" w:hAnsi="宋体" w:cs="宋体" w:eastAsia="宋体" w:hint="default"/>
          <w:b/>
          <w:bCs/>
          <w:sz w:val="14"/>
          <w:szCs w:val="14"/>
        </w:rPr>
      </w:pPr>
    </w:p>
    <w:p>
      <w:pPr>
        <w:spacing w:before="0"/>
        <w:ind w:left="114" w:right="127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否</w:t>
      </w:r>
      <w:r>
        <w:rPr>
          <w:rFonts w:ascii="宋体" w:hAnsi="宋体" w:cs="宋体" w:eastAsia="宋体" w:hint="default"/>
          <w:sz w:val="18"/>
          <w:szCs w:val="18"/>
        </w:rPr>
      </w:r>
    </w:p>
    <w:p>
      <w:pPr>
        <w:spacing w:line="240" w:lineRule="auto" w:before="12"/>
        <w:rPr>
          <w:rFonts w:ascii="宋体" w:hAnsi="宋体" w:cs="宋体" w:eastAsia="宋体" w:hint="default"/>
          <w:b/>
          <w:bCs/>
          <w:sz w:val="6"/>
          <w:szCs w:val="6"/>
        </w:rPr>
      </w:pPr>
    </w:p>
    <w:tbl>
      <w:tblPr>
        <w:tblW w:w="0" w:type="auto"/>
        <w:jc w:val="left"/>
        <w:tblInd w:w="120" w:type="dxa"/>
        <w:tblLayout w:type="fixed"/>
        <w:tblCellMar>
          <w:top w:w="0" w:type="dxa"/>
          <w:left w:w="0" w:type="dxa"/>
          <w:bottom w:w="0" w:type="dxa"/>
          <w:right w:w="0" w:type="dxa"/>
        </w:tblCellMar>
        <w:tblLook w:val="01E0"/>
      </w:tblPr>
      <w:tblGrid>
        <w:gridCol w:w="2598"/>
        <w:gridCol w:w="1751"/>
        <w:gridCol w:w="1736"/>
        <w:gridCol w:w="1738"/>
        <w:gridCol w:w="1735"/>
      </w:tblGrid>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2"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2,019,455,697.32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2,026,498,700.16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-0.35%</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2,936,581,930.55</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80,247,586.32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119,550,096.20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-32.88%</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507,331,705.29</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5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62,547,641.33</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54,576,722.16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14.60%</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326,075,880.02</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272,148,200.97</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540,664,802.30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-49.66%</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91,291,377.55</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0.0409</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0.0610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-32.95%</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0.2565</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0.0409</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0.0610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-32.95%</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0.2565</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1.55%</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2.35%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-0.80%</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10.18%</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53"/>
              <w:jc w:val="righ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资产总额（元）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6,634,980,057.70</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6,924,625,392.43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-4.18%</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7,031,108,818.04</w:t>
            </w:r>
          </w:p>
        </w:tc>
      </w:tr>
      <w:tr>
        <w:trPr>
          <w:trHeight w:val="715"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5,239,233,811.59</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5,146,199,239.88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1.81%</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5,033,349,236.74</w:t>
            </w:r>
          </w:p>
        </w:tc>
      </w:tr>
    </w:tbl>
    <w:p>
      <w:pPr>
        <w:spacing w:line="240" w:lineRule="auto" w:before="2"/>
        <w:rPr>
          <w:rFonts w:ascii="宋体" w:hAnsi="宋体" w:cs="宋体" w:eastAsia="宋体" w:hint="default"/>
          <w:b/>
          <w:bCs/>
          <w:sz w:val="18"/>
          <w:szCs w:val="18"/>
        </w:rPr>
      </w:pPr>
    </w:p>
    <w:p>
      <w:pPr>
        <w:pStyle w:val="Heading2"/>
        <w:spacing w:line="240" w:lineRule="auto" w:before="26"/>
        <w:ind w:left="114" w:right="1276"/>
        <w:jc w:val="left"/>
        <w:rPr>
          <w:b w:val="0"/>
          <w:bCs w:val="0"/>
        </w:rPr>
      </w:pPr>
      <w:bookmarkStart w:name="六、分季度主要财务指标" w:id="10"/>
      <w:bookmarkEnd w:id="10"/>
      <w:r>
        <w:rPr>
          <w:b w:val="0"/>
          <w:bCs w:val="0"/>
        </w:rPr>
      </w:r>
      <w:r>
        <w:rPr/>
        <w:t>六、分季度主要财务指标</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2598"/>
        <w:gridCol w:w="1752"/>
        <w:gridCol w:w="1739"/>
        <w:gridCol w:w="1740"/>
        <w:gridCol w:w="1729"/>
      </w:tblGrid>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5"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4"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5"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326,420,445.00</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326,683,089.05</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378,962,804.65</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987,389,358.62</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-46,202,801.23</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-89,747,068.15</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-17,552,642.14</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233,750,097.84</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5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-46,703,497.77</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-100,646,264.96</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-18,160,018.25</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228,057,422.31</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1187" w:top="1400" w:bottom="1380" w:left="1020" w:right="0"/>
        </w:sectPr>
      </w:pPr>
    </w:p>
    <w:p>
      <w:pPr>
        <w:spacing w:line="240" w:lineRule="auto" w:before="3"/>
        <w:rPr>
          <w:rFonts w:ascii="宋体" w:hAnsi="宋体" w:cs="宋体" w:eastAsia="宋体" w:hint="default"/>
          <w:sz w:val="3"/>
          <w:szCs w:val="3"/>
        </w:rPr>
      </w:pPr>
    </w:p>
    <w:tbl>
      <w:tblPr>
        <w:tblW w:w="0" w:type="auto"/>
        <w:jc w:val="left"/>
        <w:tblInd w:w="109" w:type="dxa"/>
        <w:tblLayout w:type="fixed"/>
        <w:tblCellMar>
          <w:top w:w="0" w:type="dxa"/>
          <w:left w:w="0" w:type="dxa"/>
          <w:bottom w:w="0" w:type="dxa"/>
          <w:right w:w="0" w:type="dxa"/>
        </w:tblCellMar>
        <w:tblLook w:val="01E0"/>
      </w:tblPr>
      <w:tblGrid>
        <w:gridCol w:w="2621"/>
        <w:gridCol w:w="1740"/>
        <w:gridCol w:w="1739"/>
        <w:gridCol w:w="1740"/>
        <w:gridCol w:w="1729"/>
      </w:tblGrid>
      <w:tr>
        <w:trPr>
          <w:trHeight w:val="415" w:hRule="exact"/>
        </w:trPr>
        <w:tc>
          <w:tcPr>
            <w:tcW w:w="2621"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4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left="611" w:right="0"/>
              <w:jc w:val="left"/>
              <w:rPr>
                <w:rFonts w:ascii="Times New Roman" w:hAnsi="Times New Roman" w:cs="Times New Roman" w:eastAsia="Times New Roman" w:hint="default"/>
                <w:sz w:val="18"/>
                <w:szCs w:val="18"/>
              </w:rPr>
            </w:pPr>
            <w:r>
              <w:rPr>
                <w:rFonts w:ascii="Times New Roman"/>
                <w:sz w:val="18"/>
              </w:rPr>
              <w:t>-27,660,588.44</w:t>
            </w:r>
          </w:p>
        </w:tc>
        <w:tc>
          <w:tcPr>
            <w:tcW w:w="173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left="610" w:right="0"/>
              <w:jc w:val="left"/>
              <w:rPr>
                <w:rFonts w:ascii="Times New Roman" w:hAnsi="Times New Roman" w:cs="Times New Roman" w:eastAsia="Times New Roman" w:hint="default"/>
                <w:sz w:val="18"/>
                <w:szCs w:val="18"/>
              </w:rPr>
            </w:pPr>
            <w:r>
              <w:rPr>
                <w:rFonts w:ascii="Times New Roman"/>
                <w:sz w:val="18"/>
              </w:rPr>
              <w:t>-52,692,095.44</w:t>
            </w:r>
          </w:p>
        </w:tc>
        <w:tc>
          <w:tcPr>
            <w:tcW w:w="174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left="671" w:right="0"/>
              <w:jc w:val="left"/>
              <w:rPr>
                <w:rFonts w:ascii="Times New Roman" w:hAnsi="Times New Roman" w:cs="Times New Roman" w:eastAsia="Times New Roman" w:hint="default"/>
                <w:sz w:val="18"/>
                <w:szCs w:val="18"/>
              </w:rPr>
            </w:pPr>
            <w:r>
              <w:rPr>
                <w:rFonts w:ascii="Times New Roman"/>
                <w:sz w:val="18"/>
              </w:rPr>
              <w:t>60,085,335.84</w:t>
            </w:r>
          </w:p>
        </w:tc>
        <w:tc>
          <w:tcPr>
            <w:tcW w:w="172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left="572" w:right="0"/>
              <w:jc w:val="left"/>
              <w:rPr>
                <w:rFonts w:ascii="Times New Roman" w:hAnsi="Times New Roman" w:cs="Times New Roman" w:eastAsia="Times New Roman" w:hint="default"/>
                <w:sz w:val="18"/>
                <w:szCs w:val="18"/>
              </w:rPr>
            </w:pPr>
            <w:r>
              <w:rPr>
                <w:rFonts w:ascii="Times New Roman"/>
                <w:sz w:val="18"/>
              </w:rPr>
              <w:t>292,415,549.01</w:t>
            </w:r>
          </w:p>
        </w:tc>
      </w:tr>
    </w:tbl>
    <w:p>
      <w:pPr>
        <w:pStyle w:val="Heading5"/>
        <w:spacing w:line="240" w:lineRule="auto" w:before="88"/>
        <w:ind w:left="114" w:right="1276"/>
        <w:jc w:val="left"/>
        <w:rPr>
          <w:b w:val="0"/>
          <w:bCs w:val="0"/>
        </w:rPr>
      </w:pPr>
      <w:r>
        <w:rPr/>
        <w:t>上述财务指标或其加总数是否与公司已披露季度报告、半年度报告相关财务指标存在重大差异</w:t>
      </w:r>
      <w:r>
        <w:rPr>
          <w:b w:val="0"/>
          <w:bCs w:val="0"/>
        </w:rPr>
      </w:r>
    </w:p>
    <w:p>
      <w:pPr>
        <w:spacing w:line="240" w:lineRule="auto" w:before="12"/>
        <w:rPr>
          <w:rFonts w:ascii="宋体" w:hAnsi="宋体" w:cs="宋体" w:eastAsia="宋体" w:hint="default"/>
          <w:b/>
          <w:bCs/>
          <w:sz w:val="14"/>
          <w:szCs w:val="14"/>
        </w:rPr>
      </w:pPr>
    </w:p>
    <w:p>
      <w:pPr>
        <w:spacing w:before="0"/>
        <w:ind w:left="114" w:right="127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否</w:t>
      </w:r>
      <w:r>
        <w:rPr>
          <w:rFonts w:ascii="宋体" w:hAnsi="宋体" w:cs="宋体" w:eastAsia="宋体" w:hint="default"/>
          <w:sz w:val="18"/>
          <w:szCs w:val="18"/>
        </w:rPr>
      </w:r>
    </w:p>
    <w:p>
      <w:pPr>
        <w:spacing w:line="240" w:lineRule="auto" w:before="13"/>
        <w:rPr>
          <w:rFonts w:ascii="宋体" w:hAnsi="宋体" w:cs="宋体" w:eastAsia="宋体" w:hint="default"/>
          <w:b/>
          <w:bCs/>
          <w:sz w:val="23"/>
          <w:szCs w:val="23"/>
        </w:rPr>
      </w:pPr>
    </w:p>
    <w:p>
      <w:pPr>
        <w:pStyle w:val="Heading2"/>
        <w:spacing w:line="240" w:lineRule="auto"/>
        <w:ind w:left="114" w:right="1276"/>
        <w:jc w:val="left"/>
        <w:rPr>
          <w:b w:val="0"/>
          <w:bCs w:val="0"/>
        </w:rPr>
      </w:pPr>
      <w:bookmarkStart w:name="七、境内外会计准则下会计数据差异" w:id="11"/>
      <w:bookmarkEnd w:id="11"/>
      <w:r>
        <w:rPr>
          <w:b w:val="0"/>
          <w:bCs w:val="0"/>
        </w:rPr>
      </w:r>
      <w:r>
        <w:rPr/>
        <w:t>七、境内外会计准则下会计数据差异</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14" w:right="1276"/>
        <w:jc w:val="left"/>
        <w:rPr>
          <w:b w:val="0"/>
          <w:bCs w:val="0"/>
        </w:rPr>
      </w:pPr>
      <w:bookmarkStart w:name="1、同时按照国际会计准则与按照中国会计准则披露的财务报告中净利润和净资产差异情况" w:id="12"/>
      <w:bookmarkEnd w:id="12"/>
      <w:r>
        <w:rPr>
          <w:b w:val="0"/>
          <w:bCs w:val="0"/>
        </w:rPr>
      </w:r>
      <w:r>
        <w:rPr>
          <w:rFonts w:ascii="Times New Roman" w:hAnsi="Times New Roman" w:cs="Times New Roman" w:eastAsia="Times New Roman" w:hint="default"/>
        </w:rPr>
        <w:t>1</w:t>
      </w:r>
      <w:r>
        <w:rPr/>
        <w:t>、同时按照国际会计准则与按照中国会计准则披露的财务报告中净利润和净资产差异情况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pStyle w:val="BodyText"/>
        <w:spacing w:line="412" w:lineRule="auto"/>
        <w:ind w:left="114" w:right="1276"/>
        <w:jc w:val="left"/>
      </w:pPr>
      <w:r>
        <w:rPr>
          <w:rFonts w:ascii="Times New Roman" w:hAnsi="Times New Roman" w:cs="Times New Roman" w:eastAsia="Times New Roman" w:hint="default"/>
        </w:rPr>
        <w:t>□ </w:t>
      </w:r>
      <w:r>
        <w:rPr/>
        <w:t>适用 </w:t>
      </w:r>
      <w:r>
        <w:rPr>
          <w:rFonts w:ascii="宋体" w:hAnsi="宋体" w:cs="宋体" w:eastAsia="宋体" w:hint="default"/>
          <w:b/>
          <w:bCs/>
        </w:rPr>
        <w:t>√</w:t>
      </w:r>
      <w:r>
        <w:rPr>
          <w:rFonts w:ascii="宋体" w:hAnsi="宋体" w:cs="宋体" w:eastAsia="宋体" w:hint="default"/>
          <w:b/>
          <w:bCs/>
          <w:spacing w:val="-1"/>
        </w:rPr>
        <w:t> </w:t>
      </w:r>
      <w:r>
        <w:rPr>
          <w:rFonts w:ascii="宋体" w:hAnsi="宋体" w:cs="宋体" w:eastAsia="宋体" w:hint="default"/>
          <w:b/>
          <w:bCs/>
        </w:rPr>
        <w:t>不适用</w:t>
      </w:r>
      <w:r>
        <w:rPr>
          <w:rFonts w:ascii="宋体" w:hAnsi="宋体" w:cs="宋体" w:eastAsia="宋体" w:hint="default"/>
          <w:b/>
          <w:bCs/>
          <w:w w:val="99"/>
        </w:rPr>
        <w:t> </w:t>
      </w:r>
      <w:r>
        <w:rPr/>
        <w:t>公司报告期不存在按照国际会计准则与按照中国会计准则披露的财务报告中净利润和净资产差异情况。</w:t>
      </w:r>
    </w:p>
    <w:p>
      <w:pPr>
        <w:spacing w:line="240" w:lineRule="auto" w:before="13"/>
        <w:rPr>
          <w:rFonts w:ascii="宋体" w:hAnsi="宋体" w:cs="宋体" w:eastAsia="宋体" w:hint="default"/>
          <w:sz w:val="22"/>
          <w:szCs w:val="22"/>
        </w:rPr>
      </w:pPr>
    </w:p>
    <w:p>
      <w:pPr>
        <w:pStyle w:val="Heading3"/>
        <w:spacing w:line="240" w:lineRule="auto"/>
        <w:ind w:left="114" w:right="1276"/>
        <w:jc w:val="left"/>
        <w:rPr>
          <w:b w:val="0"/>
          <w:bCs w:val="0"/>
        </w:rPr>
      </w:pPr>
      <w:bookmarkStart w:name="2、同时按照境外会计准则与按照中国会计准则披露的财务报告中净利润和净资产差异情况" w:id="13"/>
      <w:bookmarkEnd w:id="13"/>
      <w:r>
        <w:rPr>
          <w:b w:val="0"/>
          <w:bCs w:val="0"/>
        </w:rPr>
      </w: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pStyle w:val="BodyText"/>
        <w:spacing w:line="412" w:lineRule="auto"/>
        <w:ind w:left="114" w:right="2652"/>
        <w:jc w:val="left"/>
      </w:pPr>
      <w:r>
        <w:rPr>
          <w:rFonts w:ascii="Times New Roman" w:hAnsi="Times New Roman" w:cs="Times New Roman" w:eastAsia="Times New Roman" w:hint="default"/>
        </w:rPr>
        <w:t>□ </w:t>
      </w:r>
      <w:r>
        <w:rPr/>
        <w:t>适用 </w:t>
      </w:r>
      <w:r>
        <w:rPr>
          <w:rFonts w:ascii="宋体" w:hAnsi="宋体" w:cs="宋体" w:eastAsia="宋体" w:hint="default"/>
          <w:b/>
          <w:bCs/>
        </w:rPr>
        <w:t>√</w:t>
      </w:r>
      <w:r>
        <w:rPr>
          <w:rFonts w:ascii="宋体" w:hAnsi="宋体" w:cs="宋体" w:eastAsia="宋体" w:hint="default"/>
          <w:b/>
          <w:bCs/>
          <w:spacing w:val="-1"/>
        </w:rPr>
        <w:t> </w:t>
      </w:r>
      <w:r>
        <w:rPr>
          <w:rFonts w:ascii="宋体" w:hAnsi="宋体" w:cs="宋体" w:eastAsia="宋体" w:hint="default"/>
          <w:b/>
          <w:bCs/>
        </w:rPr>
        <w:t>不适用</w:t>
      </w:r>
      <w:r>
        <w:rPr>
          <w:rFonts w:ascii="宋体" w:hAnsi="宋体" w:cs="宋体" w:eastAsia="宋体" w:hint="default"/>
          <w:b/>
          <w:bCs/>
          <w:w w:val="99"/>
        </w:rPr>
        <w:t> </w:t>
      </w:r>
      <w:r>
        <w:rPr/>
        <w:t>公司报告期不存在按照境外会计准则与按照中国会计准则披露的财务报告中净利润和净资产差异情况。</w:t>
      </w:r>
    </w:p>
    <w:p>
      <w:pPr>
        <w:spacing w:line="240" w:lineRule="auto" w:before="3"/>
        <w:rPr>
          <w:rFonts w:ascii="宋体" w:hAnsi="宋体" w:cs="宋体" w:eastAsia="宋体" w:hint="default"/>
          <w:sz w:val="21"/>
          <w:szCs w:val="21"/>
        </w:rPr>
      </w:pPr>
    </w:p>
    <w:p>
      <w:pPr>
        <w:pStyle w:val="Heading2"/>
        <w:spacing w:line="240" w:lineRule="auto"/>
        <w:ind w:left="114" w:right="1276"/>
        <w:jc w:val="left"/>
        <w:rPr>
          <w:b w:val="0"/>
          <w:bCs w:val="0"/>
        </w:rPr>
      </w:pPr>
      <w:bookmarkStart w:name="八、非经常性损益项目及金额" w:id="14"/>
      <w:bookmarkEnd w:id="14"/>
      <w:r>
        <w:rPr>
          <w:b w:val="0"/>
          <w:bCs w:val="0"/>
        </w:rPr>
      </w:r>
      <w:r>
        <w:rPr/>
        <w:t>八、非经常性损益项目及金额</w:t>
      </w:r>
      <w:r>
        <w:rPr>
          <w:b w:val="0"/>
          <w:bCs w:val="0"/>
        </w:rPr>
      </w:r>
    </w:p>
    <w:p>
      <w:pPr>
        <w:spacing w:line="240" w:lineRule="auto" w:before="6"/>
        <w:rPr>
          <w:rFonts w:ascii="宋体" w:hAnsi="宋体" w:cs="宋体" w:eastAsia="宋体" w:hint="default"/>
          <w:b/>
          <w:bCs/>
          <w:sz w:val="32"/>
          <w:szCs w:val="32"/>
        </w:rPr>
      </w:pPr>
    </w:p>
    <w:p>
      <w:pPr>
        <w:spacing w:before="0"/>
        <w:ind w:left="114" w:right="1276"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5"/>
        <w:rPr>
          <w:rFonts w:ascii="宋体" w:hAnsi="宋体" w:cs="宋体" w:eastAsia="宋体" w:hint="default"/>
          <w:sz w:val="13"/>
          <w:szCs w:val="13"/>
        </w:rPr>
      </w:pPr>
    </w:p>
    <w:p>
      <w:pPr>
        <w:pStyle w:val="BodyText"/>
        <w:spacing w:line="240" w:lineRule="auto" w:before="44"/>
        <w:ind w:left="0" w:right="1130"/>
        <w:jc w:val="right"/>
      </w:pPr>
      <w:r>
        <w:rPr/>
        <w:t>单位：元</w:t>
      </w:r>
    </w:p>
    <w:p>
      <w:pPr>
        <w:spacing w:line="240" w:lineRule="auto" w:before="13"/>
        <w:rPr>
          <w:rFonts w:ascii="宋体" w:hAnsi="宋体" w:cs="宋体" w:eastAsia="宋体" w:hint="default"/>
          <w:sz w:val="10"/>
          <w:szCs w:val="10"/>
        </w:rPr>
      </w:pPr>
    </w:p>
    <w:tbl>
      <w:tblPr>
        <w:tblW w:w="0" w:type="auto"/>
        <w:jc w:val="left"/>
        <w:tblInd w:w="120" w:type="dxa"/>
        <w:tblLayout w:type="fixed"/>
        <w:tblCellMar>
          <w:top w:w="0" w:type="dxa"/>
          <w:left w:w="0" w:type="dxa"/>
          <w:bottom w:w="0" w:type="dxa"/>
          <w:right w:w="0" w:type="dxa"/>
        </w:tblCellMar>
        <w:tblLook w:val="01E0"/>
      </w:tblPr>
      <w:tblGrid>
        <w:gridCol w:w="3273"/>
        <w:gridCol w:w="1532"/>
        <w:gridCol w:w="1520"/>
        <w:gridCol w:w="1522"/>
        <w:gridCol w:w="1710"/>
      </w:tblGrid>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14"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0"/>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非流动资产处置损益（包括已计提资产减 值准备的冲销部分）</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2,392,058.91</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11,684,624.72</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-6,443,418.57</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0"/>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7,091,447.14</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6,702,013.42</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18,267,331.91</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0"/>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 值业务外，持有交易性金融资产、交易性 金融负债产生的公允价值变动损益，以及 处置交易性金融资产、交易性金融负债和 可供出售金融资产取得的投资收益</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3,721,325.18</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57,238,765.38</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684,379.57</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5,084,002.94</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12,898,514.07</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5,353,963.38</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532" w:type="dxa"/>
            <w:tcBorders>
              <w:top w:val="single" w:sz="4" w:space="0" w:color="000000"/>
              <w:left w:val="single" w:sz="13" w:space="0" w:color="D2D2D2"/>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165,154,448.10</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340,027.56</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22,096,300.10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1,712,227.03</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248,861.62</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1,454,243.45</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48,652.09</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17,699,944.99</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64,973,374.04</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181,255,825.27</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pStyle w:val="Heading5"/>
        <w:spacing w:line="240" w:lineRule="auto" w:before="88"/>
        <w:ind w:left="114" w:right="0"/>
        <w:jc w:val="left"/>
        <w:rPr>
          <w:b w:val="0"/>
          <w:bCs w:val="0"/>
        </w:rPr>
      </w:pPr>
      <w:r>
        <w:rPr/>
        <w:t>对公司根据《公开发行证券的公司信息披露解释性公告第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10"/>
        </w:rPr>
        <w:t> </w:t>
      </w:r>
      <w:r>
        <w:rPr/>
        <w:t>号</w:t>
      </w:r>
      <w:r>
        <w:rPr>
          <w:rFonts w:ascii="Times New Roman" w:hAnsi="Times New Roman" w:cs="Times New Roman" w:eastAsia="Times New Roman" w:hint="default"/>
        </w:rPr>
        <w:t>——</w:t>
      </w:r>
      <w:r>
        <w:rPr/>
        <w:t>非经常性损益》定义界定的非经常性损益项目，以及把</w:t>
      </w:r>
      <w:r>
        <w:rPr>
          <w:b w:val="0"/>
          <w:bCs w:val="0"/>
        </w:rPr>
      </w:r>
    </w:p>
    <w:p>
      <w:pPr>
        <w:spacing w:line="240" w:lineRule="auto" w:before="9"/>
        <w:rPr>
          <w:rFonts w:ascii="宋体" w:hAnsi="宋体" w:cs="宋体" w:eastAsia="宋体" w:hint="default"/>
          <w:b/>
          <w:bCs/>
          <w:sz w:val="16"/>
          <w:szCs w:val="16"/>
        </w:rPr>
      </w:pPr>
    </w:p>
    <w:p>
      <w:pPr>
        <w:pStyle w:val="Heading5"/>
        <w:spacing w:line="240" w:lineRule="auto"/>
        <w:ind w:left="114" w:right="0"/>
        <w:jc w:val="left"/>
        <w:rPr>
          <w:b w:val="0"/>
          <w:bCs w:val="0"/>
        </w:rPr>
      </w:pPr>
      <w:r>
        <w:rPr/>
        <w:t>《公开发行证券的公司信息披露解释性公告第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10"/>
        </w:rPr>
        <w:t> </w:t>
      </w:r>
      <w:r>
        <w:rPr/>
        <w:t>号</w:t>
      </w:r>
      <w:r>
        <w:rPr>
          <w:rFonts w:ascii="Times New Roman" w:hAnsi="Times New Roman" w:cs="Times New Roman" w:eastAsia="Times New Roman" w:hint="default"/>
        </w:rPr>
        <w:t>——</w:t>
      </w:r>
      <w:r>
        <w:rPr/>
        <w:t>非经常性损益》中列举的非经常性损益项目界定为经常性损益的项</w:t>
      </w:r>
      <w:r>
        <w:rPr>
          <w:b w:val="0"/>
          <w:bCs w:val="0"/>
        </w:rPr>
      </w:r>
    </w:p>
    <w:p>
      <w:pPr>
        <w:spacing w:after="0" w:line="240" w:lineRule="auto"/>
        <w:jc w:val="left"/>
        <w:sectPr>
          <w:pgSz w:w="11910" w:h="16840"/>
          <w:pgMar w:header="851" w:footer="1187" w:top="1400" w:bottom="1380" w:left="1020" w:right="0"/>
        </w:sectPr>
      </w:pPr>
    </w:p>
    <w:p>
      <w:pPr>
        <w:spacing w:line="240" w:lineRule="auto" w:before="7"/>
        <w:rPr>
          <w:rFonts w:ascii="宋体" w:hAnsi="宋体" w:cs="宋体" w:eastAsia="宋体" w:hint="default"/>
          <w:b/>
          <w:bCs/>
          <w:sz w:val="3"/>
          <w:szCs w:val="3"/>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5"/>
        <w:spacing w:line="240" w:lineRule="auto" w:before="83"/>
        <w:ind w:right="0"/>
        <w:jc w:val="left"/>
        <w:rPr>
          <w:b w:val="0"/>
          <w:bCs w:val="0"/>
        </w:rPr>
      </w:pPr>
      <w:r>
        <w:rPr/>
        <w:t>目，应说明原因</w:t>
      </w:r>
      <w:r>
        <w:rPr>
          <w:b w:val="0"/>
          <w:bCs w:val="0"/>
        </w:rPr>
      </w:r>
    </w:p>
    <w:p>
      <w:pPr>
        <w:spacing w:line="240" w:lineRule="auto" w:before="12"/>
        <w:rPr>
          <w:rFonts w:ascii="宋体" w:hAnsi="宋体" w:cs="宋体" w:eastAsia="宋体" w:hint="default"/>
          <w:b/>
          <w:bCs/>
          <w:sz w:val="14"/>
          <w:szCs w:val="14"/>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0"/>
        <w:rPr>
          <w:rFonts w:ascii="宋体" w:hAnsi="宋体" w:cs="宋体" w:eastAsia="宋体" w:hint="default"/>
          <w:b/>
          <w:bCs/>
          <w:sz w:val="13"/>
          <w:szCs w:val="13"/>
        </w:rPr>
      </w:pPr>
    </w:p>
    <w:p>
      <w:pPr>
        <w:pStyle w:val="BodyText"/>
        <w:spacing w:line="451" w:lineRule="auto"/>
        <w:ind w:right="1115"/>
        <w:jc w:val="left"/>
      </w:pPr>
      <w:r>
        <w:rPr/>
        <w:t>公司报告期不存在将根据《公开发行证券的公司信息披露解释性公告第</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9"/>
        </w:rPr>
        <w:t> </w:t>
      </w:r>
      <w:r>
        <w:rPr>
          <w:spacing w:val="-3"/>
        </w:rPr>
        <w:t>号</w:t>
      </w:r>
      <w:r>
        <w:rPr>
          <w:rFonts w:ascii="Times New Roman" w:hAnsi="Times New Roman" w:cs="Times New Roman" w:eastAsia="Times New Roman" w:hint="default"/>
          <w:spacing w:val="-3"/>
        </w:rPr>
        <w:t>——</w:t>
      </w:r>
      <w:r>
        <w:rPr>
          <w:spacing w:val="-3"/>
        </w:rPr>
        <w:t>非经常性损益》定义、列举的非经常性损益</w:t>
      </w:r>
      <w:r>
        <w:rPr/>
        <w:t> 项目界定为经常性损益的项目的情形。</w:t>
      </w:r>
    </w:p>
    <w:p>
      <w:pPr>
        <w:spacing w:after="0" w:line="451" w:lineRule="auto"/>
        <w:jc w:val="left"/>
        <w:sectPr>
          <w:pgSz w:w="11910" w:h="16840"/>
          <w:pgMar w:header="851" w:footer="1187" w:top="1400" w:bottom="138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pStyle w:val="Heading1"/>
        <w:spacing w:line="240" w:lineRule="auto"/>
        <w:ind w:left="3527" w:right="0"/>
        <w:jc w:val="left"/>
        <w:rPr>
          <w:b w:val="0"/>
          <w:bCs w:val="0"/>
        </w:rPr>
      </w:pPr>
      <w:bookmarkStart w:name="第三节公司业务概要" w:id="15"/>
      <w:bookmarkEnd w:id="15"/>
      <w:r>
        <w:rPr>
          <w:b w:val="0"/>
          <w:bCs w:val="0"/>
        </w:rPr>
      </w:r>
      <w:bookmarkStart w:name="_bookmark2" w:id="16"/>
      <w:bookmarkEnd w:id="16"/>
      <w:r>
        <w:rPr>
          <w:b w:val="0"/>
          <w:bCs w:val="0"/>
        </w:rPr>
      </w:r>
      <w:r>
        <w:rPr/>
        <w:t>第三节公司业务概要</w:t>
      </w:r>
      <w:r>
        <w:rPr>
          <w:b w:val="0"/>
          <w:bCs w:val="0"/>
        </w:rPr>
      </w:r>
    </w:p>
    <w:p>
      <w:pPr>
        <w:spacing w:line="240" w:lineRule="auto" w:before="10"/>
        <w:rPr>
          <w:rFonts w:ascii="宋体" w:hAnsi="宋体" w:cs="宋体" w:eastAsia="宋体" w:hint="default"/>
          <w:b/>
          <w:bCs/>
          <w:sz w:val="44"/>
          <w:szCs w:val="44"/>
        </w:rPr>
      </w:pPr>
    </w:p>
    <w:p>
      <w:pPr>
        <w:pStyle w:val="Heading2"/>
        <w:spacing w:line="240" w:lineRule="auto"/>
        <w:ind w:right="0"/>
        <w:jc w:val="left"/>
        <w:rPr>
          <w:b w:val="0"/>
          <w:bCs w:val="0"/>
        </w:rPr>
      </w:pPr>
      <w:bookmarkStart w:name="一、报告期内公司从事的主要业务" w:id="17"/>
      <w:bookmarkEnd w:id="17"/>
      <w:r>
        <w:rPr>
          <w:b w:val="0"/>
          <w:bCs w:val="0"/>
        </w:rPr>
      </w:r>
      <w:r>
        <w:rPr/>
        <w:t>一、报告期内公司从事的主要业务</w:t>
      </w:r>
      <w:r>
        <w:rPr>
          <w:b w:val="0"/>
          <w:bCs w:val="0"/>
        </w:rPr>
      </w:r>
    </w:p>
    <w:p>
      <w:pPr>
        <w:spacing w:line="477" w:lineRule="auto" w:before="202"/>
        <w:ind w:left="154" w:right="7680" w:firstLine="0"/>
        <w:jc w:val="left"/>
        <w:rPr>
          <w:rFonts w:ascii="宋体" w:hAnsi="宋体" w:cs="宋体" w:eastAsia="宋体" w:hint="default"/>
          <w:sz w:val="18"/>
          <w:szCs w:val="18"/>
        </w:rPr>
      </w:pPr>
      <w:r>
        <w:rPr>
          <w:rFonts w:ascii="宋体" w:hAnsi="宋体" w:cs="宋体" w:eastAsia="宋体" w:hint="default"/>
          <w:b/>
          <w:bCs/>
          <w:sz w:val="18"/>
          <w:szCs w:val="18"/>
        </w:rPr>
        <w:t>公司是否需要遵守特殊行业的披露要求</w:t>
      </w:r>
      <w:r>
        <w:rPr>
          <w:rFonts w:ascii="宋体" w:hAnsi="宋体" w:cs="宋体" w:eastAsia="宋体" w:hint="default"/>
          <w:b/>
          <w:bCs/>
          <w:w w:val="99"/>
          <w:sz w:val="18"/>
          <w:szCs w:val="18"/>
        </w:rPr>
        <w:t> </w:t>
      </w:r>
      <w:r>
        <w:rPr>
          <w:rFonts w:ascii="宋体" w:hAnsi="宋体" w:cs="宋体" w:eastAsia="宋体" w:hint="default"/>
          <w:b/>
          <w:bCs/>
          <w:sz w:val="18"/>
          <w:szCs w:val="18"/>
        </w:rPr>
        <w:t>是</w:t>
      </w:r>
      <w:r>
        <w:rPr>
          <w:rFonts w:ascii="宋体" w:hAnsi="宋体" w:cs="宋体" w:eastAsia="宋体" w:hint="default"/>
          <w:b/>
          <w:bCs/>
          <w:w w:val="99"/>
          <w:sz w:val="18"/>
          <w:szCs w:val="18"/>
        </w:rPr>
        <w:t> </w:t>
      </w:r>
      <w:r>
        <w:rPr>
          <w:rFonts w:ascii="宋体" w:hAnsi="宋体" w:cs="宋体" w:eastAsia="宋体" w:hint="default"/>
          <w:sz w:val="18"/>
          <w:szCs w:val="18"/>
        </w:rPr>
        <w:t>软件与信息技术服务业；互联网游戏业</w:t>
      </w:r>
    </w:p>
    <w:p>
      <w:pPr>
        <w:pStyle w:val="BodyText"/>
        <w:spacing w:line="240" w:lineRule="auto" w:before="54"/>
        <w:ind w:right="0"/>
        <w:jc w:val="left"/>
      </w:pPr>
      <w:r>
        <w:rPr/>
        <w:t>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上市公司从事软件与信息技术服务业务》的披露要求</w:t>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5"/>
          <w:szCs w:val="25"/>
        </w:rPr>
      </w:pPr>
    </w:p>
    <w:p>
      <w:pPr>
        <w:spacing w:before="0"/>
        <w:ind w:left="595" w:right="0" w:firstLine="0"/>
        <w:jc w:val="left"/>
        <w:rPr>
          <w:rFonts w:ascii="宋体" w:hAnsi="宋体" w:cs="宋体" w:eastAsia="宋体" w:hint="default"/>
          <w:sz w:val="23"/>
          <w:szCs w:val="23"/>
        </w:rPr>
      </w:pPr>
      <w:r>
        <w:rPr>
          <w:rFonts w:ascii="宋体" w:hAnsi="宋体" w:cs="宋体" w:eastAsia="宋体" w:hint="default"/>
          <w:b/>
          <w:bCs/>
          <w:i/>
          <w:sz w:val="23"/>
          <w:szCs w:val="23"/>
        </w:rPr>
        <w:t>（一）公司主要从事业务</w:t>
      </w:r>
      <w:r>
        <w:rPr>
          <w:rFonts w:ascii="宋体" w:hAnsi="宋体" w:cs="宋体" w:eastAsia="宋体" w:hint="default"/>
          <w:sz w:val="23"/>
          <w:szCs w:val="23"/>
        </w:rPr>
      </w:r>
    </w:p>
    <w:p>
      <w:pPr>
        <w:spacing w:line="240" w:lineRule="auto" w:before="3"/>
        <w:rPr>
          <w:rFonts w:ascii="宋体" w:hAnsi="宋体" w:cs="宋体" w:eastAsia="宋体" w:hint="default"/>
          <w:b/>
          <w:bCs/>
          <w:i/>
          <w:sz w:val="16"/>
          <w:szCs w:val="16"/>
        </w:rPr>
      </w:pPr>
    </w:p>
    <w:p>
      <w:pPr>
        <w:pStyle w:val="BodyText"/>
        <w:spacing w:line="463" w:lineRule="auto"/>
        <w:ind w:right="1130" w:firstLine="360"/>
        <w:jc w:val="both"/>
      </w:pPr>
      <w:r>
        <w:rPr>
          <w:spacing w:val="-2"/>
        </w:rPr>
        <w:t>公司多年来秉承专注专业的精神，坚持计算机软件、通信技术的自主研发与创新，始终以市场为导向，深耕细作、创新</w:t>
      </w:r>
      <w:r>
        <w:rPr/>
        <w:t> 拓展，致力于将人工智能</w:t>
      </w:r>
      <w:r>
        <w:rPr>
          <w:rFonts w:ascii="Times New Roman" w:hAnsi="Times New Roman" w:cs="Times New Roman" w:eastAsia="Times New Roman" w:hint="default"/>
        </w:rPr>
        <w:t>/</w:t>
      </w:r>
      <w:r>
        <w:rPr/>
        <w:t>大数据技术、物联网通讯技术、</w:t>
      </w:r>
      <w:r>
        <w:rPr>
          <w:rFonts w:ascii="Times New Roman" w:hAnsi="Times New Roman" w:cs="Times New Roman" w:eastAsia="Times New Roman" w:hint="default"/>
        </w:rPr>
        <w:t>ICT</w:t>
      </w:r>
      <w:r>
        <w:rPr>
          <w:rFonts w:ascii="Times New Roman" w:hAnsi="Times New Roman" w:cs="Times New Roman" w:eastAsia="Times New Roman" w:hint="default"/>
          <w:spacing w:val="21"/>
        </w:rPr>
        <w:t> </w:t>
      </w:r>
      <w:r>
        <w:rPr/>
        <w:t>技术进行融合，大力提升行业</w:t>
      </w:r>
      <w:r>
        <w:rPr>
          <w:rFonts w:ascii="Times New Roman" w:hAnsi="Times New Roman" w:cs="Times New Roman" w:eastAsia="Times New Roman" w:hint="default"/>
        </w:rPr>
        <w:t>/</w:t>
      </w:r>
      <w:r>
        <w:rPr/>
        <w:t>企业组织信息化、智能化的质 量与效率。</w:t>
      </w:r>
    </w:p>
    <w:p>
      <w:pPr>
        <w:pStyle w:val="Heading5"/>
        <w:spacing w:line="240" w:lineRule="auto" w:before="65"/>
        <w:ind w:left="515" w:right="0"/>
        <w:jc w:val="left"/>
        <w:rPr>
          <w:b w:val="0"/>
          <w:bCs w:val="0"/>
        </w:rPr>
      </w:pPr>
      <w:r>
        <w:rPr/>
        <w:t>目前公司核心业务模块为：物联网通信、人工智能</w:t>
      </w:r>
      <w:r>
        <w:rPr>
          <w:rFonts w:ascii="Times New Roman" w:hAnsi="Times New Roman" w:cs="Times New Roman" w:eastAsia="Times New Roman" w:hint="default"/>
        </w:rPr>
        <w:t>/</w:t>
      </w:r>
      <w:r>
        <w:rPr/>
        <w:t>大数据、</w:t>
      </w:r>
      <w:r>
        <w:rPr>
          <w:rFonts w:ascii="Times New Roman" w:hAnsi="Times New Roman" w:cs="Times New Roman" w:eastAsia="Times New Roman" w:hint="default"/>
        </w:rPr>
        <w:t>ICT</w:t>
      </w:r>
      <w:r>
        <w:rPr>
          <w:rFonts w:ascii="Times New Roman" w:hAnsi="Times New Roman" w:cs="Times New Roman" w:eastAsia="Times New Roman" w:hint="default"/>
          <w:spacing w:val="-7"/>
        </w:rPr>
        <w:t> </w:t>
      </w:r>
      <w:r>
        <w:rPr/>
        <w:t>运营管理、手机游戏。</w:t>
      </w:r>
      <w:r>
        <w:rPr>
          <w:b w:val="0"/>
          <w:bCs w:val="0"/>
        </w:rPr>
      </w:r>
    </w:p>
    <w:p>
      <w:pPr>
        <w:spacing w:line="240" w:lineRule="auto" w:before="3"/>
        <w:rPr>
          <w:rFonts w:ascii="宋体" w:hAnsi="宋体" w:cs="宋体" w:eastAsia="宋体" w:hint="default"/>
          <w:b/>
          <w:bCs/>
          <w:sz w:val="14"/>
          <w:szCs w:val="14"/>
        </w:rPr>
      </w:pPr>
    </w:p>
    <w:p>
      <w:pPr>
        <w:spacing w:line="5940" w:lineRule="exact"/>
        <w:ind w:left="154" w:right="0" w:firstLine="0"/>
        <w:rPr>
          <w:rFonts w:ascii="宋体" w:hAnsi="宋体" w:cs="宋体" w:eastAsia="宋体" w:hint="default"/>
          <w:sz w:val="20"/>
          <w:szCs w:val="20"/>
        </w:rPr>
      </w:pPr>
      <w:r>
        <w:rPr>
          <w:rFonts w:ascii="宋体" w:hAnsi="宋体" w:cs="宋体" w:eastAsia="宋体" w:hint="default"/>
          <w:position w:val="-118"/>
          <w:sz w:val="20"/>
          <w:szCs w:val="20"/>
        </w:rPr>
        <w:drawing>
          <wp:inline distT="0" distB="0" distL="0" distR="0">
            <wp:extent cx="6162220" cy="3771900"/>
            <wp:effectExtent l="0" t="0" r="0" b="0"/>
            <wp:docPr id="45" name="image36.jpeg" descr=""/>
            <wp:cNvGraphicFramePr>
              <a:graphicFrameLocks noChangeAspect="1"/>
            </wp:cNvGraphicFramePr>
            <a:graphic>
              <a:graphicData uri="http://schemas.openxmlformats.org/drawingml/2006/picture">
                <pic:pic>
                  <pic:nvPicPr>
                    <pic:cNvPr id="46" name="image36.jpeg"/>
                    <pic:cNvPicPr/>
                  </pic:nvPicPr>
                  <pic:blipFill>
                    <a:blip r:embed="rId43" cstate="print"/>
                    <a:stretch>
                      <a:fillRect/>
                    </a:stretch>
                  </pic:blipFill>
                  <pic:spPr>
                    <a:xfrm>
                      <a:off x="0" y="0"/>
                      <a:ext cx="6162220" cy="3771900"/>
                    </a:xfrm>
                    <a:prstGeom prst="rect">
                      <a:avLst/>
                    </a:prstGeom>
                  </pic:spPr>
                </pic:pic>
              </a:graphicData>
            </a:graphic>
          </wp:inline>
        </w:drawing>
      </w:r>
      <w:r>
        <w:rPr>
          <w:rFonts w:ascii="宋体" w:hAnsi="宋体" w:cs="宋体" w:eastAsia="宋体" w:hint="default"/>
          <w:position w:val="-118"/>
          <w:sz w:val="20"/>
          <w:szCs w:val="20"/>
        </w:rPr>
      </w:r>
    </w:p>
    <w:p>
      <w:pPr>
        <w:pStyle w:val="Heading4"/>
        <w:spacing w:line="240" w:lineRule="auto" w:before="90"/>
        <w:ind w:right="0"/>
        <w:jc w:val="left"/>
        <w:rPr>
          <w:b w:val="0"/>
          <w:bCs w:val="0"/>
          <w:i w:val="0"/>
        </w:rPr>
      </w:pPr>
      <w:bookmarkStart w:name="1、物联网/通信业务" w:id="18"/>
      <w:bookmarkEnd w:id="18"/>
      <w:r>
        <w:rPr>
          <w:b w:val="0"/>
          <w:bCs w:val="0"/>
          <w:i w:val="0"/>
        </w:rPr>
      </w:r>
      <w:r>
        <w:rPr>
          <w:rFonts w:ascii="Times New Roman" w:hAnsi="Times New Roman" w:cs="Times New Roman" w:eastAsia="Times New Roman" w:hint="default"/>
          <w:i/>
          <w:sz w:val="18"/>
          <w:szCs w:val="18"/>
        </w:rPr>
      </w:r>
      <w:r>
        <w:rPr>
          <w:rFonts w:ascii="Times New Roman" w:hAnsi="Times New Roman" w:cs="Times New Roman" w:eastAsia="Times New Roman" w:hint="default"/>
          <w:i/>
          <w:sz w:val="18"/>
          <w:szCs w:val="18"/>
          <w:u w:val="single" w:color="000000"/>
        </w:rPr>
        <w:t>1</w:t>
      </w:r>
      <w:r>
        <w:rPr>
          <w:u w:val="single" w:color="000000"/>
        </w:rPr>
        <w:t>、物联网</w:t>
      </w:r>
      <w:r>
        <w:rPr>
          <w:rFonts w:ascii="Times New Roman" w:hAnsi="Times New Roman" w:cs="Times New Roman" w:eastAsia="Times New Roman" w:hint="default"/>
          <w:i/>
          <w:sz w:val="18"/>
          <w:szCs w:val="18"/>
          <w:u w:val="single" w:color="000000"/>
        </w:rPr>
        <w:t>/</w:t>
      </w:r>
      <w:r>
        <w:rPr>
          <w:u w:val="single" w:color="000000"/>
        </w:rPr>
        <w:t>通信业务</w:t>
      </w:r>
      <w:r>
        <w:rPr/>
      </w:r>
      <w:r>
        <w:rPr>
          <w:b w:val="0"/>
          <w:bCs w:val="0"/>
          <w:i w:val="0"/>
        </w:rPr>
      </w:r>
    </w:p>
    <w:p>
      <w:pPr>
        <w:spacing w:line="240" w:lineRule="auto" w:before="4"/>
        <w:rPr>
          <w:rFonts w:ascii="宋体" w:hAnsi="宋体" w:cs="宋体" w:eastAsia="宋体" w:hint="default"/>
          <w:b/>
          <w:bCs/>
          <w:i/>
          <w:sz w:val="13"/>
          <w:szCs w:val="13"/>
        </w:rPr>
      </w:pPr>
    </w:p>
    <w:p>
      <w:pPr>
        <w:pStyle w:val="BodyText"/>
        <w:spacing w:line="451" w:lineRule="auto" w:before="44"/>
        <w:ind w:right="1121" w:firstLine="360"/>
        <w:jc w:val="left"/>
      </w:pPr>
      <w:r>
        <w:rPr>
          <w:spacing w:val="-1"/>
        </w:rPr>
        <w:t>物联网（</w:t>
      </w:r>
      <w:r>
        <w:rPr>
          <w:rFonts w:ascii="Times New Roman" w:hAnsi="Times New Roman" w:cs="Times New Roman" w:eastAsia="Times New Roman" w:hint="default"/>
          <w:spacing w:val="-1"/>
        </w:rPr>
        <w:t>Internet</w:t>
      </w:r>
      <w:r>
        <w:rPr>
          <w:rFonts w:ascii="Times New Roman" w:hAnsi="Times New Roman" w:cs="Times New Roman" w:eastAsia="Times New Roman" w:hint="default"/>
        </w:rPr>
        <w:t> of </w:t>
      </w:r>
      <w:r>
        <w:rPr>
          <w:rFonts w:ascii="Times New Roman" w:hAnsi="Times New Roman" w:cs="Times New Roman" w:eastAsia="Times New Roman" w:hint="default"/>
          <w:spacing w:val="-1"/>
        </w:rPr>
        <w:t>Things</w:t>
      </w:r>
      <w:r>
        <w:rPr>
          <w:spacing w:val="-1"/>
        </w:rPr>
        <w:t>，简称</w:t>
      </w:r>
      <w:r>
        <w:rPr>
          <w:spacing w:val="19"/>
        </w:rPr>
        <w:t> </w:t>
      </w:r>
      <w:r>
        <w:rPr>
          <w:rFonts w:ascii="Times New Roman" w:hAnsi="Times New Roman" w:cs="Times New Roman" w:eastAsia="Times New Roman" w:hint="default"/>
          <w:spacing w:val="-3"/>
        </w:rPr>
        <w:t>IoT</w:t>
      </w:r>
      <w:r>
        <w:rPr>
          <w:spacing w:val="-3"/>
        </w:rPr>
        <w:t>），是新一代信息科技的重要组成部分，是继计算机、互联网之后世界信息发展的</w:t>
      </w:r>
      <w:r>
        <w:rPr/>
        <w:t> 第三次浪潮，也可通俗理解为“物与物相连的互联网”。</w:t>
      </w:r>
    </w:p>
    <w:p>
      <w:pPr>
        <w:spacing w:after="0" w:line="451" w:lineRule="auto"/>
        <w:jc w:val="left"/>
        <w:sectPr>
          <w:pgSz w:w="11910" w:h="16840"/>
          <w:pgMar w:header="851" w:footer="1187" w:top="1400" w:bottom="1380" w:left="980" w:right="0"/>
        </w:sectPr>
      </w:pPr>
    </w:p>
    <w:p>
      <w:pPr>
        <w:spacing w:line="240" w:lineRule="auto" w:before="1"/>
        <w:rPr>
          <w:rFonts w:ascii="宋体" w:hAnsi="宋体" w:cs="宋体" w:eastAsia="宋体" w:hint="default"/>
          <w:sz w:val="8"/>
          <w:szCs w:val="8"/>
        </w:rPr>
      </w:pPr>
    </w:p>
    <w:p>
      <w:pPr>
        <w:spacing w:line="477" w:lineRule="auto" w:before="44"/>
        <w:ind w:left="534" w:right="1128" w:firstLine="360"/>
        <w:jc w:val="both"/>
        <w:rPr>
          <w:rFonts w:ascii="宋体" w:hAnsi="宋体" w:cs="宋体" w:eastAsia="宋体" w:hint="default"/>
          <w:sz w:val="18"/>
          <w:szCs w:val="18"/>
        </w:rPr>
      </w:pPr>
      <w:r>
        <w:rPr>
          <w:rFonts w:ascii="宋体" w:hAnsi="宋体" w:cs="宋体" w:eastAsia="宋体" w:hint="default"/>
          <w:sz w:val="18"/>
          <w:szCs w:val="18"/>
        </w:rPr>
        <w:t>物联网的技术架构分为感知层、传输层、平台层和应用层。</w:t>
      </w:r>
      <w:r>
        <w:rPr>
          <w:rFonts w:ascii="宋体" w:hAnsi="宋体" w:cs="宋体" w:eastAsia="宋体" w:hint="default"/>
          <w:b/>
          <w:bCs/>
          <w:sz w:val="18"/>
          <w:szCs w:val="18"/>
        </w:rPr>
        <w:t>公司在物联网领域重点专注于感知层、传输层的技术研究</w:t>
      </w:r>
      <w:r>
        <w:rPr>
          <w:rFonts w:ascii="宋体" w:hAnsi="宋体" w:cs="宋体" w:eastAsia="宋体" w:hint="default"/>
          <w:b/>
          <w:bCs/>
          <w:spacing w:val="2"/>
          <w:w w:val="99"/>
          <w:sz w:val="18"/>
          <w:szCs w:val="18"/>
        </w:rPr>
        <w:t> </w:t>
      </w:r>
      <w:r>
        <w:rPr>
          <w:rFonts w:ascii="宋体" w:hAnsi="宋体" w:cs="宋体" w:eastAsia="宋体" w:hint="default"/>
          <w:b/>
          <w:bCs/>
          <w:sz w:val="18"/>
          <w:szCs w:val="18"/>
        </w:rPr>
        <w:t>和应用</w:t>
      </w:r>
      <w:r>
        <w:rPr>
          <w:rFonts w:ascii="宋体" w:hAnsi="宋体" w:cs="宋体" w:eastAsia="宋体" w:hint="default"/>
          <w:sz w:val="18"/>
          <w:szCs w:val="18"/>
        </w:rPr>
        <w:t>，形成了以“智慧线”为核心的满足工业环境等特殊要求的</w:t>
      </w:r>
      <w:r>
        <w:rPr>
          <w:rFonts w:ascii="宋体" w:hAnsi="宋体" w:cs="宋体" w:eastAsia="宋体" w:hint="default"/>
          <w:b/>
          <w:bCs/>
          <w:sz w:val="18"/>
          <w:szCs w:val="18"/>
        </w:rPr>
        <w:t>“无线通信、定位、安防、传输、感知及网络监控、安</w:t>
      </w:r>
      <w:r>
        <w:rPr>
          <w:rFonts w:ascii="宋体" w:hAnsi="宋体" w:cs="宋体" w:eastAsia="宋体" w:hint="default"/>
          <w:b/>
          <w:bCs/>
          <w:spacing w:val="-23"/>
          <w:sz w:val="18"/>
          <w:szCs w:val="18"/>
        </w:rPr>
        <w:t> </w:t>
      </w:r>
      <w:r>
        <w:rPr>
          <w:rFonts w:ascii="宋体" w:hAnsi="宋体" w:cs="宋体" w:eastAsia="宋体" w:hint="default"/>
          <w:b/>
          <w:bCs/>
          <w:spacing w:val="-23"/>
          <w:sz w:val="18"/>
          <w:szCs w:val="18"/>
        </w:rPr>
      </w:r>
      <w:r>
        <w:rPr>
          <w:rFonts w:ascii="宋体" w:hAnsi="宋体" w:cs="宋体" w:eastAsia="宋体" w:hint="default"/>
          <w:b/>
          <w:bCs/>
          <w:sz w:val="18"/>
          <w:szCs w:val="18"/>
        </w:rPr>
        <w:t>全保障和大数据接入能力”</w:t>
      </w:r>
      <w:r>
        <w:rPr>
          <w:rFonts w:ascii="宋体" w:hAnsi="宋体" w:cs="宋体" w:eastAsia="宋体" w:hint="default"/>
          <w:sz w:val="18"/>
          <w:szCs w:val="18"/>
        </w:rPr>
        <w:t>的物联网通讯技术体系，已构建三大产品系列：</w:t>
      </w:r>
      <w:r>
        <w:rPr>
          <w:rFonts w:ascii="宋体" w:hAnsi="宋体" w:cs="宋体" w:eastAsia="宋体" w:hint="default"/>
          <w:b/>
          <w:bCs/>
          <w:sz w:val="18"/>
          <w:szCs w:val="18"/>
        </w:rPr>
        <w:t>核通讯系列产品、周界安防系列产品、地下空</w:t>
      </w:r>
      <w:r>
        <w:rPr>
          <w:rFonts w:ascii="宋体" w:hAnsi="宋体" w:cs="宋体" w:eastAsia="宋体" w:hint="default"/>
          <w:b/>
          <w:bCs/>
          <w:spacing w:val="-24"/>
          <w:sz w:val="18"/>
          <w:szCs w:val="18"/>
        </w:rPr>
        <w:t> </w:t>
      </w:r>
      <w:r>
        <w:rPr>
          <w:rFonts w:ascii="宋体" w:hAnsi="宋体" w:cs="宋体" w:eastAsia="宋体" w:hint="default"/>
          <w:b/>
          <w:bCs/>
          <w:spacing w:val="-24"/>
          <w:sz w:val="18"/>
          <w:szCs w:val="18"/>
        </w:rPr>
      </w:r>
      <w:r>
        <w:rPr>
          <w:rFonts w:ascii="宋体" w:hAnsi="宋体" w:cs="宋体" w:eastAsia="宋体" w:hint="default"/>
          <w:b/>
          <w:bCs/>
          <w:spacing w:val="-2"/>
          <w:sz w:val="18"/>
          <w:szCs w:val="18"/>
        </w:rPr>
        <w:t>间物联网与通讯接入系列产品</w:t>
      </w:r>
      <w:r>
        <w:rPr>
          <w:rFonts w:ascii="宋体" w:hAnsi="宋体" w:cs="宋体" w:eastAsia="宋体" w:hint="default"/>
          <w:spacing w:val="-2"/>
          <w:sz w:val="18"/>
          <w:szCs w:val="18"/>
        </w:rPr>
        <w:t>，可广泛应用于核岛核电、智慧城市、机场、高铁、军工、石油炼化等重点行业、特殊场景。</w:t>
      </w:r>
    </w:p>
    <w:p>
      <w:pPr>
        <w:spacing w:line="240" w:lineRule="auto" w:before="0"/>
        <w:rPr>
          <w:rFonts w:ascii="宋体" w:hAnsi="宋体" w:cs="宋体" w:eastAsia="宋体" w:hint="default"/>
          <w:sz w:val="18"/>
          <w:szCs w:val="18"/>
        </w:rPr>
      </w:pPr>
    </w:p>
    <w:p>
      <w:pPr>
        <w:spacing w:line="240" w:lineRule="auto" w:before="13"/>
        <w:rPr>
          <w:rFonts w:ascii="宋体" w:hAnsi="宋体" w:cs="宋体" w:eastAsia="宋体" w:hint="default"/>
          <w:sz w:val="16"/>
          <w:szCs w:val="16"/>
        </w:rPr>
      </w:pPr>
    </w:p>
    <w:p>
      <w:pPr>
        <w:pStyle w:val="Heading5"/>
        <w:spacing w:line="240" w:lineRule="auto"/>
        <w:ind w:left="114" w:right="1032"/>
        <w:jc w:val="left"/>
        <w:rPr>
          <w:b w:val="0"/>
          <w:bCs w:val="0"/>
        </w:rPr>
      </w:pPr>
      <w:r>
        <w:rPr>
          <w:rFonts w:ascii="Wingdings" w:hAnsi="Wingdings" w:cs="Wingdings" w:eastAsia="Wingdings" w:hint="default"/>
          <w:b w:val="0"/>
          <w:bCs w:val="0"/>
          <w:color w:val="767070"/>
          <w:sz w:val="24"/>
          <w:szCs w:val="24"/>
        </w:rPr>
        <w:t></w:t>
      </w:r>
      <w:r>
        <w:rPr>
          <w:rFonts w:ascii="Wingdings" w:hAnsi="Wingdings" w:cs="Wingdings" w:eastAsia="Wingdings" w:hint="default"/>
          <w:b w:val="0"/>
          <w:bCs w:val="0"/>
          <w:color w:val="767070"/>
          <w:spacing w:val="-49"/>
          <w:sz w:val="24"/>
          <w:szCs w:val="24"/>
        </w:rPr>
        <w:t></w:t>
      </w:r>
      <w:r>
        <w:rPr>
          <w:rFonts w:ascii="Times New Roman" w:hAnsi="Times New Roman" w:cs="Times New Roman" w:eastAsia="Times New Roman" w:hint="default"/>
          <w:b w:val="0"/>
          <w:bCs w:val="0"/>
          <w:color w:val="767070"/>
          <w:spacing w:val="-49"/>
          <w:sz w:val="24"/>
          <w:szCs w:val="24"/>
        </w:rPr>
      </w:r>
      <w:r>
        <w:rPr>
          <w:rFonts w:ascii="Times New Roman" w:hAnsi="Times New Roman" w:cs="Times New Roman" w:eastAsia="Times New Roman" w:hint="default"/>
        </w:rPr>
        <w:t>1.1</w:t>
      </w:r>
      <w:r>
        <w:rPr>
          <w:rFonts w:ascii="Times New Roman" w:hAnsi="Times New Roman" w:cs="Times New Roman" w:eastAsia="Times New Roman" w:hint="default"/>
          <w:spacing w:val="-1"/>
        </w:rPr>
        <w:t> </w:t>
      </w:r>
      <w:r>
        <w:rPr/>
        <w:t>核心的竞争优势</w:t>
      </w:r>
      <w:r>
        <w:rPr>
          <w:b w:val="0"/>
          <w:bCs w:val="0"/>
        </w:rPr>
      </w:r>
    </w:p>
    <w:p>
      <w:pPr>
        <w:pStyle w:val="BodyText"/>
        <w:spacing w:line="477" w:lineRule="auto" w:before="190"/>
        <w:ind w:left="534" w:right="1041" w:firstLine="360"/>
        <w:jc w:val="both"/>
      </w:pPr>
      <w:r>
        <w:rPr/>
        <w:t>“智慧线”是基于安全生产物联网与信息交互系统标准体系设计的物联网融合通信设备，将射频单元、基带处理单元、 天馈系统以及传输线、电源线等全部汇集到一条线缆内，实现无线信号的均匀覆盖，支持终端分布式接入，具备语音通信、</w:t>
      </w:r>
      <w:r>
        <w:rPr>
          <w:spacing w:val="-85"/>
        </w:rPr>
        <w:t> </w:t>
      </w:r>
      <w:r>
        <w:rPr>
          <w:spacing w:val="-85"/>
        </w:rPr>
      </w:r>
      <w:r>
        <w:rPr/>
        <w:t>无线终端接入、定位数据采集、入侵传感探测等功能，有着覆盖均匀、易安装、辐射低、维护简便的优点。</w:t>
      </w:r>
    </w:p>
    <w:p>
      <w:pPr>
        <w:pStyle w:val="BodyText"/>
        <w:spacing w:line="451" w:lineRule="auto" w:before="54"/>
        <w:ind w:left="894" w:right="1032" w:firstLine="1"/>
        <w:jc w:val="left"/>
      </w:pPr>
      <w:r>
        <w:rPr>
          <w:rFonts w:ascii="Times New Roman" w:hAnsi="Times New Roman" w:cs="Times New Roman" w:eastAsia="Times New Roman" w:hint="default"/>
          <w:b/>
          <w:bCs/>
        </w:rPr>
        <w:t>A</w:t>
      </w:r>
      <w:r>
        <w:rPr>
          <w:rFonts w:ascii="宋体" w:hAnsi="宋体" w:cs="宋体" w:eastAsia="宋体" w:hint="default"/>
          <w:b/>
          <w:bCs/>
        </w:rPr>
        <w:t>、自主可控、技术领先</w:t>
      </w:r>
      <w:r>
        <w:rPr>
          <w:rFonts w:ascii="宋体" w:hAnsi="宋体" w:cs="宋体" w:eastAsia="宋体" w:hint="default"/>
          <w:b/>
          <w:bCs/>
          <w:w w:val="99"/>
        </w:rPr>
        <w:t> </w:t>
      </w:r>
      <w:r>
        <w:rPr/>
        <w:t>智慧线从底层协议栈、操作系统、基础材料、关键器件、平台、算法等都是自主研发，目前公司在该领域已申请专利</w:t>
      </w:r>
    </w:p>
    <w:p>
      <w:pPr>
        <w:pStyle w:val="BodyText"/>
        <w:spacing w:line="451" w:lineRule="auto" w:before="74"/>
        <w:ind w:left="894" w:right="1032" w:hanging="360"/>
        <w:jc w:val="left"/>
      </w:pPr>
      <w:r>
        <w:rPr>
          <w:rFonts w:ascii="Times New Roman" w:hAnsi="Times New Roman" w:cs="Times New Roman" w:eastAsia="Times New Roman" w:hint="default"/>
        </w:rPr>
        <w:t>130</w:t>
      </w:r>
      <w:r>
        <w:rPr>
          <w:rFonts w:ascii="Times New Roman" w:hAnsi="Times New Roman" w:cs="Times New Roman" w:eastAsia="Times New Roman" w:hint="default"/>
          <w:spacing w:val="-1"/>
        </w:rPr>
        <w:t> </w:t>
      </w:r>
      <w:r>
        <w:rPr/>
        <w:t>余项，其中</w:t>
      </w:r>
      <w:r>
        <w:rPr>
          <w:spacing w:val="-46"/>
        </w:rPr>
        <w:t> </w:t>
      </w:r>
      <w:r>
        <w:rPr>
          <w:rFonts w:ascii="Times New Roman" w:hAnsi="Times New Roman" w:cs="Times New Roman" w:eastAsia="Times New Roman" w:hint="default"/>
        </w:rPr>
        <w:t>PCT</w:t>
      </w:r>
      <w:r>
        <w:rPr>
          <w:rFonts w:ascii="Times New Roman" w:hAnsi="Times New Roman" w:cs="Times New Roman" w:eastAsia="Times New Roman" w:hint="default"/>
          <w:spacing w:val="-1"/>
        </w:rPr>
        <w:t> </w:t>
      </w:r>
      <w:r>
        <w:rPr/>
        <w:t>国际专利</w:t>
      </w:r>
      <w:r>
        <w:rPr>
          <w:spacing w:val="-46"/>
        </w:rPr>
        <w:t> </w:t>
      </w:r>
      <w:r>
        <w:rPr>
          <w:rFonts w:ascii="Times New Roman" w:hAnsi="Times New Roman" w:cs="Times New Roman" w:eastAsia="Times New Roman" w:hint="default"/>
        </w:rPr>
        <w:t>14</w:t>
      </w:r>
      <w:r>
        <w:rPr>
          <w:rFonts w:ascii="Times New Roman" w:hAnsi="Times New Roman" w:cs="Times New Roman" w:eastAsia="Times New Roman" w:hint="default"/>
          <w:spacing w:val="-1"/>
        </w:rPr>
        <w:t> </w:t>
      </w:r>
      <w:r>
        <w:rPr/>
        <w:t>项。 </w:t>
      </w:r>
      <w:r>
        <w:rPr>
          <w:spacing w:val="-2"/>
        </w:rPr>
        <w:t>公司主导提出了智慧矿山物联网相关系列标准，被国家安监总局、中国电子学会接纳并部分正式发布，为我国未来矿山</w:t>
      </w:r>
    </w:p>
    <w:p>
      <w:pPr>
        <w:pStyle w:val="BodyText"/>
        <w:spacing w:line="477" w:lineRule="auto" w:before="74"/>
        <w:ind w:left="534" w:right="1132"/>
        <w:jc w:val="both"/>
      </w:pPr>
      <w:r>
        <w:rPr>
          <w:spacing w:val="-2"/>
        </w:rPr>
        <w:t>物联网产业的发展奠定关键基础；参与编写的《城市地下综合管廊运行维护及安全技术标准》正式获得住房和城乡建设部批</w:t>
      </w:r>
      <w:r>
        <w:rPr>
          <w:spacing w:val="-66"/>
        </w:rPr>
        <w:t> </w:t>
      </w:r>
      <w:r>
        <w:rPr>
          <w:spacing w:val="-66"/>
        </w:rPr>
      </w:r>
      <w:r>
        <w:rPr/>
        <w:t>准并发布公告，标准编号</w:t>
      </w:r>
      <w:r>
        <w:rPr>
          <w:spacing w:val="-46"/>
        </w:rPr>
        <w:t> </w:t>
      </w:r>
      <w:r>
        <w:rPr>
          <w:rFonts w:ascii="Times New Roman" w:hAnsi="Times New Roman" w:cs="Times New Roman" w:eastAsia="Times New Roman" w:hint="default"/>
        </w:rPr>
        <w:t>GB51354-2019</w:t>
      </w:r>
      <w:r>
        <w:rPr/>
        <w:t>，自</w:t>
      </w:r>
      <w:r>
        <w:rPr>
          <w:spacing w:val="-4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日起实施。</w:t>
      </w:r>
    </w:p>
    <w:p>
      <w:pPr>
        <w:spacing w:line="451" w:lineRule="auto" w:before="22"/>
        <w:ind w:left="894" w:right="1032"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B</w:t>
      </w:r>
      <w:r>
        <w:rPr>
          <w:rFonts w:ascii="宋体" w:hAnsi="宋体" w:cs="宋体" w:eastAsia="宋体" w:hint="default"/>
          <w:b/>
          <w:bCs/>
          <w:sz w:val="18"/>
          <w:szCs w:val="18"/>
        </w:rPr>
        <w:t>、极低的干扰等级和超强的抗干扰能力</w:t>
      </w:r>
      <w:r>
        <w:rPr>
          <w:rFonts w:ascii="宋体" w:hAnsi="宋体" w:cs="宋体" w:eastAsia="宋体" w:hint="default"/>
          <w:b/>
          <w:bCs/>
          <w:w w:val="99"/>
          <w:sz w:val="18"/>
          <w:szCs w:val="18"/>
        </w:rPr>
        <w:t> </w:t>
      </w:r>
      <w:r>
        <w:rPr>
          <w:rFonts w:ascii="宋体" w:hAnsi="宋体" w:cs="宋体" w:eastAsia="宋体" w:hint="default"/>
          <w:spacing w:val="-2"/>
          <w:sz w:val="18"/>
          <w:szCs w:val="18"/>
        </w:rPr>
        <w:t>无线通信（语音、数据、定位）已是通用技术，但在具有复杂电磁环境和超高物理安全要求的核岛场景下的应用却仍难</w:t>
      </w:r>
    </w:p>
    <w:p>
      <w:pPr>
        <w:pStyle w:val="BodyText"/>
        <w:spacing w:line="477" w:lineRule="auto" w:before="74"/>
        <w:ind w:left="894" w:right="1032" w:hanging="360"/>
        <w:jc w:val="left"/>
      </w:pPr>
      <w:r>
        <w:rPr/>
        <w:t>以超越，目前全球核行业的无线通讯领域都还是技术空白。 公司核电通讯技术，凭借其强大的功率控制、单向</w:t>
      </w:r>
      <w:r>
        <w:rPr>
          <w:rFonts w:ascii="Times New Roman" w:hAnsi="Times New Roman" w:cs="Times New Roman" w:eastAsia="Times New Roman" w:hint="default"/>
        </w:rPr>
        <w:t>/</w:t>
      </w:r>
      <w:r>
        <w:rPr/>
        <w:t>双向通信模式切换、物联网与宽带双覆盖以及无线接入的安全管控</w:t>
      </w:r>
    </w:p>
    <w:p>
      <w:pPr>
        <w:spacing w:line="463" w:lineRule="auto" w:before="21"/>
        <w:ind w:left="534" w:right="1130" w:firstLine="0"/>
        <w:jc w:val="both"/>
        <w:rPr>
          <w:rFonts w:ascii="宋体" w:hAnsi="宋体" w:cs="宋体" w:eastAsia="宋体" w:hint="default"/>
          <w:sz w:val="18"/>
          <w:szCs w:val="18"/>
        </w:rPr>
      </w:pPr>
      <w:r>
        <w:rPr>
          <w:rFonts w:ascii="宋体" w:hAnsi="宋体" w:cs="宋体" w:eastAsia="宋体" w:hint="default"/>
          <w:spacing w:val="-2"/>
          <w:sz w:val="18"/>
          <w:szCs w:val="18"/>
        </w:rPr>
        <w:t>等创新，有效解决了复杂电磁干扰问题，极大提升了核岛运维效率和通信安全问题，根据相关调研与评测，</w:t>
      </w:r>
      <w:r>
        <w:rPr>
          <w:rFonts w:ascii="Times New Roman" w:hAnsi="Times New Roman" w:cs="Times New Roman" w:eastAsia="Times New Roman" w:hint="default"/>
          <w:b/>
          <w:bCs/>
          <w:spacing w:val="-2"/>
          <w:sz w:val="18"/>
          <w:szCs w:val="18"/>
        </w:rPr>
        <w:t>Nu-WiFi</w:t>
      </w:r>
      <w:r>
        <w:rPr>
          <w:rFonts w:ascii="Times New Roman" w:hAnsi="Times New Roman" w:cs="Times New Roman" w:eastAsia="Times New Roman" w:hint="default"/>
          <w:b/>
          <w:bCs/>
          <w:spacing w:val="11"/>
          <w:sz w:val="18"/>
          <w:szCs w:val="18"/>
        </w:rPr>
        <w:t> </w:t>
      </w:r>
      <w:r>
        <w:rPr>
          <w:rFonts w:ascii="宋体" w:hAnsi="宋体" w:cs="宋体" w:eastAsia="宋体" w:hint="default"/>
          <w:b/>
          <w:bCs/>
          <w:spacing w:val="1"/>
          <w:sz w:val="18"/>
          <w:szCs w:val="18"/>
        </w:rPr>
        <w:t>核专业</w:t>
      </w:r>
      <w:r>
        <w:rPr>
          <w:rFonts w:ascii="宋体" w:hAnsi="宋体" w:cs="宋体" w:eastAsia="宋体" w:hint="default"/>
          <w:b/>
          <w:bCs/>
          <w:spacing w:val="-89"/>
          <w:sz w:val="18"/>
          <w:szCs w:val="18"/>
        </w:rPr>
        <w:t> </w:t>
      </w:r>
      <w:r>
        <w:rPr>
          <w:rFonts w:ascii="宋体" w:hAnsi="宋体" w:cs="宋体" w:eastAsia="宋体" w:hint="default"/>
          <w:b/>
          <w:bCs/>
          <w:sz w:val="18"/>
          <w:szCs w:val="18"/>
        </w:rPr>
        <w:t>无线通信系统可完全满足核电站高电磁安全、高信息安全、高辐照要求，又可满足未来智慧核电发展建设需求的无线通信</w:t>
      </w:r>
      <w:r>
        <w:rPr>
          <w:rFonts w:ascii="宋体" w:hAnsi="宋体" w:cs="宋体" w:eastAsia="宋体" w:hint="default"/>
          <w:b/>
          <w:bCs/>
          <w:spacing w:val="-48"/>
          <w:sz w:val="18"/>
          <w:szCs w:val="18"/>
        </w:rPr>
        <w:t> </w:t>
      </w:r>
      <w:r>
        <w:rPr>
          <w:rFonts w:ascii="宋体" w:hAnsi="宋体" w:cs="宋体" w:eastAsia="宋体" w:hint="default"/>
          <w:b/>
          <w:bCs/>
          <w:spacing w:val="-48"/>
          <w:sz w:val="18"/>
          <w:szCs w:val="18"/>
        </w:rPr>
      </w:r>
      <w:r>
        <w:rPr>
          <w:rFonts w:ascii="宋体" w:hAnsi="宋体" w:cs="宋体" w:eastAsia="宋体" w:hint="default"/>
          <w:b/>
          <w:bCs/>
          <w:sz w:val="18"/>
          <w:szCs w:val="18"/>
        </w:rPr>
        <w:t>系统。</w:t>
      </w:r>
      <w:r>
        <w:rPr>
          <w:rFonts w:ascii="宋体" w:hAnsi="宋体" w:cs="宋体" w:eastAsia="宋体" w:hint="default"/>
          <w:sz w:val="18"/>
          <w:szCs w:val="18"/>
        </w:rPr>
      </w:r>
    </w:p>
    <w:p>
      <w:pPr>
        <w:pStyle w:val="Heading5"/>
        <w:spacing w:line="240" w:lineRule="auto" w:before="65"/>
        <w:ind w:left="895" w:right="1032"/>
        <w:jc w:val="left"/>
        <w:rPr>
          <w:b w:val="0"/>
          <w:bCs w:val="0"/>
        </w:rPr>
      </w:pPr>
      <w:r>
        <w:rPr>
          <w:rFonts w:ascii="Times New Roman" w:hAnsi="Times New Roman" w:cs="Times New Roman" w:eastAsia="Times New Roman" w:hint="default"/>
        </w:rPr>
        <w:t>C</w:t>
      </w:r>
      <w:r>
        <w:rPr/>
        <w:t>、高质量的移动语音通信系统和高精度的定位能力</w:t>
      </w:r>
      <w:r>
        <w:rPr>
          <w:b w:val="0"/>
          <w:bCs w:val="0"/>
        </w:rPr>
      </w:r>
    </w:p>
    <w:p>
      <w:pPr>
        <w:spacing w:line="240" w:lineRule="auto" w:before="9"/>
        <w:rPr>
          <w:rFonts w:ascii="宋体" w:hAnsi="宋体" w:cs="宋体" w:eastAsia="宋体" w:hint="default"/>
          <w:b/>
          <w:bCs/>
          <w:sz w:val="16"/>
          <w:szCs w:val="16"/>
        </w:rPr>
      </w:pPr>
    </w:p>
    <w:p>
      <w:pPr>
        <w:pStyle w:val="BodyText"/>
        <w:spacing w:line="463" w:lineRule="auto"/>
        <w:ind w:left="534" w:right="1131" w:firstLine="360"/>
        <w:jc w:val="both"/>
      </w:pPr>
      <w:r>
        <w:rPr/>
        <w:t>“智慧线”专有的移动性管理策略显著优于目前的</w:t>
      </w:r>
      <w:r>
        <w:rPr>
          <w:spacing w:val="-61"/>
        </w:rPr>
        <w:t> </w:t>
      </w:r>
      <w:r>
        <w:rPr>
          <w:rFonts w:ascii="Times New Roman" w:hAnsi="Times New Roman" w:cs="Times New Roman" w:eastAsia="Times New Roman" w:hint="default"/>
        </w:rPr>
        <w:t>2G/3G/4G</w:t>
      </w:r>
      <w:r>
        <w:rPr>
          <w:rFonts w:ascii="Times New Roman" w:hAnsi="Times New Roman" w:cs="Times New Roman" w:eastAsia="Times New Roman" w:hint="default"/>
          <w:spacing w:val="-16"/>
        </w:rPr>
        <w:t> </w:t>
      </w:r>
      <w:r>
        <w:rPr/>
        <w:t>硬切换或软切换技术，独创的全系统同步接收、多芯片并 </w:t>
      </w:r>
      <w:r>
        <w:rPr>
          <w:spacing w:val="-2"/>
        </w:rPr>
        <w:t>行服务技术，确保用户不论静止还是移动都不存在任何切换过程，语音通信质量极高，且内嵌入了大量无线接入芯片，实时</w:t>
      </w:r>
      <w:r>
        <w:rPr>
          <w:spacing w:val="-66"/>
        </w:rPr>
        <w:t> </w:t>
      </w:r>
      <w:r>
        <w:rPr>
          <w:spacing w:val="-66"/>
        </w:rPr>
      </w:r>
      <w:r>
        <w:rPr/>
        <w:t>定位精度可达</w:t>
      </w:r>
      <w:r>
        <w:rPr>
          <w:spacing w:val="-46"/>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米以内。</w:t>
      </w:r>
    </w:p>
    <w:p>
      <w:pPr>
        <w:pStyle w:val="Heading5"/>
        <w:spacing w:line="240" w:lineRule="auto" w:before="33"/>
        <w:ind w:left="895" w:right="1032"/>
        <w:jc w:val="left"/>
        <w:rPr>
          <w:b w:val="0"/>
          <w:bCs w:val="0"/>
        </w:rPr>
      </w:pPr>
      <w:r>
        <w:rPr>
          <w:rFonts w:ascii="Times New Roman" w:hAnsi="Times New Roman" w:cs="Times New Roman" w:eastAsia="Times New Roman" w:hint="default"/>
        </w:rPr>
        <w:t>D</w:t>
      </w:r>
      <w:r>
        <w:rPr/>
        <w:t>、可支持大容量物联网终端的接入</w:t>
      </w:r>
      <w:r>
        <w:rPr>
          <w:b w:val="0"/>
          <w:bCs w:val="0"/>
        </w:rPr>
      </w:r>
    </w:p>
    <w:p>
      <w:pPr>
        <w:spacing w:line="240" w:lineRule="auto" w:before="10"/>
        <w:rPr>
          <w:rFonts w:ascii="宋体" w:hAnsi="宋体" w:cs="宋体" w:eastAsia="宋体" w:hint="default"/>
          <w:b/>
          <w:bCs/>
          <w:sz w:val="16"/>
          <w:szCs w:val="16"/>
        </w:rPr>
      </w:pPr>
    </w:p>
    <w:p>
      <w:pPr>
        <w:pStyle w:val="BodyText"/>
        <w:spacing w:line="240" w:lineRule="auto"/>
        <w:ind w:left="894" w:right="1032"/>
        <w:jc w:val="left"/>
        <w:rPr>
          <w:rFonts w:ascii="Times New Roman" w:hAnsi="Times New Roman" w:cs="Times New Roman" w:eastAsia="Times New Roman" w:hint="default"/>
        </w:rPr>
      </w:pPr>
      <w:r>
        <w:rPr/>
        <w:t>每千米的“智慧线”支持高达 </w:t>
      </w:r>
      <w:r>
        <w:rPr>
          <w:rFonts w:ascii="Times New Roman" w:hAnsi="Times New Roman" w:cs="Times New Roman" w:eastAsia="Times New Roman" w:hint="default"/>
        </w:rPr>
        <w:t>4,000  </w:t>
      </w:r>
      <w:r>
        <w:rPr/>
        <w:t>个终端的接入，所有终端均可采用低功耗模式设计，从休眠至唤醒切换时间为</w:t>
      </w:r>
      <w:r>
        <w:rPr>
          <w:spacing w:val="-18"/>
        </w:rPr>
        <w:t> </w:t>
      </w:r>
      <w:r>
        <w:rPr>
          <w:rFonts w:ascii="Times New Roman" w:hAnsi="Times New Roman" w:cs="Times New Roman" w:eastAsia="Times New Roman" w:hint="default"/>
        </w:rPr>
        <w:t>us</w:t>
      </w:r>
    </w:p>
    <w:p>
      <w:pPr>
        <w:spacing w:line="240" w:lineRule="auto" w:before="0"/>
        <w:rPr>
          <w:rFonts w:ascii="Times New Roman" w:hAnsi="Times New Roman" w:cs="Times New Roman" w:eastAsia="Times New Roman" w:hint="default"/>
          <w:sz w:val="19"/>
          <w:szCs w:val="19"/>
        </w:rPr>
      </w:pPr>
    </w:p>
    <w:p>
      <w:pPr>
        <w:pStyle w:val="BodyText"/>
        <w:spacing w:line="240" w:lineRule="auto"/>
        <w:ind w:left="534" w:right="1032"/>
        <w:jc w:val="left"/>
      </w:pPr>
      <w:r>
        <w:rPr/>
        <w:t>级（微秒级），可在</w:t>
      </w:r>
      <w:r>
        <w:rPr>
          <w:spacing w:val="-46"/>
        </w:rPr>
        <w:t> </w:t>
      </w:r>
      <w:r>
        <w:rPr>
          <w:rFonts w:ascii="Times New Roman" w:hAnsi="Times New Roman" w:cs="Times New Roman" w:eastAsia="Times New Roman" w:hint="default"/>
        </w:rPr>
        <w:t>ms</w:t>
      </w:r>
      <w:r>
        <w:rPr>
          <w:rFonts w:ascii="Times New Roman" w:hAnsi="Times New Roman" w:cs="Times New Roman" w:eastAsia="Times New Roman" w:hint="default"/>
          <w:spacing w:val="-1"/>
        </w:rPr>
        <w:t> </w:t>
      </w:r>
      <w:r>
        <w:rPr/>
        <w:t>级将传感信息发送至网络。</w:t>
      </w:r>
    </w:p>
    <w:p>
      <w:pPr>
        <w:spacing w:line="240" w:lineRule="auto" w:before="9"/>
        <w:rPr>
          <w:rFonts w:ascii="宋体" w:hAnsi="宋体" w:cs="宋体" w:eastAsia="宋体" w:hint="default"/>
          <w:sz w:val="16"/>
          <w:szCs w:val="16"/>
        </w:rPr>
      </w:pPr>
    </w:p>
    <w:p>
      <w:pPr>
        <w:pStyle w:val="Heading5"/>
        <w:spacing w:line="240" w:lineRule="auto"/>
        <w:ind w:left="895" w:right="1032"/>
        <w:jc w:val="left"/>
        <w:rPr>
          <w:b w:val="0"/>
          <w:bCs w:val="0"/>
        </w:rPr>
      </w:pPr>
      <w:r>
        <w:rPr>
          <w:rFonts w:ascii="Times New Roman" w:hAnsi="Times New Roman" w:cs="Times New Roman" w:eastAsia="Times New Roman" w:hint="default"/>
        </w:rPr>
        <w:t>E</w:t>
      </w:r>
      <w:r>
        <w:rPr/>
        <w:t>、高便利性与可靠性</w:t>
      </w:r>
      <w:r>
        <w:rPr>
          <w:b w:val="0"/>
          <w:bCs w:val="0"/>
        </w:rPr>
      </w:r>
    </w:p>
    <w:p>
      <w:pPr>
        <w:spacing w:after="0" w:line="240" w:lineRule="auto"/>
        <w:jc w:val="left"/>
        <w:sectPr>
          <w:pgSz w:w="11910" w:h="16840"/>
          <w:pgMar w:header="851" w:footer="1187" w:top="1400" w:bottom="1380" w:left="600" w:right="0"/>
        </w:sectPr>
      </w:pPr>
    </w:p>
    <w:p>
      <w:pPr>
        <w:spacing w:line="240" w:lineRule="auto" w:before="1"/>
        <w:rPr>
          <w:rFonts w:ascii="宋体" w:hAnsi="宋体" w:cs="宋体" w:eastAsia="宋体" w:hint="default"/>
          <w:b/>
          <w:bCs/>
          <w:sz w:val="8"/>
          <w:szCs w:val="8"/>
        </w:rPr>
      </w:pPr>
    </w:p>
    <w:p>
      <w:pPr>
        <w:pStyle w:val="BodyText"/>
        <w:spacing w:line="463" w:lineRule="auto" w:before="44"/>
        <w:ind w:left="534" w:right="1129" w:firstLine="360"/>
        <w:jc w:val="both"/>
      </w:pPr>
      <w:r>
        <w:rPr>
          <w:spacing w:val="-2"/>
        </w:rPr>
        <w:t>“智慧线”具备极高的便利性与可靠性，其将供电、数字、模拟、射频、天线等所有单元集成至线缆内，安装时无需安</w:t>
      </w:r>
      <w:r>
        <w:rPr/>
        <w:t> 装任何基站、天线等设备，安装、维护及其简便，大大降低相关成本；同时可在零下</w:t>
      </w:r>
      <w:r>
        <w:rPr>
          <w:spacing w:val="-66"/>
        </w:rPr>
        <w:t> </w:t>
      </w:r>
      <w:r>
        <w:rPr>
          <w:rFonts w:ascii="Times New Roman" w:hAnsi="Times New Roman" w:cs="Times New Roman" w:eastAsia="Times New Roman" w:hint="default"/>
        </w:rPr>
        <w:t>40</w:t>
      </w:r>
      <w:r>
        <w:rPr>
          <w:rFonts w:ascii="Times New Roman" w:hAnsi="Times New Roman" w:cs="Times New Roman" w:eastAsia="Times New Roman" w:hint="default"/>
          <w:spacing w:val="-21"/>
        </w:rPr>
        <w:t> </w:t>
      </w:r>
      <w:r>
        <w:rPr/>
        <w:t>度到正</w:t>
      </w:r>
      <w:r>
        <w:rPr>
          <w:spacing w:val="-66"/>
        </w:rPr>
        <w:t> </w:t>
      </w:r>
      <w:r>
        <w:rPr>
          <w:rFonts w:ascii="Times New Roman" w:hAnsi="Times New Roman" w:cs="Times New Roman" w:eastAsia="Times New Roman" w:hint="default"/>
        </w:rPr>
        <w:t>85</w:t>
      </w:r>
      <w:r>
        <w:rPr>
          <w:rFonts w:ascii="Times New Roman" w:hAnsi="Times New Roman" w:cs="Times New Roman" w:eastAsia="Times New Roman" w:hint="default"/>
          <w:spacing w:val="-21"/>
        </w:rPr>
        <w:t> </w:t>
      </w:r>
      <w:r>
        <w:rPr/>
        <w:t>度宽温范围运行，防水和 耐盐雾等级达到海军要求的</w:t>
      </w:r>
      <w:r>
        <w:rPr>
          <w:spacing w:val="-47"/>
        </w:rPr>
        <w:t> </w:t>
      </w:r>
      <w:r>
        <w:rPr>
          <w:rFonts w:ascii="Times New Roman" w:hAnsi="Times New Roman" w:cs="Times New Roman" w:eastAsia="Times New Roman" w:hint="default"/>
        </w:rPr>
        <w:t>NSS1000</w:t>
      </w:r>
      <w:r>
        <w:rPr>
          <w:rFonts w:ascii="Times New Roman" w:hAnsi="Times New Roman" w:cs="Times New Roman" w:eastAsia="Times New Roman" w:hint="default"/>
          <w:spacing w:val="-2"/>
        </w:rPr>
        <w:t> </w:t>
      </w:r>
      <w:r>
        <w:rPr/>
        <w:t>小时等级要求。</w:t>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5"/>
          <w:szCs w:val="15"/>
        </w:rPr>
      </w:pPr>
    </w:p>
    <w:p>
      <w:pPr>
        <w:pStyle w:val="Heading5"/>
        <w:spacing w:line="240" w:lineRule="auto"/>
        <w:ind w:left="114" w:right="1032"/>
        <w:jc w:val="left"/>
        <w:rPr>
          <w:b w:val="0"/>
          <w:bCs w:val="0"/>
        </w:rPr>
      </w:pPr>
      <w:r>
        <w:rPr>
          <w:rFonts w:ascii="Wingdings" w:hAnsi="Wingdings" w:cs="Wingdings" w:eastAsia="Wingdings" w:hint="default"/>
          <w:b w:val="0"/>
          <w:bCs w:val="0"/>
          <w:color w:val="767070"/>
          <w:sz w:val="24"/>
          <w:szCs w:val="24"/>
        </w:rPr>
        <w:t></w:t>
      </w:r>
      <w:r>
        <w:rPr>
          <w:rFonts w:ascii="Times New Roman" w:hAnsi="Times New Roman" w:cs="Times New Roman" w:eastAsia="Times New Roman" w:hint="default"/>
          <w:b w:val="0"/>
          <w:bCs w:val="0"/>
          <w:color w:val="767070"/>
          <w:sz w:val="24"/>
          <w:szCs w:val="24"/>
        </w:rPr>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三大核心产品系列</w:t>
      </w:r>
      <w:r>
        <w:rPr>
          <w:b w:val="0"/>
          <w:bCs w:val="0"/>
        </w:rPr>
      </w:r>
    </w:p>
    <w:p>
      <w:pPr>
        <w:pStyle w:val="Heading5"/>
        <w:spacing w:line="240" w:lineRule="auto" w:before="190"/>
        <w:ind w:left="895" w:right="1032"/>
        <w:jc w:val="left"/>
        <w:rPr>
          <w:b w:val="0"/>
          <w:bCs w:val="0"/>
        </w:rPr>
      </w:pPr>
      <w:r>
        <w:rPr>
          <w:rFonts w:ascii="Times New Roman" w:hAnsi="Times New Roman" w:cs="Times New Roman" w:eastAsia="Times New Roman" w:hint="default"/>
        </w:rPr>
        <w:t>A</w:t>
      </w:r>
      <w:r>
        <w:rPr/>
        <w:t>、核通讯产品系列：</w:t>
      </w:r>
      <w:r>
        <w:rPr>
          <w:rFonts w:ascii="Times New Roman" w:hAnsi="Times New Roman" w:cs="Times New Roman" w:eastAsia="Times New Roman" w:hint="default"/>
        </w:rPr>
        <w:t>Nu-WiFi</w:t>
      </w:r>
      <w:r>
        <w:rPr/>
        <w:t>核专业无线通信系统</w:t>
      </w:r>
      <w:r>
        <w:rPr>
          <w:b w:val="0"/>
          <w:bCs w:val="0"/>
        </w:rPr>
      </w:r>
    </w:p>
    <w:p>
      <w:pPr>
        <w:spacing w:line="240" w:lineRule="auto" w:before="9"/>
        <w:rPr>
          <w:rFonts w:ascii="宋体" w:hAnsi="宋体" w:cs="宋体" w:eastAsia="宋体" w:hint="default"/>
          <w:b/>
          <w:bCs/>
          <w:sz w:val="16"/>
          <w:szCs w:val="16"/>
        </w:rPr>
      </w:pPr>
    </w:p>
    <w:p>
      <w:pPr>
        <w:pStyle w:val="Heading5"/>
        <w:spacing w:line="463" w:lineRule="auto"/>
        <w:ind w:left="534" w:right="1129" w:firstLine="361"/>
        <w:jc w:val="both"/>
        <w:rPr>
          <w:b w:val="0"/>
          <w:bCs w:val="0"/>
        </w:rPr>
      </w:pPr>
      <w:r>
        <w:rPr>
          <w:rFonts w:ascii="Times New Roman" w:hAnsi="Times New Roman" w:cs="Times New Roman" w:eastAsia="Times New Roman" w:hint="default"/>
        </w:rPr>
        <w:t>Nu-WiFi</w:t>
      </w:r>
      <w:r>
        <w:rPr>
          <w:rFonts w:ascii="Times New Roman" w:hAnsi="Times New Roman" w:cs="Times New Roman" w:eastAsia="Times New Roman" w:hint="default"/>
          <w:spacing w:val="6"/>
        </w:rPr>
        <w:t> </w:t>
      </w:r>
      <w:r>
        <w:rPr/>
        <w:t>核专业无线通信系统，是面向核设施场景开发的集通信、定位、传感监控、宽带数据传输于一体的、国内外</w:t>
      </w:r>
      <w:r>
        <w:rPr>
          <w:spacing w:val="2"/>
          <w:w w:val="99"/>
        </w:rPr>
        <w:t> </w:t>
      </w:r>
      <w:r>
        <w:rPr/>
        <w:t>首个完全满足核电站高电磁安全、高信息安全、高辐照要求的无线通信系统，能够在核电站建设、调试、运行、检修工作</w:t>
      </w:r>
      <w:r>
        <w:rPr>
          <w:spacing w:val="-39"/>
        </w:rPr>
        <w:t> </w:t>
      </w:r>
      <w:r>
        <w:rPr>
          <w:spacing w:val="-39"/>
        </w:rPr>
      </w:r>
      <w:r>
        <w:rPr/>
        <w:t>中为核电业主提供可靠、高质量的通信和数据传输通道。</w:t>
      </w:r>
      <w:r>
        <w:rPr>
          <w:b w:val="0"/>
          <w:bCs w:val="0"/>
        </w:rPr>
      </w:r>
    </w:p>
    <w:p>
      <w:pPr>
        <w:pStyle w:val="BodyText"/>
        <w:spacing w:line="451" w:lineRule="auto" w:before="65"/>
        <w:ind w:left="534" w:right="1130" w:firstLine="360"/>
        <w:jc w:val="both"/>
      </w:pPr>
      <w:r>
        <w:rPr/>
        <w:t>目前已形成完整的面向各类场景的全系列产品：室内覆盖</w:t>
      </w:r>
      <w:r>
        <w:rPr>
          <w:spacing w:val="-46"/>
        </w:rPr>
        <w:t> </w:t>
      </w:r>
      <w:r>
        <w:rPr>
          <w:rFonts w:ascii="Times New Roman" w:hAnsi="Times New Roman" w:cs="Times New Roman" w:eastAsia="Times New Roman" w:hint="default"/>
        </w:rPr>
        <w:t>NP</w:t>
      </w:r>
      <w:r>
        <w:rPr>
          <w:rFonts w:ascii="Times New Roman" w:hAnsi="Times New Roman" w:cs="Times New Roman" w:eastAsia="Times New Roman" w:hint="default"/>
          <w:spacing w:val="-3"/>
        </w:rPr>
        <w:t> </w:t>
      </w:r>
      <w:r>
        <w:rPr/>
        <w:t>系列、大功率厂房</w:t>
      </w:r>
      <w:r>
        <w:rPr>
          <w:spacing w:val="-47"/>
        </w:rPr>
        <w:t> </w:t>
      </w:r>
      <w:r>
        <w:rPr>
          <w:rFonts w:ascii="Times New Roman" w:hAnsi="Times New Roman" w:cs="Times New Roman" w:eastAsia="Times New Roman" w:hint="default"/>
        </w:rPr>
        <w:t>NL </w:t>
      </w:r>
      <w:r>
        <w:rPr/>
        <w:t>系列、室外基站</w:t>
      </w:r>
      <w:r>
        <w:rPr>
          <w:spacing w:val="-47"/>
        </w:rPr>
        <w:t> </w:t>
      </w:r>
      <w:r>
        <w:rPr>
          <w:rFonts w:ascii="Times New Roman" w:hAnsi="Times New Roman" w:cs="Times New Roman" w:eastAsia="Times New Roman" w:hint="default"/>
        </w:rPr>
        <w:t>NV</w:t>
      </w:r>
      <w:r>
        <w:rPr>
          <w:rFonts w:ascii="Times New Roman" w:hAnsi="Times New Roman" w:cs="Times New Roman" w:eastAsia="Times New Roman" w:hint="default"/>
          <w:spacing w:val="-2"/>
        </w:rPr>
        <w:t> </w:t>
      </w:r>
      <w:r>
        <w:rPr/>
        <w:t>系列、工业拉 远的</w:t>
      </w:r>
      <w:r>
        <w:rPr>
          <w:spacing w:val="-46"/>
        </w:rPr>
        <w:t> </w:t>
      </w:r>
      <w:r>
        <w:rPr>
          <w:rFonts w:ascii="Times New Roman" w:hAnsi="Times New Roman" w:cs="Times New Roman" w:eastAsia="Times New Roman" w:hint="default"/>
        </w:rPr>
        <w:t>NEV</w:t>
      </w:r>
      <w:r>
        <w:rPr>
          <w:rFonts w:ascii="Times New Roman" w:hAnsi="Times New Roman" w:cs="Times New Roman" w:eastAsia="Times New Roman" w:hint="default"/>
          <w:spacing w:val="-1"/>
        </w:rPr>
        <w:t> </w:t>
      </w:r>
      <w:r>
        <w:rPr/>
        <w:t>系列、反应堆厂房的</w:t>
      </w:r>
      <w:r>
        <w:rPr>
          <w:spacing w:val="-46"/>
        </w:rPr>
        <w:t> </w:t>
      </w:r>
      <w:r>
        <w:rPr>
          <w:rFonts w:ascii="Times New Roman" w:hAnsi="Times New Roman" w:cs="Times New Roman" w:eastAsia="Times New Roman" w:hint="default"/>
        </w:rPr>
        <w:t>N1</w:t>
      </w:r>
      <w:r>
        <w:rPr>
          <w:rFonts w:ascii="Times New Roman" w:hAnsi="Times New Roman" w:cs="Times New Roman" w:eastAsia="Times New Roman" w:hint="default"/>
          <w:spacing w:val="-1"/>
        </w:rPr>
        <w:t> </w:t>
      </w:r>
      <w:r>
        <w:rPr/>
        <w:t>系列。</w:t>
      </w:r>
    </w:p>
    <w:p>
      <w:pPr>
        <w:pStyle w:val="BodyText"/>
        <w:spacing w:line="477" w:lineRule="auto" w:before="43"/>
        <w:ind w:left="534" w:right="1131" w:firstLine="360"/>
        <w:jc w:val="both"/>
      </w:pPr>
      <w:r>
        <w:rPr>
          <w:spacing w:val="-2"/>
        </w:rPr>
        <w:t>公司先后中标并成功实施中核集团田湾核电站核岛无线通信网项目、中广核集团防城港核电基地全厂覆盖的商用无线通</w:t>
      </w:r>
      <w:r>
        <w:rPr/>
        <w:t> 信项目、大亚湾核电生产（施工）现场便携式可视化管理项目等。</w:t>
      </w:r>
    </w:p>
    <w:p>
      <w:pPr>
        <w:spacing w:line="240" w:lineRule="auto" w:before="10"/>
        <w:rPr>
          <w:rFonts w:ascii="宋体" w:hAnsi="宋体" w:cs="宋体" w:eastAsia="宋体" w:hint="default"/>
          <w:sz w:val="3"/>
          <w:szCs w:val="3"/>
        </w:rPr>
      </w:pPr>
    </w:p>
    <w:p>
      <w:pPr>
        <w:spacing w:line="5832" w:lineRule="exact"/>
        <w:ind w:left="534" w:right="0" w:firstLine="0"/>
        <w:rPr>
          <w:rFonts w:ascii="宋体" w:hAnsi="宋体" w:cs="宋体" w:eastAsia="宋体" w:hint="default"/>
          <w:sz w:val="20"/>
          <w:szCs w:val="20"/>
        </w:rPr>
      </w:pPr>
      <w:r>
        <w:rPr>
          <w:rFonts w:ascii="宋体" w:hAnsi="宋体" w:cs="宋体" w:eastAsia="宋体" w:hint="default"/>
          <w:position w:val="-116"/>
          <w:sz w:val="20"/>
          <w:szCs w:val="20"/>
        </w:rPr>
        <w:drawing>
          <wp:inline distT="0" distB="0" distL="0" distR="0">
            <wp:extent cx="6584088" cy="3703320"/>
            <wp:effectExtent l="0" t="0" r="0" b="0"/>
            <wp:docPr id="47" name="image37.jpeg" descr=""/>
            <wp:cNvGraphicFramePr>
              <a:graphicFrameLocks noChangeAspect="1"/>
            </wp:cNvGraphicFramePr>
            <a:graphic>
              <a:graphicData uri="http://schemas.openxmlformats.org/drawingml/2006/picture">
                <pic:pic>
                  <pic:nvPicPr>
                    <pic:cNvPr id="48" name="image37.jpeg"/>
                    <pic:cNvPicPr/>
                  </pic:nvPicPr>
                  <pic:blipFill>
                    <a:blip r:embed="rId44" cstate="print"/>
                    <a:stretch>
                      <a:fillRect/>
                    </a:stretch>
                  </pic:blipFill>
                  <pic:spPr>
                    <a:xfrm>
                      <a:off x="0" y="0"/>
                      <a:ext cx="6584088" cy="3703320"/>
                    </a:xfrm>
                    <a:prstGeom prst="rect">
                      <a:avLst/>
                    </a:prstGeom>
                  </pic:spPr>
                </pic:pic>
              </a:graphicData>
            </a:graphic>
          </wp:inline>
        </w:drawing>
      </w:r>
      <w:r>
        <w:rPr>
          <w:rFonts w:ascii="宋体" w:hAnsi="宋体" w:cs="宋体" w:eastAsia="宋体" w:hint="default"/>
          <w:position w:val="-116"/>
          <w:sz w:val="20"/>
          <w:szCs w:val="20"/>
        </w:rPr>
      </w:r>
    </w:p>
    <w:p>
      <w:pPr>
        <w:spacing w:line="439" w:lineRule="auto" w:before="103"/>
        <w:ind w:left="894" w:right="1032" w:firstLine="3194"/>
        <w:jc w:val="left"/>
        <w:rPr>
          <w:rFonts w:ascii="宋体" w:hAnsi="宋体" w:cs="宋体" w:eastAsia="宋体" w:hint="default"/>
          <w:sz w:val="18"/>
          <w:szCs w:val="18"/>
        </w:rPr>
      </w:pPr>
      <w:r>
        <w:rPr>
          <w:rFonts w:ascii="宋体" w:hAnsi="宋体" w:cs="宋体" w:eastAsia="宋体" w:hint="default"/>
          <w:b/>
          <w:bCs/>
          <w:sz w:val="18"/>
          <w:szCs w:val="18"/>
        </w:rPr>
        <w:t>（核电通讯产品部分实施项目）</w:t>
      </w:r>
      <w:r>
        <w:rPr>
          <w:rFonts w:ascii="宋体" w:hAnsi="宋体" w:cs="宋体" w:eastAsia="宋体" w:hint="default"/>
          <w:b/>
          <w:bCs/>
          <w:w w:val="99"/>
          <w:sz w:val="18"/>
          <w:szCs w:val="18"/>
        </w:rPr>
        <w:t> </w:t>
      </w:r>
      <w:r>
        <w:rPr>
          <w:rFonts w:ascii="宋体" w:hAnsi="宋体" w:cs="宋体" w:eastAsia="宋体" w:hint="default"/>
          <w:spacing w:val="-2"/>
          <w:sz w:val="18"/>
          <w:szCs w:val="18"/>
        </w:rPr>
        <w:t>公司与中国广核集团签署了有关核电通信与物联网的框架合作协议，双方充分发挥中国广核集团核电信息安全研发中心</w:t>
      </w:r>
    </w:p>
    <w:p>
      <w:pPr>
        <w:spacing w:line="477" w:lineRule="auto" w:before="83"/>
        <w:ind w:left="534" w:right="1119" w:firstLine="0"/>
        <w:jc w:val="left"/>
        <w:rPr>
          <w:rFonts w:ascii="宋体" w:hAnsi="宋体" w:cs="宋体" w:eastAsia="宋体" w:hint="default"/>
          <w:sz w:val="18"/>
          <w:szCs w:val="18"/>
        </w:rPr>
      </w:pPr>
      <w:r>
        <w:rPr>
          <w:rFonts w:ascii="宋体" w:hAnsi="宋体" w:cs="宋体" w:eastAsia="宋体" w:hint="default"/>
          <w:spacing w:val="-2"/>
          <w:sz w:val="18"/>
          <w:szCs w:val="18"/>
        </w:rPr>
        <w:t>在核电行业丰富的业务经验和公司在物联网通信方面的技术优势，合作成立通信与物联网应用实验室。</w:t>
      </w:r>
      <w:r>
        <w:rPr>
          <w:rFonts w:ascii="宋体" w:hAnsi="宋体" w:cs="宋体" w:eastAsia="宋体" w:hint="default"/>
          <w:b/>
          <w:bCs/>
          <w:spacing w:val="-2"/>
          <w:sz w:val="18"/>
          <w:szCs w:val="18"/>
        </w:rPr>
        <w:t>作为中广核“通信与</w:t>
      </w:r>
      <w:r>
        <w:rPr>
          <w:rFonts w:ascii="宋体" w:hAnsi="宋体" w:cs="宋体" w:eastAsia="宋体" w:hint="default"/>
          <w:b/>
          <w:bCs/>
          <w:spacing w:val="-71"/>
          <w:sz w:val="18"/>
          <w:szCs w:val="18"/>
        </w:rPr>
        <w:t> </w:t>
      </w:r>
      <w:r>
        <w:rPr>
          <w:rFonts w:ascii="宋体" w:hAnsi="宋体" w:cs="宋体" w:eastAsia="宋体" w:hint="default"/>
          <w:b/>
          <w:bCs/>
          <w:spacing w:val="-71"/>
          <w:sz w:val="18"/>
          <w:szCs w:val="18"/>
        </w:rPr>
      </w:r>
      <w:r>
        <w:rPr>
          <w:rFonts w:ascii="宋体" w:hAnsi="宋体" w:cs="宋体" w:eastAsia="宋体" w:hint="default"/>
          <w:b/>
          <w:bCs/>
          <w:sz w:val="18"/>
          <w:szCs w:val="18"/>
        </w:rPr>
        <w:t>物联网实验室”的重要成员，参与制定了中广核无线通信改进型 </w:t>
      </w:r>
      <w:r>
        <w:rPr>
          <w:rFonts w:ascii="Times New Roman" w:hAnsi="Times New Roman" w:cs="Times New Roman" w:eastAsia="Times New Roman" w:hint="default"/>
          <w:b/>
          <w:bCs/>
          <w:sz w:val="18"/>
          <w:szCs w:val="18"/>
        </w:rPr>
        <w:t>WIFI</w:t>
      </w:r>
      <w:r>
        <w:rPr>
          <w:rFonts w:ascii="Times New Roman" w:hAnsi="Times New Roman" w:cs="Times New Roman" w:eastAsia="Times New Roman" w:hint="default"/>
          <w:b/>
          <w:bCs/>
          <w:spacing w:val="32"/>
          <w:sz w:val="18"/>
          <w:szCs w:val="18"/>
        </w:rPr>
        <w:t> </w:t>
      </w:r>
      <w:r>
        <w:rPr>
          <w:rFonts w:ascii="宋体" w:hAnsi="宋体" w:cs="宋体" w:eastAsia="宋体" w:hint="default"/>
          <w:b/>
          <w:bCs/>
          <w:sz w:val="18"/>
          <w:szCs w:val="18"/>
        </w:rPr>
        <w:t>技术路线的制定。中广核集团本着“标准化、专业</w:t>
      </w:r>
      <w:r>
        <w:rPr>
          <w:rFonts w:ascii="宋体" w:hAnsi="宋体" w:cs="宋体" w:eastAsia="宋体" w:hint="default"/>
          <w:sz w:val="18"/>
          <w:szCs w:val="18"/>
        </w:rPr>
      </w:r>
    </w:p>
    <w:p>
      <w:pPr>
        <w:spacing w:after="0" w:line="477" w:lineRule="auto"/>
        <w:jc w:val="left"/>
        <w:rPr>
          <w:rFonts w:ascii="宋体" w:hAnsi="宋体" w:cs="宋体" w:eastAsia="宋体" w:hint="default"/>
          <w:sz w:val="18"/>
          <w:szCs w:val="18"/>
        </w:rPr>
        <w:sectPr>
          <w:pgSz w:w="11910" w:h="16840"/>
          <w:pgMar w:header="851" w:footer="1187" w:top="1400" w:bottom="1380" w:left="600" w:right="0"/>
        </w:sectPr>
      </w:pPr>
    </w:p>
    <w:p>
      <w:pPr>
        <w:spacing w:line="240" w:lineRule="auto" w:before="1"/>
        <w:rPr>
          <w:rFonts w:ascii="宋体" w:hAnsi="宋体" w:cs="宋体" w:eastAsia="宋体" w:hint="default"/>
          <w:b/>
          <w:bCs/>
          <w:sz w:val="8"/>
          <w:szCs w:val="8"/>
        </w:rPr>
      </w:pPr>
    </w:p>
    <w:p>
      <w:pPr>
        <w:pStyle w:val="Heading5"/>
        <w:spacing w:line="477" w:lineRule="auto" w:before="44"/>
        <w:ind w:right="1141"/>
        <w:jc w:val="both"/>
        <w:rPr>
          <w:b w:val="0"/>
          <w:bCs w:val="0"/>
        </w:rPr>
      </w:pPr>
      <w:r>
        <w:rPr/>
        <w:t>化、集约化”的要求，统一了下属各核电站无线通信的技术路线，即：广核下属的核电站，在进行无线通信系统新建和改</w:t>
      </w:r>
      <w:r>
        <w:rPr>
          <w:spacing w:val="-47"/>
        </w:rPr>
        <w:t> </w:t>
      </w:r>
      <w:r>
        <w:rPr>
          <w:spacing w:val="-47"/>
        </w:rPr>
      </w:r>
      <w:r>
        <w:rPr/>
        <w:t>造时，均采用改进型</w:t>
      </w:r>
      <w:r>
        <w:rPr>
          <w:spacing w:val="-46"/>
        </w:rPr>
        <w:t> </w:t>
      </w:r>
      <w:r>
        <w:rPr>
          <w:rFonts w:ascii="Times New Roman" w:hAnsi="Times New Roman" w:cs="Times New Roman" w:eastAsia="Times New Roman" w:hint="default"/>
        </w:rPr>
        <w:t>WIFI</w:t>
      </w:r>
      <w:r>
        <w:rPr>
          <w:rFonts w:ascii="Times New Roman" w:hAnsi="Times New Roman" w:cs="Times New Roman" w:eastAsia="Times New Roman" w:hint="default"/>
          <w:spacing w:val="-3"/>
        </w:rPr>
        <w:t> </w:t>
      </w:r>
      <w:r>
        <w:rPr/>
        <w:t>技术标准。</w:t>
      </w:r>
      <w:r>
        <w:rPr>
          <w:b w:val="0"/>
          <w:bCs w:val="0"/>
        </w:rPr>
      </w:r>
    </w:p>
    <w:p>
      <w:pPr>
        <w:pStyle w:val="BodyText"/>
        <w:spacing w:line="240" w:lineRule="auto" w:before="21"/>
        <w:ind w:left="514" w:right="0"/>
        <w:jc w:val="left"/>
      </w:pPr>
      <w:r>
        <w:rPr>
          <w:spacing w:val="-6"/>
        </w:rPr>
        <w:t>根据《中国核电中长期发展规划》显示，到</w:t>
      </w:r>
      <w:r>
        <w:rPr>
          <w:spacing w:val="-42"/>
        </w:rPr>
        <w:t> </w:t>
      </w:r>
      <w:r>
        <w:rPr>
          <w:rFonts w:ascii="Times New Roman" w:hAnsi="Times New Roman" w:cs="Times New Roman" w:eastAsia="Times New Roman" w:hint="default"/>
        </w:rPr>
        <w:t>2020</w:t>
      </w:r>
      <w:r>
        <w:rPr>
          <w:rFonts w:ascii="Times New Roman" w:hAnsi="Times New Roman" w:cs="Times New Roman" w:eastAsia="Times New Roman" w:hint="default"/>
          <w:spacing w:val="3"/>
        </w:rPr>
        <w:t> </w:t>
      </w:r>
      <w:r>
        <w:rPr>
          <w:spacing w:val="-3"/>
        </w:rPr>
        <w:t>年，全国在运核电规划装机容量达到</w:t>
      </w:r>
      <w:r>
        <w:rPr>
          <w:spacing w:val="-42"/>
        </w:rPr>
        <w:t> </w:t>
      </w:r>
      <w:r>
        <w:rPr>
          <w:rFonts w:ascii="Times New Roman" w:hAnsi="Times New Roman" w:cs="Times New Roman" w:eastAsia="Times New Roman" w:hint="default"/>
        </w:rPr>
        <w:t>5800</w:t>
      </w:r>
      <w:r>
        <w:rPr>
          <w:rFonts w:ascii="Times New Roman" w:hAnsi="Times New Roman" w:cs="Times New Roman" w:eastAsia="Times New Roman" w:hint="default"/>
          <w:spacing w:val="3"/>
        </w:rPr>
        <w:t> </w:t>
      </w:r>
      <w:r>
        <w:rPr>
          <w:spacing w:val="-6"/>
        </w:rPr>
        <w:t>万千瓦，在建</w:t>
      </w:r>
      <w:r>
        <w:rPr>
          <w:spacing w:val="-41"/>
        </w:rPr>
        <w:t> </w:t>
      </w:r>
      <w:r>
        <w:rPr>
          <w:rFonts w:ascii="Times New Roman" w:hAnsi="Times New Roman" w:cs="Times New Roman" w:eastAsia="Times New Roman" w:hint="default"/>
        </w:rPr>
        <w:t>3000</w:t>
      </w:r>
      <w:r>
        <w:rPr>
          <w:rFonts w:ascii="Times New Roman" w:hAnsi="Times New Roman" w:cs="Times New Roman" w:eastAsia="Times New Roman" w:hint="default"/>
          <w:spacing w:val="3"/>
        </w:rPr>
        <w:t> </w:t>
      </w:r>
      <w:r>
        <w:rPr/>
        <w:t>万千瓦。</w:t>
      </w:r>
    </w:p>
    <w:p>
      <w:pPr>
        <w:spacing w:line="240" w:lineRule="auto" w:before="10"/>
        <w:rPr>
          <w:rFonts w:ascii="宋体" w:hAnsi="宋体" w:cs="宋体" w:eastAsia="宋体" w:hint="default"/>
          <w:sz w:val="16"/>
          <w:szCs w:val="16"/>
        </w:rPr>
      </w:pPr>
    </w:p>
    <w:p>
      <w:pPr>
        <w:pStyle w:val="BodyText"/>
        <w:spacing w:line="240" w:lineRule="auto"/>
        <w:ind w:right="0"/>
        <w:jc w:val="both"/>
      </w:pPr>
      <w:r>
        <w:rPr/>
        <w:t>根据国家能源局发布的数据显示，截止</w:t>
      </w:r>
      <w:r>
        <w:rPr>
          <w:spacing w:val="-41"/>
        </w:rPr>
        <w:t> </w:t>
      </w:r>
      <w:r>
        <w:rPr>
          <w:rFonts w:ascii="Times New Roman" w:hAnsi="Times New Roman" w:cs="Times New Roman" w:eastAsia="Times New Roman" w:hint="default"/>
        </w:rPr>
        <w:t>2019</w:t>
      </w:r>
      <w:r>
        <w:rPr>
          <w:rFonts w:ascii="Times New Roman" w:hAnsi="Times New Roman" w:cs="Times New Roman" w:eastAsia="Times New Roman" w:hint="default"/>
          <w:spacing w:val="4"/>
        </w:rPr>
        <w:t> </w:t>
      </w:r>
      <w:r>
        <w:rPr/>
        <w:t>年</w:t>
      </w:r>
      <w:r>
        <w:rPr>
          <w:spacing w:val="-41"/>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月</w:t>
      </w:r>
      <w:r>
        <w:rPr>
          <w:spacing w:val="-41"/>
        </w:rPr>
        <w:t> </w:t>
      </w:r>
      <w:r>
        <w:rPr>
          <w:rFonts w:ascii="Times New Roman" w:hAnsi="Times New Roman" w:cs="Times New Roman" w:eastAsia="Times New Roman" w:hint="default"/>
        </w:rPr>
        <w:t>20</w:t>
      </w:r>
      <w:r>
        <w:rPr>
          <w:rFonts w:ascii="Times New Roman" w:hAnsi="Times New Roman" w:cs="Times New Roman" w:eastAsia="Times New Roman" w:hint="default"/>
          <w:spacing w:val="4"/>
        </w:rPr>
        <w:t> </w:t>
      </w:r>
      <w:r>
        <w:rPr/>
        <w:t>日，全国在运核电机组达到</w:t>
      </w:r>
      <w:r>
        <w:rPr>
          <w:spacing w:val="-41"/>
        </w:rPr>
        <w:t> </w:t>
      </w:r>
      <w:r>
        <w:rPr>
          <w:rFonts w:ascii="Times New Roman" w:hAnsi="Times New Roman" w:cs="Times New Roman" w:eastAsia="Times New Roman" w:hint="default"/>
        </w:rPr>
        <w:t>45</w:t>
      </w:r>
      <w:r>
        <w:rPr>
          <w:rFonts w:ascii="Times New Roman" w:hAnsi="Times New Roman" w:cs="Times New Roman" w:eastAsia="Times New Roman" w:hint="default"/>
          <w:spacing w:val="4"/>
        </w:rPr>
        <w:t> </w:t>
      </w:r>
      <w:r>
        <w:rPr/>
        <w:t>台，装机容量</w:t>
      </w:r>
      <w:r>
        <w:rPr>
          <w:spacing w:val="-41"/>
        </w:rPr>
        <w:t> </w:t>
      </w:r>
      <w:r>
        <w:rPr>
          <w:rFonts w:ascii="Times New Roman" w:hAnsi="Times New Roman" w:cs="Times New Roman" w:eastAsia="Times New Roman" w:hint="default"/>
        </w:rPr>
        <w:t>4,590</w:t>
      </w:r>
      <w:r>
        <w:rPr>
          <w:rFonts w:ascii="Times New Roman" w:hAnsi="Times New Roman" w:cs="Times New Roman" w:eastAsia="Times New Roman" w:hint="default"/>
          <w:spacing w:val="4"/>
        </w:rPr>
        <w:t> </w:t>
      </w:r>
      <w:r>
        <w:rPr/>
        <w:t>万千瓦，排名世</w:t>
      </w:r>
    </w:p>
    <w:p>
      <w:pPr>
        <w:spacing w:line="240" w:lineRule="auto" w:before="9"/>
        <w:rPr>
          <w:rFonts w:ascii="宋体" w:hAnsi="宋体" w:cs="宋体" w:eastAsia="宋体" w:hint="default"/>
          <w:sz w:val="16"/>
          <w:szCs w:val="16"/>
        </w:rPr>
      </w:pPr>
    </w:p>
    <w:p>
      <w:pPr>
        <w:pStyle w:val="BodyText"/>
        <w:spacing w:line="451" w:lineRule="auto"/>
        <w:ind w:right="1132"/>
        <w:jc w:val="both"/>
      </w:pPr>
      <w:r>
        <w:rPr/>
        <w:t>界第三；在建机组</w:t>
      </w:r>
      <w:r>
        <w:rPr>
          <w:spacing w:val="-30"/>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15"/>
        </w:rPr>
        <w:t> </w:t>
      </w:r>
      <w:r>
        <w:rPr/>
        <w:t>台，装机容量</w:t>
      </w:r>
      <w:r>
        <w:rPr>
          <w:spacing w:val="-30"/>
        </w:rPr>
        <w:t> </w:t>
      </w:r>
      <w:r>
        <w:rPr>
          <w:rFonts w:ascii="Times New Roman" w:hAnsi="Times New Roman" w:cs="Times New Roman" w:eastAsia="Times New Roman" w:hint="default"/>
        </w:rPr>
        <w:t>1,218</w:t>
      </w:r>
      <w:r>
        <w:rPr>
          <w:rFonts w:ascii="Times New Roman" w:hAnsi="Times New Roman" w:cs="Times New Roman" w:eastAsia="Times New Roman" w:hint="default"/>
          <w:spacing w:val="13"/>
        </w:rPr>
        <w:t> </w:t>
      </w:r>
      <w:r>
        <w:rPr/>
        <w:t>万千瓦，核电发展空间广阔，预计随核电市场需求的扩大，将为公司带来良好的 市场机遇。</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7"/>
          <w:szCs w:val="17"/>
        </w:rPr>
      </w:pPr>
    </w:p>
    <w:p>
      <w:pPr>
        <w:spacing w:line="487" w:lineRule="auto" w:before="0"/>
        <w:ind w:left="514"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B</w:t>
      </w:r>
      <w:r>
        <w:rPr>
          <w:rFonts w:ascii="宋体" w:hAnsi="宋体" w:cs="宋体" w:eastAsia="宋体" w:hint="default"/>
          <w:b/>
          <w:bCs/>
          <w:sz w:val="18"/>
          <w:szCs w:val="18"/>
        </w:rPr>
        <w:t>、周界安防产品系列：智慧墙入侵探测系统</w:t>
      </w:r>
      <w:r>
        <w:rPr>
          <w:rFonts w:ascii="宋体" w:hAnsi="宋体" w:cs="宋体" w:eastAsia="宋体" w:hint="default"/>
          <w:b/>
          <w:bCs/>
          <w:w w:val="99"/>
          <w:sz w:val="18"/>
          <w:szCs w:val="18"/>
        </w:rPr>
        <w:t> </w:t>
      </w:r>
      <w:r>
        <w:rPr>
          <w:rFonts w:ascii="宋体" w:hAnsi="宋体" w:cs="宋体" w:eastAsia="宋体" w:hint="default"/>
          <w:spacing w:val="-2"/>
          <w:sz w:val="18"/>
          <w:szCs w:val="18"/>
        </w:rPr>
        <w:t>公司自主研发的周界安防产品系列是业界创新的主动性安防系统，通过在物联网通信技术中融合人工智能算法，精准生</w:t>
      </w:r>
    </w:p>
    <w:p>
      <w:pPr>
        <w:pStyle w:val="BodyText"/>
        <w:spacing w:line="477" w:lineRule="auto" w:before="47"/>
        <w:ind w:right="1130"/>
        <w:jc w:val="both"/>
      </w:pPr>
      <w:r>
        <w:rPr>
          <w:spacing w:val="-5"/>
        </w:rPr>
        <w:t>成超高精度、超低功耗、无监督学习、防控一体的生态安防链，可实现非接触式报警，真正实现零漏报、低误报的周界探测，</w:t>
      </w:r>
      <w:r>
        <w:rPr>
          <w:spacing w:val="-81"/>
        </w:rPr>
        <w:t> </w:t>
      </w:r>
      <w:r>
        <w:rPr>
          <w:spacing w:val="-81"/>
        </w:rPr>
      </w:r>
      <w:r>
        <w:rPr>
          <w:spacing w:val="-2"/>
        </w:rPr>
        <w:t>整体系统技术能力与功能应用处于世界领先水平。系统从产品形态、部署方式、探测效果、数据传输上均远远优于传统的周</w:t>
      </w:r>
      <w:r>
        <w:rPr>
          <w:spacing w:val="-65"/>
        </w:rPr>
        <w:t> </w:t>
      </w:r>
      <w:r>
        <w:rPr>
          <w:spacing w:val="-65"/>
        </w:rPr>
      </w:r>
      <w:r>
        <w:rPr>
          <w:spacing w:val="-2"/>
        </w:rPr>
        <w:t>界探测系统，为国家高密级单位和机场等重点单位提供全新的周界安防解决方案。在复杂环境下，神州泰岳的周界安防技术</w:t>
      </w:r>
      <w:r>
        <w:rPr>
          <w:spacing w:val="-65"/>
        </w:rPr>
        <w:t> </w:t>
      </w:r>
      <w:r>
        <w:rPr>
          <w:spacing w:val="-65"/>
        </w:rPr>
      </w:r>
      <w:r>
        <w:rPr/>
        <w:t>优势尤其明显，较好的解决了风雨、鸟兽、植被生长引发误报等传统周界安防产品不能解决的技术顽疾。</w:t>
      </w:r>
    </w:p>
    <w:p>
      <w:pPr>
        <w:spacing w:line="240" w:lineRule="auto" w:before="13"/>
        <w:rPr>
          <w:rFonts w:ascii="宋体" w:hAnsi="宋体" w:cs="宋体" w:eastAsia="宋体" w:hint="default"/>
          <w:sz w:val="3"/>
          <w:szCs w:val="3"/>
        </w:rPr>
      </w:pPr>
    </w:p>
    <w:p>
      <w:pPr>
        <w:spacing w:line="5400" w:lineRule="exact"/>
        <w:ind w:left="154" w:right="0" w:firstLine="0"/>
        <w:rPr>
          <w:rFonts w:ascii="宋体" w:hAnsi="宋体" w:cs="宋体" w:eastAsia="宋体" w:hint="default"/>
          <w:sz w:val="20"/>
          <w:szCs w:val="20"/>
        </w:rPr>
      </w:pPr>
      <w:r>
        <w:rPr>
          <w:rFonts w:ascii="宋体" w:hAnsi="宋体" w:cs="宋体" w:eastAsia="宋体" w:hint="default"/>
          <w:position w:val="-107"/>
          <w:sz w:val="20"/>
          <w:szCs w:val="20"/>
        </w:rPr>
        <w:drawing>
          <wp:inline distT="0" distB="0" distL="0" distR="0">
            <wp:extent cx="6096294" cy="3429000"/>
            <wp:effectExtent l="0" t="0" r="0" b="0"/>
            <wp:docPr id="49" name="image38.jpeg" descr=""/>
            <wp:cNvGraphicFramePr>
              <a:graphicFrameLocks noChangeAspect="1"/>
            </wp:cNvGraphicFramePr>
            <a:graphic>
              <a:graphicData uri="http://schemas.openxmlformats.org/drawingml/2006/picture">
                <pic:pic>
                  <pic:nvPicPr>
                    <pic:cNvPr id="50" name="image38.jpeg"/>
                    <pic:cNvPicPr/>
                  </pic:nvPicPr>
                  <pic:blipFill>
                    <a:blip r:embed="rId45" cstate="print"/>
                    <a:stretch>
                      <a:fillRect/>
                    </a:stretch>
                  </pic:blipFill>
                  <pic:spPr>
                    <a:xfrm>
                      <a:off x="0" y="0"/>
                      <a:ext cx="6096294" cy="3429000"/>
                    </a:xfrm>
                    <a:prstGeom prst="rect">
                      <a:avLst/>
                    </a:prstGeom>
                  </pic:spPr>
                </pic:pic>
              </a:graphicData>
            </a:graphic>
          </wp:inline>
        </w:drawing>
      </w:r>
      <w:r>
        <w:rPr>
          <w:rFonts w:ascii="宋体" w:hAnsi="宋体" w:cs="宋体" w:eastAsia="宋体" w:hint="default"/>
          <w:position w:val="-107"/>
          <w:sz w:val="20"/>
          <w:szCs w:val="20"/>
        </w:rPr>
      </w:r>
    </w:p>
    <w:p>
      <w:pPr>
        <w:spacing w:line="240" w:lineRule="auto" w:before="9"/>
        <w:rPr>
          <w:rFonts w:ascii="宋体" w:hAnsi="宋体" w:cs="宋体" w:eastAsia="宋体" w:hint="default"/>
          <w:sz w:val="16"/>
          <w:szCs w:val="16"/>
        </w:rPr>
      </w:pPr>
    </w:p>
    <w:p>
      <w:pPr>
        <w:spacing w:line="477" w:lineRule="auto" w:before="0"/>
        <w:ind w:left="514" w:right="0" w:firstLine="2923"/>
        <w:jc w:val="left"/>
        <w:rPr>
          <w:rFonts w:ascii="宋体" w:hAnsi="宋体" w:cs="宋体" w:eastAsia="宋体" w:hint="default"/>
          <w:sz w:val="18"/>
          <w:szCs w:val="18"/>
        </w:rPr>
      </w:pPr>
      <w:r>
        <w:rPr>
          <w:rFonts w:ascii="宋体" w:hAnsi="宋体" w:cs="宋体" w:eastAsia="宋体" w:hint="default"/>
          <w:b/>
          <w:bCs/>
          <w:sz w:val="18"/>
          <w:szCs w:val="18"/>
        </w:rPr>
        <w:t>（智慧墙入侵探测系统核心技术功能）</w:t>
      </w:r>
      <w:r>
        <w:rPr>
          <w:rFonts w:ascii="宋体" w:hAnsi="宋体" w:cs="宋体" w:eastAsia="宋体" w:hint="default"/>
          <w:b/>
          <w:bCs/>
          <w:w w:val="99"/>
          <w:sz w:val="18"/>
          <w:szCs w:val="18"/>
        </w:rPr>
        <w:t> </w:t>
      </w:r>
      <w:r>
        <w:rPr>
          <w:rFonts w:ascii="宋体" w:hAnsi="宋体" w:cs="宋体" w:eastAsia="宋体" w:hint="default"/>
          <w:spacing w:val="-2"/>
          <w:sz w:val="18"/>
          <w:szCs w:val="18"/>
        </w:rPr>
        <w:t>公司智慧墙周界安防技术经过中国铁路总公司层层淘汰测试，效果良好。同时，在北京故宫、神华集团煤矿、中国铁路</w:t>
      </w:r>
    </w:p>
    <w:p>
      <w:pPr>
        <w:pStyle w:val="BodyText"/>
        <w:spacing w:line="477" w:lineRule="auto" w:before="54"/>
        <w:ind w:right="1133"/>
        <w:jc w:val="both"/>
      </w:pPr>
      <w:r>
        <w:rPr>
          <w:spacing w:val="-2"/>
        </w:rPr>
        <w:t>总公司、独山子石化项目、宁德核电站、田湾核电站、红沿河核电站、贵阳机场、乌鲁木齐机场、中国边防、军事相关领域</w:t>
      </w:r>
      <w:r>
        <w:rPr>
          <w:spacing w:val="-67"/>
        </w:rPr>
        <w:t> </w:t>
      </w:r>
      <w:r>
        <w:rPr>
          <w:spacing w:val="-67"/>
        </w:rPr>
      </w:r>
      <w:r>
        <w:rPr/>
        <w:t>等多类型应用场景中发挥效力且效果显著。</w:t>
      </w:r>
    </w:p>
    <w:p>
      <w:pPr>
        <w:spacing w:after="0" w:line="477" w:lineRule="auto"/>
        <w:jc w:val="both"/>
        <w:sectPr>
          <w:pgSz w:w="11910" w:h="16840"/>
          <w:pgMar w:header="851" w:footer="1187" w:top="1400" w:bottom="1380" w:left="980" w:right="0"/>
        </w:sectPr>
      </w:pPr>
    </w:p>
    <w:p>
      <w:pPr>
        <w:spacing w:line="240" w:lineRule="auto" w:before="1"/>
        <w:rPr>
          <w:rFonts w:ascii="宋体" w:hAnsi="宋体" w:cs="宋体" w:eastAsia="宋体" w:hint="default"/>
          <w:sz w:val="8"/>
          <w:szCs w:val="8"/>
        </w:rPr>
      </w:pPr>
    </w:p>
    <w:p>
      <w:pPr>
        <w:spacing w:line="451" w:lineRule="auto" w:before="44"/>
        <w:ind w:left="894" w:right="1032"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C</w:t>
      </w:r>
      <w:r>
        <w:rPr>
          <w:rFonts w:ascii="宋体" w:hAnsi="宋体" w:cs="宋体" w:eastAsia="宋体" w:hint="default"/>
          <w:b/>
          <w:bCs/>
          <w:sz w:val="18"/>
          <w:szCs w:val="18"/>
        </w:rPr>
        <w:t>、地下空间物联网与通讯接入产品系列：城市综合管廊通信安防一体化系统</w:t>
      </w:r>
      <w:r>
        <w:rPr>
          <w:rFonts w:ascii="宋体" w:hAnsi="宋体" w:cs="宋体" w:eastAsia="宋体" w:hint="default"/>
          <w:b/>
          <w:bCs/>
          <w:w w:val="99"/>
          <w:sz w:val="18"/>
          <w:szCs w:val="18"/>
        </w:rPr>
        <w:t> </w:t>
      </w:r>
      <w:r>
        <w:rPr>
          <w:rFonts w:ascii="宋体" w:hAnsi="宋体" w:cs="宋体" w:eastAsia="宋体" w:hint="default"/>
          <w:spacing w:val="-2"/>
          <w:sz w:val="18"/>
          <w:szCs w:val="18"/>
        </w:rPr>
        <w:t>公司地下空间物联网与通讯系列产品，是解决无公网覆盖的工业场景中的物联网数据采集、传输与通讯问题，具体应用</w:t>
      </w:r>
    </w:p>
    <w:p>
      <w:pPr>
        <w:pStyle w:val="BodyText"/>
        <w:spacing w:line="477" w:lineRule="auto" w:before="74"/>
        <w:ind w:left="534" w:right="1032"/>
        <w:jc w:val="left"/>
      </w:pPr>
      <w:r>
        <w:rPr>
          <w:spacing w:val="-2"/>
        </w:rPr>
        <w:t>场景有：地下空间、金属覆盖面积较大的工业厂房以及电磁环境复杂的能源生产车间等。目前，公司该产品系列的主要目标</w:t>
      </w:r>
      <w:r>
        <w:rPr>
          <w:spacing w:val="-65"/>
        </w:rPr>
        <w:t> </w:t>
      </w:r>
      <w:r>
        <w:rPr>
          <w:spacing w:val="-65"/>
        </w:rPr>
      </w:r>
      <w:r>
        <w:rPr/>
        <w:t>市场是城市地下管廊的运营与维护。</w:t>
      </w:r>
    </w:p>
    <w:p>
      <w:pPr>
        <w:pStyle w:val="BodyText"/>
        <w:spacing w:line="458" w:lineRule="auto" w:before="54"/>
        <w:ind w:left="534" w:right="1032" w:firstLine="361"/>
        <w:jc w:val="left"/>
      </w:pPr>
      <w:r>
        <w:rPr>
          <w:rFonts w:ascii="宋体" w:hAnsi="宋体" w:cs="宋体" w:eastAsia="宋体" w:hint="default"/>
          <w:b/>
          <w:bCs/>
        </w:rPr>
        <w:t>公司自主研发设计的</w:t>
      </w:r>
      <w:r>
        <w:rPr>
          <w:rFonts w:ascii="Times New Roman" w:hAnsi="Times New Roman" w:cs="Times New Roman" w:eastAsia="Times New Roman" w:hint="default"/>
          <w:b/>
          <w:bCs/>
        </w:rPr>
        <w:t>“</w:t>
      </w:r>
      <w:r>
        <w:rPr>
          <w:rFonts w:ascii="宋体" w:hAnsi="宋体" w:cs="宋体" w:eastAsia="宋体" w:hint="default"/>
          <w:b/>
          <w:bCs/>
        </w:rPr>
        <w:t>基于智慧线的城市综合管廊通信安防一体化系统</w:t>
      </w:r>
      <w:r>
        <w:rPr>
          <w:rFonts w:ascii="Times New Roman" w:hAnsi="Times New Roman" w:cs="Times New Roman" w:eastAsia="Times New Roman" w:hint="default"/>
          <w:b/>
          <w:bCs/>
        </w:rPr>
        <w:t>”</w:t>
      </w:r>
      <w:r>
        <w:rPr/>
        <w:t>，通过独创的</w:t>
      </w:r>
      <w:r>
        <w:rPr>
          <w:spacing w:val="-62"/>
        </w:rPr>
        <w:t> </w:t>
      </w:r>
      <w:r>
        <w:rPr>
          <w:rFonts w:ascii="Times New Roman" w:hAnsi="Times New Roman" w:cs="Times New Roman" w:eastAsia="Times New Roman" w:hint="default"/>
          <w:spacing w:val="-7"/>
        </w:rPr>
        <w:t>TSM</w:t>
      </w:r>
      <w:r>
        <w:rPr>
          <w:spacing w:val="-7"/>
        </w:rPr>
        <w:t>（隧道移动通信系统）技术，</w:t>
      </w:r>
      <w:r>
        <w:rPr/>
        <w:t> 实现对管廊各舱“</w:t>
      </w:r>
      <w:r>
        <w:rPr>
          <w:rFonts w:ascii="Times New Roman" w:hAnsi="Times New Roman" w:cs="Times New Roman" w:eastAsia="Times New Roman" w:hint="default"/>
        </w:rPr>
        <w:t>2M </w:t>
      </w:r>
      <w:r>
        <w:rPr/>
        <w:t>物联网</w:t>
      </w:r>
      <w:r>
        <w:rPr>
          <w:rFonts w:ascii="Times New Roman" w:hAnsi="Times New Roman" w:cs="Times New Roman" w:eastAsia="Times New Roman" w:hint="default"/>
        </w:rPr>
        <w:t>+1.266G</w:t>
      </w:r>
      <w:r>
        <w:rPr>
          <w:rFonts w:ascii="Times New Roman" w:hAnsi="Times New Roman" w:cs="Times New Roman" w:eastAsia="Times New Roman" w:hint="default"/>
          <w:spacing w:val="19"/>
        </w:rPr>
        <w:t> </w:t>
      </w:r>
      <w:r>
        <w:rPr/>
        <w:t>宽带”的无线信号全覆盖，打造管廊内的“信息高速公路”，实现管廊内移动通信、 物联网传感、精准定位及轨迹跟踪、入侵报警及定位、宽带无线接入、在线巡查管理等功能，并可与消防系统、通风系统、</w:t>
      </w:r>
      <w:r>
        <w:rPr>
          <w:spacing w:val="-85"/>
        </w:rPr>
        <w:t> </w:t>
      </w:r>
      <w:r>
        <w:rPr>
          <w:spacing w:val="-85"/>
        </w:rPr>
      </w:r>
      <w:r>
        <w:rPr/>
        <w:t>供电系统、照明系统、排水系统、标识系统联动，提高城市综合管廊的“数字化”管理水平，实现“智慧管廊”。</w:t>
      </w:r>
    </w:p>
    <w:p>
      <w:pPr>
        <w:pStyle w:val="BodyText"/>
        <w:spacing w:line="477" w:lineRule="auto" w:before="68"/>
        <w:ind w:left="534" w:right="1032" w:firstLine="360"/>
        <w:jc w:val="left"/>
      </w:pPr>
      <w:r>
        <w:rPr/>
        <w:t>目前公司已承建北京多个重要项目以及天津、安徽、江苏等地区的综合管廊通信与安防一体化系统，并正在推进郑州、 西安等核心城市在建的地下管廊项目过程中。</w:t>
      </w:r>
    </w:p>
    <w:p>
      <w:pPr>
        <w:pStyle w:val="BodyText"/>
        <w:spacing w:line="463" w:lineRule="auto" w:before="54"/>
        <w:ind w:left="534" w:right="1130" w:firstLine="360"/>
        <w:jc w:val="both"/>
      </w:pPr>
      <w:r>
        <w:rPr>
          <w:spacing w:val="-2"/>
        </w:rPr>
        <w:t>基于公司在城市地下管廊运维方面的技术领先优势，中国建筑集团在地下综合管廊市场的标杆地位和高占有率，双方联</w:t>
      </w:r>
      <w:r>
        <w:rPr/>
        <w:t> </w:t>
      </w:r>
      <w:r>
        <w:rPr>
          <w:spacing w:val="-2"/>
        </w:rPr>
        <w:t>合成立混合所有制公司</w:t>
      </w:r>
      <w:r>
        <w:rPr>
          <w:rFonts w:ascii="Times New Roman" w:hAnsi="Times New Roman" w:cs="Times New Roman" w:eastAsia="Times New Roman" w:hint="default"/>
          <w:spacing w:val="-2"/>
        </w:rPr>
        <w:t>——</w:t>
      </w:r>
      <w:r>
        <w:rPr>
          <w:spacing w:val="-2"/>
        </w:rPr>
        <w:t>中建智能技术有限公司，未来中国建筑集团旗下各企业参与建设和运维的管廊均有望并已经推动</w:t>
      </w:r>
      <w:r>
        <w:rPr>
          <w:spacing w:val="-64"/>
        </w:rPr>
        <w:t> </w:t>
      </w:r>
      <w:r>
        <w:rPr>
          <w:spacing w:val="-64"/>
        </w:rPr>
      </w:r>
      <w:r>
        <w:rPr/>
        <w:t>采用神州泰岳的智慧管廊技术及平台。</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1"/>
          <w:szCs w:val="21"/>
        </w:rPr>
      </w:pPr>
    </w:p>
    <w:p>
      <w:pPr>
        <w:pStyle w:val="Heading4"/>
        <w:spacing w:line="240" w:lineRule="auto"/>
        <w:ind w:left="534" w:right="1032"/>
        <w:jc w:val="left"/>
        <w:rPr>
          <w:b w:val="0"/>
          <w:bCs w:val="0"/>
          <w:i w:val="0"/>
        </w:rPr>
      </w:pPr>
      <w:bookmarkStart w:name="2、人工智能/大数据业务" w:id="19"/>
      <w:bookmarkEnd w:id="19"/>
      <w:r>
        <w:rPr>
          <w:b w:val="0"/>
          <w:bCs w:val="0"/>
          <w:i w:val="0"/>
        </w:rPr>
      </w:r>
      <w:r>
        <w:rPr>
          <w:rFonts w:ascii="Times New Roman" w:hAnsi="Times New Roman" w:cs="Times New Roman" w:eastAsia="Times New Roman" w:hint="default"/>
          <w:i/>
          <w:sz w:val="18"/>
          <w:szCs w:val="18"/>
        </w:rPr>
      </w:r>
      <w:r>
        <w:rPr>
          <w:rFonts w:ascii="Times New Roman" w:hAnsi="Times New Roman" w:cs="Times New Roman" w:eastAsia="Times New Roman" w:hint="default"/>
          <w:i/>
          <w:sz w:val="18"/>
          <w:szCs w:val="18"/>
          <w:u w:val="single" w:color="000000"/>
        </w:rPr>
        <w:t>2</w:t>
      </w:r>
      <w:r>
        <w:rPr>
          <w:u w:val="single" w:color="000000"/>
        </w:rPr>
        <w:t>、人工智能</w:t>
      </w:r>
      <w:r>
        <w:rPr>
          <w:rFonts w:ascii="Times New Roman" w:hAnsi="Times New Roman" w:cs="Times New Roman" w:eastAsia="Times New Roman" w:hint="default"/>
          <w:i/>
          <w:sz w:val="18"/>
          <w:szCs w:val="18"/>
          <w:u w:val="single" w:color="000000"/>
        </w:rPr>
        <w:t>/</w:t>
      </w:r>
      <w:r>
        <w:rPr>
          <w:u w:val="single" w:color="000000"/>
        </w:rPr>
        <w:t>大数据业务</w:t>
      </w:r>
      <w:r>
        <w:rPr/>
      </w:r>
      <w:r>
        <w:rPr>
          <w:b w:val="0"/>
          <w:bCs w:val="0"/>
          <w:i w:val="0"/>
        </w:rPr>
      </w:r>
    </w:p>
    <w:p>
      <w:pPr>
        <w:spacing w:line="240" w:lineRule="auto" w:before="5"/>
        <w:rPr>
          <w:rFonts w:ascii="宋体" w:hAnsi="宋体" w:cs="宋体" w:eastAsia="宋体" w:hint="default"/>
          <w:b/>
          <w:bCs/>
          <w:i/>
          <w:sz w:val="13"/>
          <w:szCs w:val="13"/>
        </w:rPr>
      </w:pPr>
    </w:p>
    <w:p>
      <w:pPr>
        <w:pStyle w:val="BodyText"/>
        <w:spacing w:line="451" w:lineRule="auto" w:before="44"/>
        <w:ind w:left="534" w:right="1032" w:firstLine="360"/>
        <w:jc w:val="left"/>
      </w:pPr>
      <w:r>
        <w:rPr/>
        <w:t>公司人工智能</w:t>
      </w:r>
      <w:r>
        <w:rPr>
          <w:rFonts w:ascii="Times New Roman" w:hAnsi="Times New Roman" w:cs="Times New Roman" w:eastAsia="Times New Roman" w:hint="default"/>
        </w:rPr>
        <w:t>/</w:t>
      </w:r>
      <w:r>
        <w:rPr/>
        <w:t>大数据板块专注于自然语言处理（</w:t>
      </w:r>
      <w:r>
        <w:rPr>
          <w:rFonts w:ascii="Times New Roman" w:hAnsi="Times New Roman" w:cs="Times New Roman" w:eastAsia="Times New Roman" w:hint="default"/>
        </w:rPr>
        <w:t>NLP</w:t>
      </w:r>
      <w:r>
        <w:rPr/>
        <w:t>）及大数据技术等的融合应用，即将独到的自然语言语义分析技 </w:t>
      </w:r>
      <w:r>
        <w:rPr>
          <w:spacing w:val="-2"/>
        </w:rPr>
        <w:t>术、深度学习、大数据技术、互联网信息采集技术等融合，聚焦公安领域不断强化行业应用的同时，让公司的自然语言处理</w:t>
      </w:r>
    </w:p>
    <w:p>
      <w:pPr>
        <w:pStyle w:val="BodyText"/>
        <w:spacing w:line="240" w:lineRule="auto" w:before="74"/>
        <w:ind w:left="534" w:right="0"/>
        <w:jc w:val="both"/>
      </w:pPr>
      <w:r>
        <w:rPr>
          <w:rFonts w:ascii="Times New Roman" w:hAnsi="Times New Roman" w:cs="Times New Roman" w:eastAsia="Times New Roman" w:hint="default"/>
        </w:rPr>
        <w:t>/</w:t>
      </w:r>
      <w:r>
        <w:rPr/>
        <w:t>大数据方面的平台能力向其他领域快速不断延伸。</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7"/>
          <w:szCs w:val="17"/>
        </w:rPr>
      </w:pPr>
    </w:p>
    <w:p>
      <w:pPr>
        <w:pStyle w:val="Heading5"/>
        <w:spacing w:line="240" w:lineRule="auto"/>
        <w:ind w:left="114" w:right="1032"/>
        <w:jc w:val="left"/>
        <w:rPr>
          <w:b w:val="0"/>
          <w:bCs w:val="0"/>
        </w:rPr>
      </w:pPr>
      <w:r>
        <w:rPr>
          <w:rFonts w:ascii="Wingdings" w:hAnsi="Wingdings" w:cs="Wingdings" w:eastAsia="Wingdings" w:hint="default"/>
          <w:b w:val="0"/>
          <w:bCs w:val="0"/>
          <w:color w:val="767070"/>
          <w:sz w:val="24"/>
          <w:szCs w:val="24"/>
        </w:rPr>
        <w:t></w:t>
      </w:r>
      <w:r>
        <w:rPr>
          <w:rFonts w:ascii="Times New Roman" w:hAnsi="Times New Roman" w:cs="Times New Roman" w:eastAsia="Times New Roman" w:hint="default"/>
          <w:b w:val="0"/>
          <w:bCs w:val="0"/>
          <w:color w:val="767070"/>
          <w:sz w:val="24"/>
          <w:szCs w:val="24"/>
        </w:rPr>
      </w:r>
      <w:r>
        <w:rPr>
          <w:rFonts w:ascii="Times New Roman" w:hAnsi="Times New Roman" w:cs="Times New Roman" w:eastAsia="Times New Roman" w:hint="default"/>
        </w:rPr>
        <w:t>2.1</w:t>
      </w:r>
      <w:r>
        <w:rPr>
          <w:rFonts w:ascii="Times New Roman" w:hAnsi="Times New Roman" w:cs="Times New Roman" w:eastAsia="Times New Roman" w:hint="default"/>
          <w:spacing w:val="-3"/>
        </w:rPr>
        <w:t> </w:t>
      </w:r>
      <w:r>
        <w:rPr/>
        <w:t>核心的竞争优势</w:t>
      </w:r>
      <w:r>
        <w:rPr>
          <w:b w:val="0"/>
          <w:bCs w:val="0"/>
        </w:rPr>
      </w:r>
    </w:p>
    <w:p>
      <w:pPr>
        <w:pStyle w:val="BodyText"/>
        <w:spacing w:line="451" w:lineRule="auto" w:before="190"/>
        <w:ind w:left="894" w:right="1032" w:firstLine="1"/>
        <w:jc w:val="left"/>
      </w:pPr>
      <w:r>
        <w:rPr>
          <w:rFonts w:ascii="Times New Roman" w:hAnsi="Times New Roman" w:cs="Times New Roman" w:eastAsia="Times New Roman" w:hint="default"/>
          <w:b/>
          <w:bCs/>
        </w:rPr>
        <w:t>A</w:t>
      </w:r>
      <w:r>
        <w:rPr>
          <w:rFonts w:ascii="宋体" w:hAnsi="宋体" w:cs="宋体" w:eastAsia="宋体" w:hint="default"/>
          <w:b/>
          <w:bCs/>
        </w:rPr>
        <w:t>、领先的语义认知能力</w:t>
      </w:r>
      <w:r>
        <w:rPr>
          <w:rFonts w:ascii="宋体" w:hAnsi="宋体" w:cs="宋体" w:eastAsia="宋体" w:hint="default"/>
          <w:b/>
          <w:bCs/>
          <w:w w:val="99"/>
        </w:rPr>
        <w:t> </w:t>
      </w:r>
      <w:r>
        <w:rPr>
          <w:spacing w:val="-2"/>
        </w:rPr>
        <w:t>公司的智能语义技术涵盖面向业务的自然语言文本分析、基于增强学习语义模型分析检索、多维度组合模式检索等三大</w:t>
      </w:r>
    </w:p>
    <w:p>
      <w:pPr>
        <w:pStyle w:val="BodyText"/>
        <w:spacing w:line="458" w:lineRule="auto" w:before="74"/>
        <w:ind w:left="534" w:right="1130"/>
        <w:jc w:val="both"/>
      </w:pPr>
      <w:r>
        <w:rPr/>
        <w:t>能力，集成</w:t>
      </w:r>
      <w:r>
        <w:rPr>
          <w:spacing w:val="-41"/>
        </w:rPr>
        <w:t> </w:t>
      </w:r>
      <w:r>
        <w:rPr>
          <w:rFonts w:ascii="Times New Roman" w:hAnsi="Times New Roman" w:cs="Times New Roman" w:eastAsia="Times New Roman" w:hint="default"/>
        </w:rPr>
        <w:t>OEC</w:t>
      </w:r>
      <w:r>
        <w:rPr>
          <w:rFonts w:ascii="Times New Roman" w:hAnsi="Times New Roman" w:cs="Times New Roman" w:eastAsia="Times New Roman" w:hint="default"/>
          <w:spacing w:val="4"/>
        </w:rPr>
        <w:t> </w:t>
      </w:r>
      <w:r>
        <w:rPr/>
        <w:t>语义规则模型、机器学习模型、深度学习模型等三位一体的本体模型。公司采用智慧语义感知技术，在公 安领域积累有效训练样本 </w:t>
      </w:r>
      <w:r>
        <w:rPr>
          <w:rFonts w:ascii="Times New Roman" w:hAnsi="Times New Roman" w:cs="Times New Roman" w:eastAsia="Times New Roman" w:hint="default"/>
        </w:rPr>
        <w:t>400 </w:t>
      </w:r>
      <w:r>
        <w:rPr/>
        <w:t>多万份、形成了大量的特殊领域向量化专业词汇，覆盖</w:t>
      </w:r>
      <w:r>
        <w:rPr>
          <w:spacing w:val="-53"/>
        </w:rPr>
        <w:t> </w:t>
      </w:r>
      <w:r>
        <w:rPr>
          <w:rFonts w:ascii="Times New Roman" w:hAnsi="Times New Roman" w:cs="Times New Roman" w:eastAsia="Times New Roman" w:hint="default"/>
        </w:rPr>
        <w:t>99%</w:t>
      </w:r>
      <w:r>
        <w:rPr/>
        <w:t>的文本场景，可有效理解自然语 </w:t>
      </w:r>
      <w:r>
        <w:rPr>
          <w:spacing w:val="-5"/>
        </w:rPr>
        <w:t>言中的一词多义和相同语义的不同表述方式，为自然语言理解的相关任务如：要素抽取、实体识别、篇章理解、语义推理等，</w:t>
      </w:r>
      <w:r>
        <w:rPr>
          <w:spacing w:val="-79"/>
        </w:rPr>
        <w:t> </w:t>
      </w:r>
      <w:r>
        <w:rPr>
          <w:spacing w:val="-79"/>
        </w:rPr>
      </w:r>
      <w:r>
        <w:rPr/>
        <w:t>提供创新的、工业化的落地手段，进而推动</w:t>
      </w:r>
      <w:r>
        <w:rPr>
          <w:spacing w:val="-46"/>
        </w:rPr>
        <w:t> </w:t>
      </w:r>
      <w:r>
        <w:rPr>
          <w:rFonts w:ascii="Times New Roman" w:hAnsi="Times New Roman" w:cs="Times New Roman" w:eastAsia="Times New Roman" w:hint="default"/>
        </w:rPr>
        <w:t>NLP</w:t>
      </w:r>
      <w:r>
        <w:rPr>
          <w:rFonts w:ascii="Times New Roman" w:hAnsi="Times New Roman" w:cs="Times New Roman" w:eastAsia="Times New Roman" w:hint="default"/>
          <w:spacing w:val="-1"/>
        </w:rPr>
        <w:t> </w:t>
      </w:r>
      <w:r>
        <w:rPr/>
        <w:t>行业应用的快速发展。</w:t>
      </w:r>
    </w:p>
    <w:p>
      <w:pPr>
        <w:spacing w:line="451" w:lineRule="auto" w:before="37"/>
        <w:ind w:left="894" w:right="1032"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B</w:t>
      </w:r>
      <w:r>
        <w:rPr>
          <w:rFonts w:ascii="宋体" w:hAnsi="宋体" w:cs="宋体" w:eastAsia="宋体" w:hint="default"/>
          <w:b/>
          <w:bCs/>
          <w:sz w:val="18"/>
          <w:szCs w:val="18"/>
        </w:rPr>
        <w:t>、强大的数据采集和互联互通能力</w:t>
      </w:r>
      <w:r>
        <w:rPr>
          <w:rFonts w:ascii="宋体" w:hAnsi="宋体" w:cs="宋体" w:eastAsia="宋体" w:hint="default"/>
          <w:b/>
          <w:bCs/>
          <w:w w:val="99"/>
          <w:sz w:val="18"/>
          <w:szCs w:val="18"/>
        </w:rPr>
        <w:t> </w:t>
      </w:r>
      <w:r>
        <w:rPr>
          <w:rFonts w:ascii="宋体" w:hAnsi="宋体" w:cs="宋体" w:eastAsia="宋体" w:hint="default"/>
          <w:spacing w:val="-2"/>
          <w:sz w:val="18"/>
          <w:szCs w:val="18"/>
        </w:rPr>
        <w:t>公司具备独创、强大的信息采集技术，能做到采集多种类型的源端数据，如不同的关系型数据库、大数据平台、消息系</w:t>
      </w:r>
    </w:p>
    <w:p>
      <w:pPr>
        <w:pStyle w:val="BodyText"/>
        <w:spacing w:line="240" w:lineRule="auto" w:before="74"/>
        <w:ind w:left="534" w:right="0"/>
        <w:jc w:val="both"/>
      </w:pPr>
      <w:r>
        <w:rPr/>
        <w:t>统、非结构化文件、物联网等各种类型数据，实时汇聚分布在各地域的异构数据到大数据中心，实现各级数据的互联互通。</w:t>
      </w:r>
    </w:p>
    <w:p>
      <w:pPr>
        <w:spacing w:line="240" w:lineRule="auto" w:before="10"/>
        <w:rPr>
          <w:rFonts w:ascii="宋体" w:hAnsi="宋体" w:cs="宋体" w:eastAsia="宋体" w:hint="default"/>
          <w:sz w:val="17"/>
          <w:szCs w:val="17"/>
        </w:rPr>
      </w:pPr>
    </w:p>
    <w:p>
      <w:pPr>
        <w:pStyle w:val="BodyText"/>
        <w:spacing w:line="240" w:lineRule="auto"/>
        <w:ind w:left="534" w:right="0"/>
        <w:jc w:val="both"/>
      </w:pPr>
      <w:r>
        <w:rPr/>
        <w:t>在数据采集汇聚的过程中，利用大型高速分布式计算、流试处理引擎，可以实时的流试数据加工处理，进而对采集的数据进</w:t>
      </w:r>
    </w:p>
    <w:p>
      <w:pPr>
        <w:spacing w:after="0" w:line="240" w:lineRule="auto"/>
        <w:jc w:val="both"/>
        <w:sectPr>
          <w:pgSz w:w="11910" w:h="16840"/>
          <w:pgMar w:header="851" w:footer="1187" w:top="1400" w:bottom="1380" w:left="600" w:right="0"/>
        </w:sectPr>
      </w:pPr>
    </w:p>
    <w:p>
      <w:pPr>
        <w:spacing w:line="240" w:lineRule="auto" w:before="1"/>
        <w:rPr>
          <w:rFonts w:ascii="宋体" w:hAnsi="宋体" w:cs="宋体" w:eastAsia="宋体" w:hint="default"/>
          <w:sz w:val="8"/>
          <w:szCs w:val="8"/>
        </w:rPr>
      </w:pPr>
    </w:p>
    <w:p>
      <w:pPr>
        <w:pStyle w:val="BodyText"/>
        <w:spacing w:line="463" w:lineRule="auto" w:before="44"/>
        <w:ind w:left="894" w:right="1117" w:hanging="360"/>
        <w:jc w:val="left"/>
      </w:pPr>
      <w:r>
        <w:rPr/>
        <w:t>行清洗、加工和计算分析，有效促进各类型数据整合，改善数据割据和各自为政的现状问题。 </w:t>
      </w:r>
      <w:r>
        <w:rPr>
          <w:rFonts w:ascii="Times New Roman" w:hAnsi="Times New Roman" w:cs="Times New Roman" w:eastAsia="Times New Roman" w:hint="default"/>
          <w:b/>
          <w:bCs/>
        </w:rPr>
        <w:t>C</w:t>
      </w:r>
      <w:r>
        <w:rPr>
          <w:rFonts w:ascii="宋体" w:hAnsi="宋体" w:cs="宋体" w:eastAsia="宋体" w:hint="default"/>
          <w:b/>
          <w:bCs/>
        </w:rPr>
        <w:t>、独特的算法整合和深度解析能力</w:t>
      </w:r>
      <w:r>
        <w:rPr>
          <w:rFonts w:ascii="宋体" w:hAnsi="宋体" w:cs="宋体" w:eastAsia="宋体" w:hint="default"/>
          <w:b/>
          <w:bCs/>
          <w:w w:val="99"/>
        </w:rPr>
        <w:t> </w:t>
      </w:r>
      <w:r>
        <w:rPr>
          <w:spacing w:val="-5"/>
        </w:rPr>
        <w:t>公司将已经取得的行业及语义层经验知识与机器学习、深度神经网络进行融合，提供多个分类、聚类、回归、主题模型，</w:t>
      </w:r>
    </w:p>
    <w:p>
      <w:pPr>
        <w:pStyle w:val="BodyText"/>
        <w:spacing w:line="463" w:lineRule="auto" w:before="65"/>
        <w:ind w:left="534" w:right="1131"/>
        <w:jc w:val="both"/>
      </w:pPr>
      <w:r>
        <w:rPr>
          <w:spacing w:val="-2"/>
        </w:rPr>
        <w:t>在公安、金融行业的领域专业词向量及算法上，实现了场景泛化能力，同时采用分布式计算方式，支撑数据深度分析和数据</w:t>
      </w:r>
      <w:r>
        <w:rPr>
          <w:spacing w:val="-66"/>
        </w:rPr>
        <w:t> </w:t>
      </w:r>
      <w:r>
        <w:rPr>
          <w:spacing w:val="-66"/>
        </w:rPr>
      </w:r>
      <w:r>
        <w:rPr/>
        <w:t>挖掘，再结合可扩展、分布式、低延迟的 </w:t>
      </w:r>
      <w:r>
        <w:rPr>
          <w:rFonts w:ascii="Times New Roman" w:hAnsi="Times New Roman" w:cs="Times New Roman" w:eastAsia="Times New Roman" w:hint="default"/>
        </w:rPr>
        <w:t>dgraph</w:t>
      </w:r>
      <w:r>
        <w:rPr>
          <w:rFonts w:ascii="Times New Roman" w:hAnsi="Times New Roman" w:cs="Times New Roman" w:eastAsia="Times New Roman" w:hint="default"/>
          <w:spacing w:val="3"/>
        </w:rPr>
        <w:t> </w:t>
      </w:r>
      <w:r>
        <w:rPr/>
        <w:t>图形数据库提供知识图谱的图计算能力。形成强大的知识图谱的图计算能 力，实现信息、线索、研判的可视化分析操作，方便人员一目了然。</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7"/>
          <w:szCs w:val="17"/>
        </w:rPr>
      </w:pPr>
    </w:p>
    <w:p>
      <w:pPr>
        <w:pStyle w:val="Heading5"/>
        <w:spacing w:line="240" w:lineRule="auto"/>
        <w:ind w:left="114" w:right="1032"/>
        <w:jc w:val="left"/>
        <w:rPr>
          <w:b w:val="0"/>
          <w:bCs w:val="0"/>
        </w:rPr>
      </w:pPr>
      <w:r>
        <w:rPr>
          <w:rFonts w:ascii="Wingdings" w:hAnsi="Wingdings" w:cs="Wingdings" w:eastAsia="Wingdings" w:hint="default"/>
          <w:b w:val="0"/>
          <w:bCs w:val="0"/>
          <w:color w:val="767070"/>
          <w:sz w:val="24"/>
          <w:szCs w:val="24"/>
        </w:rPr>
        <w:t></w:t>
      </w:r>
      <w:r>
        <w:rPr>
          <w:rFonts w:ascii="Wingdings" w:hAnsi="Wingdings" w:cs="Wingdings" w:eastAsia="Wingdings" w:hint="default"/>
          <w:b w:val="0"/>
          <w:bCs w:val="0"/>
          <w:color w:val="767070"/>
          <w:spacing w:val="-50"/>
          <w:sz w:val="24"/>
          <w:szCs w:val="24"/>
        </w:rPr>
        <w:t></w:t>
      </w:r>
      <w:r>
        <w:rPr>
          <w:rFonts w:ascii="Times New Roman" w:hAnsi="Times New Roman" w:cs="Times New Roman" w:eastAsia="Times New Roman" w:hint="default"/>
          <w:b w:val="0"/>
          <w:bCs w:val="0"/>
          <w:color w:val="767070"/>
          <w:spacing w:val="-50"/>
          <w:sz w:val="24"/>
          <w:szCs w:val="24"/>
        </w:rPr>
      </w:r>
      <w:r>
        <w:rPr>
          <w:rFonts w:ascii="Times New Roman" w:hAnsi="Times New Roman" w:cs="Times New Roman" w:eastAsia="Times New Roman" w:hint="default"/>
        </w:rPr>
        <w:t>2.2</w:t>
      </w:r>
      <w:r>
        <w:rPr>
          <w:rFonts w:ascii="Times New Roman" w:hAnsi="Times New Roman" w:cs="Times New Roman" w:eastAsia="Times New Roman" w:hint="default"/>
          <w:spacing w:val="-1"/>
        </w:rPr>
        <w:t> </w:t>
      </w:r>
      <w:r>
        <w:rPr/>
        <w:t>人工智能</w:t>
      </w:r>
      <w:r>
        <w:rPr>
          <w:rFonts w:ascii="Times New Roman" w:hAnsi="Times New Roman" w:cs="Times New Roman" w:eastAsia="Times New Roman" w:hint="default"/>
        </w:rPr>
        <w:t>/</w:t>
      </w:r>
      <w:r>
        <w:rPr/>
        <w:t>大数据产品结构</w:t>
      </w:r>
      <w:r>
        <w:rPr>
          <w:b w:val="0"/>
          <w:bCs w:val="0"/>
        </w:rPr>
      </w:r>
    </w:p>
    <w:p>
      <w:pPr>
        <w:pStyle w:val="BodyText"/>
        <w:spacing w:line="489" w:lineRule="auto" w:before="190"/>
        <w:ind w:left="894" w:right="1132" w:firstLine="1"/>
        <w:jc w:val="left"/>
      </w:pPr>
      <w:r>
        <w:rPr>
          <w:rFonts w:ascii="Times New Roman" w:hAnsi="Times New Roman" w:cs="Times New Roman" w:eastAsia="Times New Roman" w:hint="default"/>
          <w:b/>
          <w:bCs/>
        </w:rPr>
        <w:t>A</w:t>
      </w:r>
      <w:r>
        <w:rPr>
          <w:rFonts w:ascii="宋体" w:hAnsi="宋体" w:cs="宋体" w:eastAsia="宋体" w:hint="default"/>
          <w:b/>
          <w:bCs/>
        </w:rPr>
        <w:t>、大数据产品</w:t>
      </w:r>
      <w:r>
        <w:rPr>
          <w:rFonts w:ascii="宋体" w:hAnsi="宋体" w:cs="宋体" w:eastAsia="宋体" w:hint="default"/>
          <w:b/>
          <w:bCs/>
          <w:w w:val="99"/>
        </w:rPr>
        <w:t> </w:t>
      </w:r>
      <w:r>
        <w:rPr>
          <w:spacing w:val="-2"/>
        </w:rPr>
        <w:t>公司基于“大交换、大共享、大缓存”的理念，结合公司现有的技术能力，推出五款大数据基础产品：</w:t>
      </w:r>
      <w:r>
        <w:rPr>
          <w:rFonts w:ascii="Times New Roman" w:hAnsi="Times New Roman" w:cs="Times New Roman" w:eastAsia="Times New Roman" w:hint="default"/>
          <w:spacing w:val="-2"/>
        </w:rPr>
        <w:t>Ultra-DB</w:t>
      </w:r>
      <w:r>
        <w:rPr>
          <w:rFonts w:ascii="Times New Roman" w:hAnsi="Times New Roman" w:cs="Times New Roman" w:eastAsia="Times New Roman" w:hint="default"/>
          <w:spacing w:val="15"/>
        </w:rPr>
        <w:t> </w:t>
      </w:r>
      <w:r>
        <w:rPr/>
        <w:t>云数据</w:t>
      </w:r>
    </w:p>
    <w:p>
      <w:pPr>
        <w:pStyle w:val="BodyText"/>
        <w:spacing w:line="240" w:lineRule="auto" w:before="11"/>
        <w:ind w:left="534" w:right="1032"/>
        <w:jc w:val="left"/>
      </w:pPr>
      <w:r>
        <w:rPr/>
        <w:t>仓库、</w:t>
      </w:r>
      <w:r>
        <w:rPr>
          <w:rFonts w:ascii="Times New Roman" w:hAnsi="Times New Roman" w:cs="Times New Roman" w:eastAsia="Times New Roman" w:hint="default"/>
        </w:rPr>
        <w:t>DataWave</w:t>
      </w:r>
      <w:r>
        <w:rPr>
          <w:rFonts w:ascii="Times New Roman" w:hAnsi="Times New Roman" w:cs="Times New Roman" w:eastAsia="Times New Roman" w:hint="default"/>
          <w:spacing w:val="-7"/>
        </w:rPr>
        <w:t> </w:t>
      </w:r>
      <w:r>
        <w:rPr/>
        <w:t>数据可视化管理平台、</w:t>
      </w:r>
      <w:r>
        <w:rPr>
          <w:rFonts w:ascii="Times New Roman" w:hAnsi="Times New Roman" w:cs="Times New Roman" w:eastAsia="Times New Roman" w:hint="default"/>
        </w:rPr>
        <w:t>DataView</w:t>
      </w:r>
      <w:r>
        <w:rPr>
          <w:rFonts w:ascii="Times New Roman" w:hAnsi="Times New Roman" w:cs="Times New Roman" w:eastAsia="Times New Roman" w:hint="default"/>
          <w:spacing w:val="-8"/>
        </w:rPr>
        <w:t> </w:t>
      </w:r>
      <w:r>
        <w:rPr/>
        <w:t>数据平台、</w:t>
      </w:r>
      <w:r>
        <w:rPr>
          <w:rFonts w:ascii="Times New Roman" w:hAnsi="Times New Roman" w:cs="Times New Roman" w:eastAsia="Times New Roman" w:hint="default"/>
        </w:rPr>
        <w:t>Data</w:t>
      </w:r>
      <w:r>
        <w:rPr>
          <w:rFonts w:ascii="Times New Roman" w:hAnsi="Times New Roman" w:cs="Times New Roman" w:eastAsia="Times New Roman" w:hint="default"/>
          <w:spacing w:val="-7"/>
        </w:rPr>
        <w:t> </w:t>
      </w:r>
      <w:r>
        <w:rPr>
          <w:rFonts w:ascii="Times New Roman" w:hAnsi="Times New Roman" w:cs="Times New Roman" w:eastAsia="Times New Roman" w:hint="default"/>
        </w:rPr>
        <w:t>Exchange</w:t>
      </w:r>
      <w:r>
        <w:rPr>
          <w:rFonts w:ascii="Times New Roman" w:hAnsi="Times New Roman" w:cs="Times New Roman" w:eastAsia="Times New Roman" w:hint="default"/>
          <w:spacing w:val="-8"/>
        </w:rPr>
        <w:t> </w:t>
      </w:r>
      <w:r>
        <w:rPr/>
        <w:t>数据共享交换平台、</w:t>
      </w:r>
      <w:r>
        <w:rPr>
          <w:rFonts w:ascii="Times New Roman" w:hAnsi="Times New Roman" w:cs="Times New Roman" w:eastAsia="Times New Roman" w:hint="default"/>
        </w:rPr>
        <w:t>UltraSearch</w:t>
      </w:r>
      <w:r>
        <w:rPr>
          <w:rFonts w:ascii="Times New Roman" w:hAnsi="Times New Roman" w:cs="Times New Roman" w:eastAsia="Times New Roman" w:hint="default"/>
          <w:spacing w:val="-8"/>
        </w:rPr>
        <w:t> </w:t>
      </w:r>
      <w:r>
        <w:rPr/>
        <w:t>云搜索引擎。</w:t>
      </w:r>
    </w:p>
    <w:p>
      <w:pPr>
        <w:spacing w:line="240" w:lineRule="auto" w:before="11"/>
        <w:rPr>
          <w:rFonts w:ascii="宋体" w:hAnsi="宋体" w:cs="宋体" w:eastAsia="宋体" w:hint="default"/>
          <w:sz w:val="23"/>
          <w:szCs w:val="23"/>
        </w:rPr>
      </w:pPr>
    </w:p>
    <w:p>
      <w:pPr>
        <w:spacing w:line="5292" w:lineRule="exact"/>
        <w:ind w:left="534" w:right="0" w:firstLine="0"/>
        <w:rPr>
          <w:rFonts w:ascii="宋体" w:hAnsi="宋体" w:cs="宋体" w:eastAsia="宋体" w:hint="default"/>
          <w:sz w:val="20"/>
          <w:szCs w:val="20"/>
        </w:rPr>
      </w:pPr>
      <w:r>
        <w:rPr>
          <w:rFonts w:ascii="宋体" w:hAnsi="宋体" w:cs="宋体" w:eastAsia="宋体" w:hint="default"/>
          <w:position w:val="-105"/>
          <w:sz w:val="20"/>
          <w:szCs w:val="20"/>
        </w:rPr>
        <w:drawing>
          <wp:inline distT="0" distB="0" distL="0" distR="0">
            <wp:extent cx="5974374" cy="3360420"/>
            <wp:effectExtent l="0" t="0" r="0" b="0"/>
            <wp:docPr id="51" name="image39.jpeg" descr=""/>
            <wp:cNvGraphicFramePr>
              <a:graphicFrameLocks noChangeAspect="1"/>
            </wp:cNvGraphicFramePr>
            <a:graphic>
              <a:graphicData uri="http://schemas.openxmlformats.org/drawingml/2006/picture">
                <pic:pic>
                  <pic:nvPicPr>
                    <pic:cNvPr id="52" name="image39.jpeg"/>
                    <pic:cNvPicPr/>
                  </pic:nvPicPr>
                  <pic:blipFill>
                    <a:blip r:embed="rId46" cstate="print"/>
                    <a:stretch>
                      <a:fillRect/>
                    </a:stretch>
                  </pic:blipFill>
                  <pic:spPr>
                    <a:xfrm>
                      <a:off x="0" y="0"/>
                      <a:ext cx="5974374" cy="3360420"/>
                    </a:xfrm>
                    <a:prstGeom prst="rect">
                      <a:avLst/>
                    </a:prstGeom>
                  </pic:spPr>
                </pic:pic>
              </a:graphicData>
            </a:graphic>
          </wp:inline>
        </w:drawing>
      </w:r>
      <w:r>
        <w:rPr>
          <w:rFonts w:ascii="宋体" w:hAnsi="宋体" w:cs="宋体" w:eastAsia="宋体" w:hint="default"/>
          <w:position w:val="-105"/>
          <w:sz w:val="20"/>
          <w:szCs w:val="20"/>
        </w:rPr>
      </w:r>
    </w:p>
    <w:p>
      <w:pPr>
        <w:spacing w:line="240" w:lineRule="auto" w:before="8"/>
        <w:rPr>
          <w:rFonts w:ascii="宋体" w:hAnsi="宋体" w:cs="宋体" w:eastAsia="宋体" w:hint="default"/>
          <w:sz w:val="20"/>
          <w:szCs w:val="20"/>
        </w:rPr>
      </w:pPr>
    </w:p>
    <w:p>
      <w:pPr>
        <w:pStyle w:val="Heading5"/>
        <w:spacing w:line="240" w:lineRule="auto"/>
        <w:ind w:left="3776" w:right="4373"/>
        <w:jc w:val="center"/>
        <w:rPr>
          <w:b w:val="0"/>
          <w:bCs w:val="0"/>
        </w:rPr>
      </w:pPr>
      <w:r>
        <w:rPr/>
        <w:t>（大数据基础产品介绍）</w:t>
      </w:r>
      <w:r>
        <w:rPr>
          <w:b w:val="0"/>
          <w:bCs w:val="0"/>
        </w:rPr>
      </w:r>
    </w:p>
    <w:p>
      <w:pPr>
        <w:spacing w:line="240" w:lineRule="auto" w:before="10"/>
        <w:rPr>
          <w:rFonts w:ascii="宋体" w:hAnsi="宋体" w:cs="宋体" w:eastAsia="宋体" w:hint="default"/>
          <w:b/>
          <w:bCs/>
          <w:sz w:val="17"/>
          <w:szCs w:val="17"/>
        </w:rPr>
      </w:pPr>
    </w:p>
    <w:p>
      <w:pPr>
        <w:spacing w:line="451" w:lineRule="auto" w:before="0"/>
        <w:ind w:left="534" w:right="1130" w:firstLine="361"/>
        <w:jc w:val="both"/>
        <w:rPr>
          <w:rFonts w:ascii="宋体" w:hAnsi="宋体" w:cs="宋体" w:eastAsia="宋体" w:hint="default"/>
          <w:sz w:val="18"/>
          <w:szCs w:val="18"/>
        </w:rPr>
      </w:pPr>
      <w:r>
        <w:rPr>
          <w:rFonts w:ascii="宋体" w:hAnsi="宋体" w:cs="宋体" w:eastAsia="宋体" w:hint="default"/>
          <w:b/>
          <w:bCs/>
          <w:spacing w:val="-4"/>
          <w:sz w:val="18"/>
          <w:szCs w:val="18"/>
        </w:rPr>
        <w:t>B</w:t>
      </w:r>
      <w:r>
        <w:rPr>
          <w:rFonts w:ascii="宋体" w:hAnsi="宋体" w:cs="宋体" w:eastAsia="宋体" w:hint="default"/>
          <w:b/>
          <w:bCs/>
          <w:spacing w:val="-4"/>
          <w:sz w:val="18"/>
          <w:szCs w:val="18"/>
        </w:rPr>
        <w:t>、“智脑</w:t>
      </w:r>
      <w:r>
        <w:rPr>
          <w:rFonts w:ascii="宋体" w:hAnsi="宋体" w:cs="宋体" w:eastAsia="宋体" w:hint="default"/>
          <w:b/>
          <w:bCs/>
          <w:spacing w:val="-57"/>
          <w:sz w:val="18"/>
          <w:szCs w:val="18"/>
        </w:rPr>
        <w:t> </w:t>
      </w:r>
      <w:r>
        <w:rPr>
          <w:rFonts w:ascii="Times New Roman" w:hAnsi="Times New Roman" w:cs="Times New Roman" w:eastAsia="Times New Roman" w:hint="default"/>
          <w:b/>
          <w:bCs/>
          <w:sz w:val="18"/>
          <w:szCs w:val="18"/>
        </w:rPr>
        <w:t>2.0</w:t>
      </w:r>
      <w:r>
        <w:rPr>
          <w:rFonts w:ascii="宋体" w:hAnsi="宋体" w:cs="宋体" w:eastAsia="宋体" w:hint="default"/>
          <w:b/>
          <w:bCs/>
          <w:sz w:val="18"/>
          <w:szCs w:val="18"/>
        </w:rPr>
        <w:t>”系列产品</w:t>
      </w:r>
      <w:r>
        <w:rPr>
          <w:rFonts w:ascii="宋体" w:hAnsi="宋体" w:cs="宋体" w:eastAsia="宋体" w:hint="default"/>
          <w:sz w:val="18"/>
          <w:szCs w:val="18"/>
        </w:rPr>
        <w:t>是公司结合前期在公安领域的研发积累及项目经验，为提高软件复用度，而</w:t>
      </w:r>
      <w:r>
        <w:rPr>
          <w:rFonts w:ascii="宋体" w:hAnsi="宋体" w:cs="宋体" w:eastAsia="宋体" w:hint="default"/>
          <w:b/>
          <w:bCs/>
          <w:sz w:val="18"/>
          <w:szCs w:val="18"/>
        </w:rPr>
        <w:t>推出的基于</w:t>
      </w:r>
      <w:r>
        <w:rPr>
          <w:rFonts w:ascii="宋体" w:hAnsi="宋体" w:cs="宋体" w:eastAsia="宋体" w:hint="default"/>
          <w:b/>
          <w:bCs/>
          <w:spacing w:val="-57"/>
          <w:sz w:val="18"/>
          <w:szCs w:val="18"/>
        </w:rPr>
        <w:t> </w:t>
      </w:r>
      <w:r>
        <w:rPr>
          <w:rFonts w:ascii="Times New Roman" w:hAnsi="Times New Roman" w:cs="Times New Roman" w:eastAsia="Times New Roman" w:hint="default"/>
          <w:b/>
          <w:bCs/>
          <w:sz w:val="18"/>
          <w:szCs w:val="18"/>
        </w:rPr>
        <w:t>PB</w:t>
      </w:r>
      <w:r>
        <w:rPr>
          <w:rFonts w:ascii="Times New Roman" w:hAnsi="Times New Roman" w:cs="Times New Roman" w:eastAsia="Times New Roman" w:hint="default"/>
          <w:b/>
          <w:bCs/>
          <w:spacing w:val="-13"/>
          <w:sz w:val="18"/>
          <w:szCs w:val="18"/>
        </w:rPr>
        <w:t> </w:t>
      </w:r>
      <w:r>
        <w:rPr>
          <w:rFonts w:ascii="宋体" w:hAnsi="宋体" w:cs="宋体" w:eastAsia="宋体" w:hint="default"/>
          <w:b/>
          <w:bCs/>
          <w:sz w:val="18"/>
          <w:szCs w:val="18"/>
        </w:rPr>
        <w:t>级</w:t>
      </w:r>
      <w:r>
        <w:rPr>
          <w:rFonts w:ascii="宋体" w:hAnsi="宋体" w:cs="宋体" w:eastAsia="宋体" w:hint="default"/>
          <w:b/>
          <w:bCs/>
          <w:w w:val="99"/>
          <w:sz w:val="18"/>
          <w:szCs w:val="18"/>
        </w:rPr>
        <w:t> </w:t>
      </w:r>
      <w:r>
        <w:rPr>
          <w:rFonts w:ascii="宋体" w:hAnsi="宋体" w:cs="宋体" w:eastAsia="宋体" w:hint="default"/>
          <w:b/>
          <w:bCs/>
          <w:sz w:val="18"/>
          <w:szCs w:val="18"/>
        </w:rPr>
        <w:t>全量数据秒级运算的大数据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人工智能综合应用产品。</w:t>
      </w:r>
      <w:r>
        <w:rPr>
          <w:rFonts w:ascii="宋体" w:hAnsi="宋体" w:cs="宋体" w:eastAsia="宋体" w:hint="default"/>
          <w:sz w:val="18"/>
          <w:szCs w:val="18"/>
        </w:rPr>
        <w:t>该产品集成了神州泰岳的多项技术能力，以极速计算、实体</w:t>
      </w:r>
      <w:r>
        <w:rPr>
          <w:rFonts w:ascii="宋体" w:hAnsi="宋体" w:cs="宋体" w:eastAsia="宋体" w:hint="default"/>
          <w:spacing w:val="-25"/>
          <w:sz w:val="18"/>
          <w:szCs w:val="18"/>
        </w:rPr>
        <w:t> </w:t>
      </w:r>
      <w:r>
        <w:rPr>
          <w:rFonts w:ascii="Times New Roman" w:hAnsi="Times New Roman" w:cs="Times New Roman" w:eastAsia="Times New Roman" w:hint="default"/>
          <w:sz w:val="18"/>
          <w:szCs w:val="18"/>
        </w:rPr>
        <w:t>360</w:t>
      </w:r>
      <w:r>
        <w:rPr>
          <w:rFonts w:ascii="宋体" w:hAnsi="宋体" w:cs="宋体" w:eastAsia="宋体" w:hint="default"/>
          <w:sz w:val="18"/>
          <w:szCs w:val="18"/>
        </w:rPr>
        <w:t>° 全息画像、数据共享为支撑，可实现跨警种、跨网域应用，适用于公安全警种。</w:t>
      </w:r>
    </w:p>
    <w:p>
      <w:pPr>
        <w:spacing w:after="0" w:line="451" w:lineRule="auto"/>
        <w:jc w:val="both"/>
        <w:rPr>
          <w:rFonts w:ascii="宋体" w:hAnsi="宋体" w:cs="宋体" w:eastAsia="宋体" w:hint="default"/>
          <w:sz w:val="18"/>
          <w:szCs w:val="18"/>
        </w:rPr>
        <w:sectPr>
          <w:pgSz w:w="11910" w:h="16840"/>
          <w:pgMar w:header="851" w:footer="1187" w:top="1400" w:bottom="1380" w:left="600" w:right="0"/>
        </w:sectPr>
      </w:pPr>
    </w:p>
    <w:p>
      <w:pPr>
        <w:spacing w:line="240" w:lineRule="auto" w:before="6"/>
        <w:rPr>
          <w:rFonts w:ascii="宋体" w:hAnsi="宋体" w:cs="宋体" w:eastAsia="宋体" w:hint="default"/>
          <w:sz w:val="13"/>
          <w:szCs w:val="13"/>
        </w:rPr>
      </w:pPr>
    </w:p>
    <w:p>
      <w:pPr>
        <w:spacing w:line="5400" w:lineRule="exact"/>
        <w:ind w:left="154" w:right="0" w:firstLine="0"/>
        <w:rPr>
          <w:rFonts w:ascii="宋体" w:hAnsi="宋体" w:cs="宋体" w:eastAsia="宋体" w:hint="default"/>
          <w:sz w:val="20"/>
          <w:szCs w:val="20"/>
        </w:rPr>
      </w:pPr>
      <w:r>
        <w:rPr>
          <w:rFonts w:ascii="宋体" w:hAnsi="宋体" w:cs="宋体" w:eastAsia="宋体" w:hint="default"/>
          <w:position w:val="-107"/>
          <w:sz w:val="20"/>
          <w:szCs w:val="20"/>
        </w:rPr>
        <w:drawing>
          <wp:inline distT="0" distB="0" distL="0" distR="0">
            <wp:extent cx="6096410" cy="3429000"/>
            <wp:effectExtent l="0" t="0" r="0" b="0"/>
            <wp:docPr id="53" name="image40.jpeg" descr=""/>
            <wp:cNvGraphicFramePr>
              <a:graphicFrameLocks noChangeAspect="1"/>
            </wp:cNvGraphicFramePr>
            <a:graphic>
              <a:graphicData uri="http://schemas.openxmlformats.org/drawingml/2006/picture">
                <pic:pic>
                  <pic:nvPicPr>
                    <pic:cNvPr id="54" name="image40.jpeg"/>
                    <pic:cNvPicPr/>
                  </pic:nvPicPr>
                  <pic:blipFill>
                    <a:blip r:embed="rId47" cstate="print"/>
                    <a:stretch>
                      <a:fillRect/>
                    </a:stretch>
                  </pic:blipFill>
                  <pic:spPr>
                    <a:xfrm>
                      <a:off x="0" y="0"/>
                      <a:ext cx="6096410" cy="3429000"/>
                    </a:xfrm>
                    <a:prstGeom prst="rect">
                      <a:avLst/>
                    </a:prstGeom>
                  </pic:spPr>
                </pic:pic>
              </a:graphicData>
            </a:graphic>
          </wp:inline>
        </w:drawing>
      </w:r>
      <w:r>
        <w:rPr>
          <w:rFonts w:ascii="宋体" w:hAnsi="宋体" w:cs="宋体" w:eastAsia="宋体" w:hint="default"/>
          <w:position w:val="-107"/>
          <w:sz w:val="20"/>
          <w:szCs w:val="20"/>
        </w:rPr>
      </w:r>
    </w:p>
    <w:p>
      <w:pPr>
        <w:spacing w:line="240" w:lineRule="auto" w:before="11"/>
        <w:rPr>
          <w:rFonts w:ascii="宋体" w:hAnsi="宋体" w:cs="宋体" w:eastAsia="宋体" w:hint="default"/>
          <w:sz w:val="9"/>
          <w:szCs w:val="9"/>
        </w:rPr>
      </w:pPr>
    </w:p>
    <w:p>
      <w:pPr>
        <w:pStyle w:val="Heading5"/>
        <w:spacing w:line="240" w:lineRule="auto" w:before="35"/>
        <w:ind w:left="3294" w:right="0"/>
        <w:jc w:val="left"/>
        <w:rPr>
          <w:b w:val="0"/>
          <w:bCs w:val="0"/>
          <w:sz w:val="21"/>
          <w:szCs w:val="21"/>
        </w:rPr>
      </w:pPr>
      <w:r>
        <w:rPr>
          <w:sz w:val="21"/>
          <w:szCs w:val="21"/>
        </w:rPr>
        <w:t>（</w:t>
      </w:r>
      <w:r>
        <w:rPr>
          <w:rFonts w:ascii="Times New Roman" w:hAnsi="Times New Roman" w:cs="Times New Roman" w:eastAsia="Times New Roman" w:hint="default"/>
        </w:rPr>
        <w:t>“</w:t>
      </w:r>
      <w:r>
        <w:rPr/>
        <w:t>智脑</w:t>
      </w:r>
      <w:r>
        <w:rPr>
          <w:rFonts w:ascii="Times New Roman" w:hAnsi="Times New Roman" w:cs="Times New Roman" w:eastAsia="Times New Roman" w:hint="default"/>
        </w:rPr>
        <w:t>2.0”</w:t>
      </w:r>
      <w:r>
        <w:rPr/>
        <w:t>系列产品三大支撑平台介绍</w:t>
      </w:r>
      <w:r>
        <w:rPr>
          <w:sz w:val="21"/>
          <w:szCs w:val="21"/>
        </w:rPr>
        <w:t>）</w:t>
      </w:r>
      <w:r>
        <w:rPr>
          <w:b w:val="0"/>
          <w:bCs w:val="0"/>
          <w:sz w:val="21"/>
          <w:szCs w:val="21"/>
        </w:rPr>
      </w:r>
    </w:p>
    <w:p>
      <w:pPr>
        <w:spacing w:line="240" w:lineRule="auto" w:before="13"/>
        <w:rPr>
          <w:rFonts w:ascii="宋体" w:hAnsi="宋体" w:cs="宋体" w:eastAsia="宋体" w:hint="default"/>
          <w:b/>
          <w:bCs/>
          <w:sz w:val="15"/>
          <w:szCs w:val="15"/>
        </w:rPr>
      </w:pPr>
    </w:p>
    <w:p>
      <w:pPr>
        <w:pStyle w:val="BodyText"/>
        <w:spacing w:line="463" w:lineRule="auto"/>
        <w:ind w:right="1130" w:firstLine="360"/>
        <w:jc w:val="both"/>
      </w:pPr>
      <w:r>
        <w:rPr/>
        <w:t>公司</w:t>
      </w:r>
      <w:r>
        <w:rPr>
          <w:rFonts w:ascii="Times New Roman" w:hAnsi="Times New Roman" w:cs="Times New Roman" w:eastAsia="Times New Roman" w:hint="default"/>
        </w:rPr>
        <w:t>AI-NLP</w:t>
      </w:r>
      <w:r>
        <w:rPr/>
        <w:t>技术、大数据技术、智脑平台等已与北京市公安局、广西公安厅、石家庄市公安局、太原市公安局、贵阳 </w:t>
      </w:r>
      <w:r>
        <w:rPr>
          <w:spacing w:val="-2"/>
        </w:rPr>
        <w:t>市公安分局等多地公安机构积极开展战略合作，应用于刑侦、治安、情报、指挥中心、科信等多警种，打造出新一代的“刑</w:t>
      </w:r>
      <w:r>
        <w:rPr>
          <w:spacing w:val="-69"/>
        </w:rPr>
        <w:t> </w:t>
      </w:r>
      <w:r>
        <w:rPr>
          <w:spacing w:val="-69"/>
        </w:rPr>
      </w:r>
      <w:r>
        <w:rPr>
          <w:spacing w:val="-8"/>
        </w:rPr>
        <w:t>侦智能案事件研判系统”、“刑侦智能合成作战系统”、“刑侦智能专业应用系统”、“刑侦案事件数据质量智能核查系统”、</w:t>
      </w:r>
      <w:r>
        <w:rPr>
          <w:spacing w:val="-86"/>
        </w:rPr>
        <w:t> </w:t>
      </w:r>
      <w:r>
        <w:rPr>
          <w:spacing w:val="-86"/>
        </w:rPr>
      </w:r>
      <w:r>
        <w:rPr>
          <w:spacing w:val="-2"/>
        </w:rPr>
        <w:t>“</w:t>
      </w:r>
      <w:r>
        <w:rPr>
          <w:rFonts w:ascii="Times New Roman" w:hAnsi="Times New Roman" w:cs="Times New Roman" w:eastAsia="Times New Roman" w:hint="default"/>
          <w:spacing w:val="-2"/>
        </w:rPr>
        <w:t>110</w:t>
      </w:r>
      <w:r>
        <w:rPr>
          <w:spacing w:val="-2"/>
        </w:rPr>
        <w:t>智能警情分析系统”、“</w:t>
      </w:r>
      <w:r>
        <w:rPr>
          <w:rFonts w:ascii="Times New Roman" w:hAnsi="Times New Roman" w:cs="Times New Roman" w:eastAsia="Times New Roman" w:hint="default"/>
          <w:spacing w:val="-2"/>
        </w:rPr>
        <w:t>110</w:t>
      </w:r>
      <w:r>
        <w:rPr>
          <w:spacing w:val="-2"/>
        </w:rPr>
        <w:t>警情数据质量核查系统”、“实有人口服务管理平台”、“大数据智能合成研判指挥作战</w:t>
      </w:r>
      <w:r>
        <w:rPr>
          <w:spacing w:val="-63"/>
        </w:rPr>
        <w:t> </w:t>
      </w:r>
      <w:r>
        <w:rPr>
          <w:spacing w:val="-63"/>
        </w:rPr>
      </w:r>
      <w:r>
        <w:rPr/>
        <w:t>平台”等多款应用产品和解决方案。</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5"/>
          <w:szCs w:val="25"/>
        </w:rPr>
      </w:pPr>
    </w:p>
    <w:p>
      <w:pPr>
        <w:pStyle w:val="BodyText"/>
        <w:spacing w:line="463" w:lineRule="auto"/>
        <w:ind w:right="0" w:firstLine="361"/>
        <w:jc w:val="left"/>
      </w:pPr>
      <w:r>
        <w:rPr>
          <w:rFonts w:ascii="Times New Roman" w:hAnsi="Times New Roman" w:cs="Times New Roman" w:eastAsia="Times New Roman" w:hint="default"/>
          <w:b/>
          <w:bCs/>
        </w:rPr>
        <w:t>C</w:t>
      </w:r>
      <w:r>
        <w:rPr>
          <w:rFonts w:ascii="宋体" w:hAnsi="宋体" w:cs="宋体" w:eastAsia="宋体" w:hint="default"/>
          <w:b/>
          <w:bCs/>
        </w:rPr>
        <w:t>、“睿达控”大数据风控平台，</w:t>
      </w:r>
      <w:r>
        <w:rPr/>
        <w:t>是公司推出的面向金融领域的新一代大数据风控平台，基于领先语义认知、大数据、 </w:t>
      </w:r>
      <w:r>
        <w:rPr>
          <w:spacing w:val="-2"/>
        </w:rPr>
        <w:t>人工智能技术，以及丰富金融行业服务经验，帮助金融机构充分整合、利用互联网公开数据和机构内部数据，缔造新型金融</w:t>
      </w:r>
      <w:r>
        <w:rPr>
          <w:spacing w:val="-66"/>
        </w:rPr>
        <w:t> </w:t>
      </w:r>
      <w:r>
        <w:rPr>
          <w:spacing w:val="-66"/>
        </w:rPr>
      </w:r>
      <w:r>
        <w:rPr/>
        <w:t>风控体系，极大提升了金融行业的风控效率。</w:t>
      </w:r>
    </w:p>
    <w:p>
      <w:pPr>
        <w:pStyle w:val="BodyText"/>
        <w:spacing w:line="477" w:lineRule="auto" w:before="104"/>
        <w:ind w:right="1131" w:firstLine="360"/>
        <w:jc w:val="both"/>
      </w:pPr>
      <w:r>
        <w:rPr>
          <w:spacing w:val="-2"/>
        </w:rPr>
        <w:t>睿达控结合一切可能的数据及资源，以最优的算法、最快的速度为金融客户提供企业的全息画像，提供风险评分、信用</w:t>
      </w:r>
      <w:r>
        <w:rPr/>
        <w:t> </w:t>
      </w:r>
      <w:r>
        <w:rPr>
          <w:spacing w:val="-2"/>
        </w:rPr>
        <w:t>评分、风险预测、企业风险指数、关系图谱、分类风险预警、风险仪表盘、实时资讯等多种技术服务，对企业潜在的风险做</w:t>
      </w:r>
      <w:r>
        <w:rPr>
          <w:spacing w:val="-72"/>
        </w:rPr>
        <w:t> </w:t>
      </w:r>
      <w:r>
        <w:rPr>
          <w:spacing w:val="-72"/>
        </w:rPr>
      </w:r>
      <w:r>
        <w:rPr/>
        <w:t>出警示，第一时间到达客户手中，辅助决策，从而降低风险。</w:t>
      </w:r>
    </w:p>
    <w:p>
      <w:pPr>
        <w:pStyle w:val="BodyText"/>
        <w:spacing w:line="477" w:lineRule="auto" w:before="92"/>
        <w:ind w:right="1039" w:firstLine="360"/>
        <w:jc w:val="both"/>
      </w:pPr>
      <w:r>
        <w:rPr/>
        <w:t>目前，公司已为四大国有银行中的“中、工、建”三大行提供语义分析技术和平台，招商银行、光大银行、广发银行、 民生银行、北京银行、哈尔滨银行、长沙银行都采用了神州泰岳的相关产品和服务。</w:t>
      </w:r>
    </w:p>
    <w:p>
      <w:pPr>
        <w:spacing w:after="0" w:line="477" w:lineRule="auto"/>
        <w:jc w:val="both"/>
        <w:sectPr>
          <w:pgSz w:w="11910" w:h="16840"/>
          <w:pgMar w:header="851" w:footer="1187" w:top="1400" w:bottom="1380" w:left="980" w:right="0"/>
        </w:sectPr>
      </w:pPr>
    </w:p>
    <w:p>
      <w:pPr>
        <w:spacing w:line="240" w:lineRule="auto" w:before="1"/>
        <w:rPr>
          <w:rFonts w:ascii="宋体" w:hAnsi="宋体" w:cs="宋体" w:eastAsia="宋体" w:hint="default"/>
          <w:sz w:val="8"/>
          <w:szCs w:val="8"/>
        </w:rPr>
      </w:pPr>
    </w:p>
    <w:p>
      <w:pPr>
        <w:spacing w:line="451" w:lineRule="auto" w:before="44"/>
        <w:ind w:left="515"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D</w:t>
      </w:r>
      <w:r>
        <w:rPr>
          <w:rFonts w:ascii="宋体" w:hAnsi="宋体" w:cs="宋体" w:eastAsia="宋体" w:hint="default"/>
          <w:b/>
          <w:bCs/>
          <w:sz w:val="18"/>
          <w:szCs w:val="18"/>
        </w:rPr>
        <w:t>、中文信息（深度）处理开放创新平台、“泰岳语义工厂”</w:t>
      </w:r>
      <w:r>
        <w:rPr>
          <w:rFonts w:ascii="宋体" w:hAnsi="宋体" w:cs="宋体" w:eastAsia="宋体" w:hint="default"/>
          <w:b/>
          <w:bCs/>
          <w:w w:val="99"/>
          <w:sz w:val="18"/>
          <w:szCs w:val="18"/>
        </w:rPr>
        <w:t> </w:t>
      </w:r>
      <w:r>
        <w:rPr>
          <w:rFonts w:ascii="Times New Roman" w:hAnsi="Times New Roman" w:cs="Times New Roman" w:eastAsia="Times New Roman" w:hint="default"/>
          <w:b/>
          <w:bCs/>
          <w:spacing w:val="-4"/>
          <w:w w:val="99"/>
          <w:sz w:val="18"/>
          <w:szCs w:val="18"/>
        </w:rPr>
        <w:t>1</w:t>
      </w:r>
      <w:r>
        <w:rPr>
          <w:rFonts w:ascii="宋体" w:hAnsi="宋体" w:cs="宋体" w:eastAsia="宋体" w:hint="default"/>
          <w:b/>
          <w:bCs/>
          <w:spacing w:val="-4"/>
          <w:w w:val="99"/>
          <w:sz w:val="18"/>
          <w:szCs w:val="18"/>
        </w:rPr>
        <w:t>）“中文信息（深度）处理开放创新平台”</w:t>
      </w:r>
      <w:r>
        <w:rPr>
          <w:rFonts w:ascii="宋体" w:hAnsi="宋体" w:cs="宋体" w:eastAsia="宋体" w:hint="default"/>
          <w:spacing w:val="-4"/>
          <w:w w:val="99"/>
          <w:sz w:val="18"/>
          <w:szCs w:val="18"/>
        </w:rPr>
        <w:t>是公司联合中国中文信息学会、中国声谷，共同推出的智能语义产业平台，</w:t>
      </w:r>
    </w:p>
    <w:p>
      <w:pPr>
        <w:pStyle w:val="BodyText"/>
        <w:spacing w:line="458" w:lineRule="auto" w:before="43"/>
        <w:ind w:right="1129"/>
        <w:jc w:val="both"/>
      </w:pPr>
      <w:r>
        <w:rPr>
          <w:spacing w:val="-1"/>
        </w:rPr>
        <w:t>以打造“研究</w:t>
      </w:r>
      <w:r>
        <w:rPr>
          <w:rFonts w:ascii="Times New Roman" w:hAnsi="Times New Roman" w:cs="Times New Roman" w:eastAsia="Times New Roman" w:hint="default"/>
          <w:spacing w:val="-1"/>
        </w:rPr>
        <w:t>-</w:t>
      </w:r>
      <w:r>
        <w:rPr>
          <w:spacing w:val="-1"/>
        </w:rPr>
        <w:t>应用</w:t>
      </w:r>
      <w:r>
        <w:rPr>
          <w:rFonts w:ascii="Times New Roman" w:hAnsi="Times New Roman" w:cs="Times New Roman" w:eastAsia="Times New Roman" w:hint="default"/>
          <w:spacing w:val="-1"/>
        </w:rPr>
        <w:t>-</w:t>
      </w:r>
      <w:r>
        <w:rPr>
          <w:spacing w:val="-1"/>
        </w:rPr>
        <w:t>产业（产、学、研、用）”的认知智能生态闭环为目标，专注于智能语义、认知领域所需创新和基础技</w:t>
      </w:r>
      <w:r>
        <w:rPr>
          <w:spacing w:val="-70"/>
        </w:rPr>
        <w:t> </w:t>
      </w:r>
      <w:r>
        <w:rPr>
          <w:spacing w:val="-70"/>
        </w:rPr>
      </w:r>
      <w:r>
        <w:rPr>
          <w:spacing w:val="-2"/>
        </w:rPr>
        <w:t>术的开源开放以及产业落地，定位为提供一站式认知智能领域技术与产品服务及培训教育的产业级创新平台和产业级生态孵</w:t>
      </w:r>
      <w:r>
        <w:rPr>
          <w:spacing w:val="-63"/>
        </w:rPr>
        <w:t> </w:t>
      </w:r>
      <w:r>
        <w:rPr>
          <w:spacing w:val="-63"/>
        </w:rPr>
      </w:r>
      <w:r>
        <w:rPr>
          <w:spacing w:val="-2"/>
        </w:rPr>
        <w:t>化平台。平台一期已经上线，目前覆盖中文认知智能领域相关的</w:t>
      </w:r>
      <w:r>
        <w:rPr>
          <w:rFonts w:ascii="Times New Roman" w:hAnsi="Times New Roman" w:cs="Times New Roman" w:eastAsia="Times New Roman" w:hint="default"/>
          <w:spacing w:val="-2"/>
        </w:rPr>
        <w:t>20</w:t>
      </w:r>
      <w:r>
        <w:rPr>
          <w:spacing w:val="-2"/>
        </w:rPr>
        <w:t>多所主要高校及科研院所，汇聚了</w:t>
      </w:r>
      <w:r>
        <w:rPr>
          <w:rFonts w:ascii="Times New Roman" w:hAnsi="Times New Roman" w:cs="Times New Roman" w:eastAsia="Times New Roman" w:hint="default"/>
          <w:spacing w:val="-2"/>
        </w:rPr>
        <w:t>40</w:t>
      </w:r>
      <w:r>
        <w:rPr>
          <w:spacing w:val="-2"/>
        </w:rPr>
        <w:t>多位本领域顶级专家</w:t>
      </w:r>
      <w:r>
        <w:rPr>
          <w:spacing w:val="-62"/>
        </w:rPr>
        <w:t> </w:t>
      </w:r>
      <w:r>
        <w:rPr/>
        <w:t>学者团队的最新科研及实用技术落地应用成果。技术开放和互动板块初步建成，并已封装提供了</w:t>
      </w:r>
      <w:r>
        <w:rPr>
          <w:rFonts w:ascii="Times New Roman" w:hAnsi="Times New Roman" w:cs="Times New Roman" w:eastAsia="Times New Roman" w:hint="default"/>
        </w:rPr>
        <w:t>120</w:t>
      </w:r>
      <w:r>
        <w:rPr/>
        <w:t>多项自然语言处理相关</w:t>
      </w:r>
      <w:r>
        <w:rPr>
          <w:spacing w:val="-82"/>
        </w:rPr>
        <w:t> </w:t>
      </w:r>
      <w:r>
        <w:rPr>
          <w:spacing w:val="-82"/>
        </w:rPr>
      </w:r>
      <w:r>
        <w:rPr/>
        <w:t>服务以及</w:t>
      </w:r>
      <w:r>
        <w:rPr>
          <w:rFonts w:ascii="Times New Roman" w:hAnsi="Times New Roman" w:cs="Times New Roman" w:eastAsia="Times New Roman" w:hint="default"/>
        </w:rPr>
        <w:t>10</w:t>
      </w:r>
      <w:r>
        <w:rPr/>
        <w:t>余项行业解决方案。</w:t>
      </w:r>
    </w:p>
    <w:p>
      <w:pPr>
        <w:pStyle w:val="BodyText"/>
        <w:spacing w:line="477" w:lineRule="auto" w:before="37"/>
        <w:ind w:right="1131" w:firstLine="360"/>
        <w:jc w:val="both"/>
      </w:pPr>
      <w:r>
        <w:rPr>
          <w:spacing w:val="-2"/>
        </w:rPr>
        <w:t>平台积极推动智能语义在新兴重要行业的技术研究与落地应用，形成可复制的技术创新与商业模式，并以数据资源、工</w:t>
      </w:r>
      <w:r>
        <w:rPr/>
        <w:t> 具服务和解决方案等形式不断开放平台资源，逐步孵化、催生整个认知智能产业链和生态圈的完善和繁荣。</w:t>
      </w:r>
    </w:p>
    <w:p>
      <w:pPr>
        <w:pStyle w:val="BodyText"/>
        <w:spacing w:line="451" w:lineRule="auto" w:before="54"/>
        <w:ind w:left="514" w:right="1124" w:firstLine="1"/>
        <w:jc w:val="left"/>
      </w:pPr>
      <w:r>
        <w:rPr>
          <w:rFonts w:ascii="Times New Roman" w:hAnsi="Times New Roman" w:cs="Times New Roman" w:eastAsia="Times New Roman" w:hint="default"/>
          <w:b/>
          <w:bCs/>
        </w:rPr>
        <w:t>2</w:t>
      </w:r>
      <w:r>
        <w:rPr>
          <w:rFonts w:ascii="宋体" w:hAnsi="宋体" w:cs="宋体" w:eastAsia="宋体" w:hint="default"/>
          <w:b/>
          <w:bCs/>
          <w:spacing w:val="-89"/>
          <w:w w:val="99"/>
        </w:rPr>
        <w:t>）</w:t>
      </w:r>
      <w:r>
        <w:rPr>
          <w:rFonts w:ascii="宋体" w:hAnsi="宋体" w:cs="宋体" w:eastAsia="宋体" w:hint="default"/>
          <w:b/>
          <w:bCs/>
          <w:w w:val="99"/>
        </w:rPr>
        <w:t>“</w:t>
      </w:r>
      <w:r>
        <w:rPr>
          <w:rFonts w:ascii="宋体" w:hAnsi="宋体" w:cs="宋体" w:eastAsia="宋体" w:hint="default"/>
          <w:b/>
          <w:bCs/>
          <w:spacing w:val="1"/>
          <w:w w:val="99"/>
        </w:rPr>
        <w:t>泰岳</w:t>
      </w:r>
      <w:r>
        <w:rPr>
          <w:rFonts w:ascii="宋体" w:hAnsi="宋体" w:cs="宋体" w:eastAsia="宋体" w:hint="default"/>
          <w:b/>
          <w:bCs/>
          <w:w w:val="99"/>
        </w:rPr>
        <w:t>语义</w:t>
      </w:r>
      <w:r>
        <w:rPr>
          <w:rFonts w:ascii="宋体" w:hAnsi="宋体" w:cs="宋体" w:eastAsia="宋体" w:hint="default"/>
          <w:b/>
          <w:bCs/>
          <w:spacing w:val="1"/>
          <w:w w:val="99"/>
        </w:rPr>
        <w:t>工厂</w:t>
      </w:r>
      <w:r>
        <w:rPr>
          <w:rFonts w:ascii="宋体" w:hAnsi="宋体" w:cs="宋体" w:eastAsia="宋体" w:hint="default"/>
          <w:b/>
          <w:bCs/>
          <w:w w:val="99"/>
        </w:rPr>
        <w:t>”</w:t>
      </w:r>
      <w:r>
        <w:rPr>
          <w:rFonts w:ascii="宋体" w:hAnsi="宋体" w:cs="宋体" w:eastAsia="宋体" w:hint="default"/>
          <w:b/>
          <w:bCs/>
          <w:w w:val="99"/>
        </w:rPr>
        <w:t> </w:t>
      </w:r>
      <w:r>
        <w:rPr>
          <w:spacing w:val="1"/>
        </w:rPr>
        <w:t>作为</w:t>
      </w:r>
      <w:r>
        <w:rPr>
          <w:spacing w:val="2"/>
        </w:rPr>
        <w:t>中</w:t>
      </w:r>
      <w:r>
        <w:rPr>
          <w:spacing w:val="1"/>
        </w:rPr>
        <w:t>文信</w:t>
      </w:r>
      <w:r>
        <w:rPr>
          <w:spacing w:val="2"/>
        </w:rPr>
        <w:t>息</w:t>
      </w:r>
      <w:r>
        <w:rPr>
          <w:spacing w:val="1"/>
        </w:rPr>
        <w:t>（深</w:t>
      </w:r>
      <w:r>
        <w:rPr>
          <w:spacing w:val="2"/>
        </w:rPr>
        <w:t>度</w:t>
      </w:r>
      <w:r>
        <w:rPr>
          <w:spacing w:val="1"/>
        </w:rPr>
        <w:t>）处</w:t>
      </w:r>
      <w:r>
        <w:rPr>
          <w:spacing w:val="2"/>
        </w:rPr>
        <w:t>理</w:t>
      </w:r>
      <w:r>
        <w:rPr>
          <w:spacing w:val="1"/>
        </w:rPr>
        <w:t>开放</w:t>
      </w:r>
      <w:r>
        <w:rPr>
          <w:spacing w:val="2"/>
        </w:rPr>
        <w:t>创</w:t>
      </w:r>
      <w:r>
        <w:rPr>
          <w:spacing w:val="1"/>
        </w:rPr>
        <w:t>新平</w:t>
      </w:r>
      <w:r>
        <w:rPr>
          <w:spacing w:val="2"/>
        </w:rPr>
        <w:t>台</w:t>
      </w:r>
      <w:r>
        <w:rPr>
          <w:spacing w:val="1"/>
        </w:rPr>
        <w:t>旗下</w:t>
      </w:r>
      <w:r>
        <w:rPr>
          <w:spacing w:val="2"/>
        </w:rPr>
        <w:t>最</w:t>
      </w:r>
      <w:r>
        <w:rPr>
          <w:spacing w:val="1"/>
        </w:rPr>
        <w:t>为重</w:t>
      </w:r>
      <w:r>
        <w:rPr>
          <w:spacing w:val="2"/>
        </w:rPr>
        <w:t>要</w:t>
      </w:r>
      <w:r>
        <w:rPr>
          <w:spacing w:val="1"/>
        </w:rPr>
        <w:t>的人</w:t>
      </w:r>
      <w:r>
        <w:rPr>
          <w:spacing w:val="2"/>
        </w:rPr>
        <w:t>工</w:t>
      </w:r>
      <w:r>
        <w:rPr>
          <w:spacing w:val="1"/>
        </w:rPr>
        <w:t>智</w:t>
      </w:r>
      <w:r>
        <w:rPr>
          <w:spacing w:val="6"/>
        </w:rPr>
        <w:t>能</w:t>
      </w:r>
      <w:r>
        <w:rPr>
          <w:rFonts w:ascii="Times New Roman" w:hAnsi="Times New Roman" w:cs="Times New Roman" w:eastAsia="Times New Roman" w:hint="default"/>
          <w:spacing w:val="1"/>
        </w:rPr>
        <w:t>+</w:t>
      </w:r>
      <w:r>
        <w:rPr>
          <w:spacing w:val="2"/>
        </w:rPr>
        <w:t>赋</w:t>
      </w:r>
      <w:r>
        <w:rPr>
          <w:spacing w:val="1"/>
        </w:rPr>
        <w:t>能项</w:t>
      </w:r>
      <w:r>
        <w:rPr>
          <w:spacing w:val="2"/>
        </w:rPr>
        <w:t>目</w:t>
      </w:r>
      <w:r>
        <w:rPr>
          <w:spacing w:val="-89"/>
        </w:rPr>
        <w:t>，</w:t>
      </w:r>
      <w:r>
        <w:rPr>
          <w:spacing w:val="1"/>
        </w:rPr>
        <w:t>“</w:t>
      </w:r>
      <w:r>
        <w:rPr>
          <w:spacing w:val="2"/>
        </w:rPr>
        <w:t>泰岳</w:t>
      </w:r>
      <w:r>
        <w:rPr>
          <w:spacing w:val="1"/>
        </w:rPr>
        <w:t>语义</w:t>
      </w:r>
      <w:r>
        <w:rPr>
          <w:spacing w:val="2"/>
        </w:rPr>
        <w:t>工</w:t>
      </w:r>
      <w:r>
        <w:rPr>
          <w:spacing w:val="1"/>
        </w:rPr>
        <w:t>厂”</w:t>
      </w:r>
      <w:r>
        <w:rPr>
          <w:spacing w:val="2"/>
        </w:rPr>
        <w:t>的</w:t>
      </w:r>
      <w:r>
        <w:rPr>
          <w:spacing w:val="1"/>
        </w:rPr>
        <w:t>定位</w:t>
      </w:r>
      <w:r>
        <w:rPr>
          <w:spacing w:val="2"/>
        </w:rPr>
        <w:t>和</w:t>
      </w:r>
      <w:r>
        <w:rPr>
          <w:spacing w:val="1"/>
        </w:rPr>
        <w:t>目</w:t>
      </w:r>
      <w:r>
        <w:rPr>
          <w:spacing w:val="2"/>
        </w:rPr>
        <w:t>标</w:t>
      </w:r>
      <w:r>
        <w:rPr>
          <w:spacing w:val="3"/>
        </w:rPr>
        <w:t>就</w:t>
      </w:r>
      <w:r>
        <w:rPr>
          <w:spacing w:val="2"/>
        </w:rPr>
        <w:t>是</w:t>
      </w:r>
      <w:r>
        <w:rPr/>
        <w:t>成</w:t>
      </w:r>
    </w:p>
    <w:p>
      <w:pPr>
        <w:pStyle w:val="BodyText"/>
        <w:spacing w:line="477" w:lineRule="auto" w:before="43"/>
        <w:ind w:right="1132"/>
        <w:jc w:val="both"/>
      </w:pPr>
      <w:r>
        <w:rPr>
          <w:spacing w:val="-2"/>
        </w:rPr>
        <w:t>为人工智能认知智能技术的赋能者，帮助企业特别是中小企业解决认知智能技术带来的挑战，帮助企业快捷地将认知智能技</w:t>
      </w:r>
      <w:r>
        <w:rPr>
          <w:spacing w:val="-64"/>
        </w:rPr>
        <w:t> </w:t>
      </w:r>
      <w:r>
        <w:rPr>
          <w:spacing w:val="-64"/>
        </w:rPr>
      </w:r>
      <w:r>
        <w:rPr/>
        <w:t>术应用于业务创新中，同时有效地降低成本和提高效率。</w:t>
      </w:r>
    </w:p>
    <w:p>
      <w:pPr>
        <w:pStyle w:val="BodyText"/>
        <w:spacing w:line="463" w:lineRule="auto" w:before="54"/>
        <w:ind w:right="1131" w:firstLine="360"/>
        <w:jc w:val="both"/>
      </w:pPr>
      <w:r>
        <w:rPr>
          <w:spacing w:val="-2"/>
        </w:rPr>
        <w:t>泰岳语义工厂开放的服务涵盖</w:t>
      </w:r>
      <w:r>
        <w:rPr>
          <w:rFonts w:ascii="Times New Roman" w:hAnsi="Times New Roman" w:cs="Times New Roman" w:eastAsia="Times New Roman" w:hint="default"/>
          <w:spacing w:val="-2"/>
        </w:rPr>
        <w:t>16</w:t>
      </w:r>
      <w:r>
        <w:rPr>
          <w:spacing w:val="-2"/>
        </w:rPr>
        <w:t>个行业领域、</w:t>
      </w:r>
      <w:r>
        <w:rPr>
          <w:rFonts w:ascii="Times New Roman" w:hAnsi="Times New Roman" w:cs="Times New Roman" w:eastAsia="Times New Roman" w:hint="default"/>
          <w:spacing w:val="-2"/>
        </w:rPr>
        <w:t>140</w:t>
      </w:r>
      <w:r>
        <w:rPr>
          <w:spacing w:val="-2"/>
        </w:rPr>
        <w:t>多个场景和</w:t>
      </w:r>
      <w:r>
        <w:rPr>
          <w:rFonts w:ascii="Times New Roman" w:hAnsi="Times New Roman" w:cs="Times New Roman" w:eastAsia="Times New Roman" w:hint="default"/>
          <w:spacing w:val="-2"/>
        </w:rPr>
        <w:t>200</w:t>
      </w:r>
      <w:r>
        <w:rPr>
          <w:spacing w:val="-2"/>
        </w:rPr>
        <w:t>多个服务，远远超出业界整体开放服务的总数量。语义</w:t>
      </w:r>
      <w:r>
        <w:rPr/>
        <w:t> </w:t>
      </w:r>
      <w:r>
        <w:rPr>
          <w:spacing w:val="-2"/>
        </w:rPr>
        <w:t>工厂可实现输出用于开发者的语义解析能力、面向业务者的语义数据加工、面向设计者的语义算法模型，通过积累，将会成</w:t>
      </w:r>
      <w:r>
        <w:rPr>
          <w:spacing w:val="-66"/>
        </w:rPr>
        <w:t> </w:t>
      </w:r>
      <w:r>
        <w:rPr>
          <w:spacing w:val="-66"/>
        </w:rPr>
      </w:r>
      <w:r>
        <w:rPr/>
        <w:t>为行业标准数据、行业算法模型的大型仓库和加工服务成套工厂。</w:t>
      </w:r>
    </w:p>
    <w:p>
      <w:pPr>
        <w:spacing w:after="0" w:line="463" w:lineRule="auto"/>
        <w:jc w:val="both"/>
        <w:sectPr>
          <w:pgSz w:w="11910" w:h="16840"/>
          <w:pgMar w:header="851" w:footer="1187" w:top="1400" w:bottom="1380" w:left="980" w:right="0"/>
        </w:sectPr>
      </w:pPr>
    </w:p>
    <w:p>
      <w:pPr>
        <w:pStyle w:val="Heading5"/>
        <w:spacing w:line="240" w:lineRule="auto" w:before="161"/>
        <w:ind w:left="594" w:right="940"/>
        <w:jc w:val="left"/>
        <w:rPr>
          <w:b w:val="0"/>
          <w:bCs w:val="0"/>
        </w:rPr>
      </w:pPr>
      <w:r>
        <w:rPr>
          <w:rFonts w:ascii="Wingdings" w:hAnsi="Wingdings" w:cs="Wingdings" w:eastAsia="Wingdings" w:hint="default"/>
          <w:b w:val="0"/>
          <w:bCs w:val="0"/>
          <w:color w:val="767070"/>
          <w:sz w:val="24"/>
          <w:szCs w:val="24"/>
        </w:rPr>
        <w:t></w:t>
      </w:r>
      <w:r>
        <w:rPr>
          <w:rFonts w:ascii="Wingdings" w:hAnsi="Wingdings" w:cs="Wingdings" w:eastAsia="Wingdings" w:hint="default"/>
          <w:b w:val="0"/>
          <w:bCs w:val="0"/>
          <w:color w:val="767070"/>
          <w:spacing w:val="-49"/>
          <w:sz w:val="24"/>
          <w:szCs w:val="24"/>
        </w:rPr>
        <w:t></w:t>
      </w:r>
      <w:r>
        <w:rPr>
          <w:rFonts w:ascii="Times New Roman" w:hAnsi="Times New Roman" w:cs="Times New Roman" w:eastAsia="Times New Roman" w:hint="default"/>
          <w:b w:val="0"/>
          <w:bCs w:val="0"/>
          <w:color w:val="767070"/>
          <w:spacing w:val="-49"/>
          <w:sz w:val="24"/>
          <w:szCs w:val="24"/>
        </w:rPr>
      </w:r>
      <w:r>
        <w:rPr>
          <w:rFonts w:ascii="Times New Roman" w:hAnsi="Times New Roman" w:cs="Times New Roman" w:eastAsia="Times New Roman" w:hint="default"/>
        </w:rPr>
        <w:t>2.3</w:t>
      </w:r>
      <w:r>
        <w:rPr>
          <w:rFonts w:ascii="Times New Roman" w:hAnsi="Times New Roman" w:cs="Times New Roman" w:eastAsia="Times New Roman" w:hint="default"/>
          <w:spacing w:val="-1"/>
        </w:rPr>
        <w:t> </w:t>
      </w:r>
      <w:r>
        <w:rPr/>
        <w:t>显著的学术研究</w:t>
      </w:r>
      <w:r>
        <w:rPr>
          <w:b w:val="0"/>
          <w:bCs w:val="0"/>
        </w:rPr>
      </w:r>
    </w:p>
    <w:p>
      <w:pPr>
        <w:spacing w:line="240" w:lineRule="auto" w:before="2"/>
        <w:rPr>
          <w:rFonts w:ascii="宋体" w:hAnsi="宋体" w:cs="宋体" w:eastAsia="宋体" w:hint="default"/>
          <w:b/>
          <w:bCs/>
          <w:sz w:val="11"/>
          <w:szCs w:val="11"/>
        </w:rPr>
      </w:pPr>
    </w:p>
    <w:p>
      <w:pPr>
        <w:pStyle w:val="BodyText"/>
        <w:spacing w:line="451" w:lineRule="auto" w:before="44"/>
        <w:ind w:left="6076" w:right="1130" w:firstLine="360"/>
        <w:jc w:val="both"/>
      </w:pPr>
      <w:r>
        <w:rPr/>
        <w:pict>
          <v:group style="position:absolute;margin-left:11.22pt;margin-top:-2.048279pt;width:290.4pt;height:412.4pt;mso-position-horizontal-relative:page;mso-position-vertical-relative:paragraph;z-index:1240" coordorigin="224,-41" coordsize="5808,8248">
            <v:shape style="position:absolute;left:224;top:-41;width:5808;height:8248" type="#_x0000_t75" stroked="false">
              <v:imagedata r:id="rId48" o:title=""/>
            </v:shape>
            <v:shape style="position:absolute;left:525;top:264;width:5206;height:7641" type="#_x0000_t75" stroked="false">
              <v:imagedata r:id="rId49" o:title=""/>
            </v:shape>
            <w10:wrap type="none"/>
          </v:group>
        </w:pict>
      </w:r>
      <w:r>
        <w:rPr>
          <w:rFonts w:ascii="Times New Roman" w:hAnsi="Times New Roman" w:cs="Times New Roman" w:eastAsia="Times New Roman" w:hint="default"/>
        </w:rPr>
        <w:t>A</w:t>
      </w:r>
      <w:r>
        <w:rPr/>
        <w:t>、公司成立人工智能研究院，由 </w:t>
      </w:r>
      <w:r>
        <w:rPr>
          <w:rFonts w:ascii="Times New Roman" w:hAnsi="Times New Roman" w:cs="Times New Roman" w:eastAsia="Times New Roman" w:hint="default"/>
        </w:rPr>
        <w:t>NLP</w:t>
      </w:r>
      <w:r>
        <w:rPr>
          <w:rFonts w:ascii="Times New Roman" w:hAnsi="Times New Roman" w:cs="Times New Roman" w:eastAsia="Times New Roman" w:hint="default"/>
          <w:spacing w:val="9"/>
        </w:rPr>
        <w:t> </w:t>
      </w:r>
      <w:r>
        <w:rPr/>
        <w:t>领域专家晋耀 红博士出任研究院院长，聘请</w:t>
      </w:r>
      <w:r>
        <w:rPr>
          <w:spacing w:val="-52"/>
        </w:rPr>
        <w:t> </w:t>
      </w:r>
      <w:r>
        <w:rPr>
          <w:rFonts w:ascii="Times New Roman" w:hAnsi="Times New Roman" w:cs="Times New Roman" w:eastAsia="Times New Roman" w:hint="default"/>
        </w:rPr>
        <w:t>ACL</w:t>
      </w:r>
      <w:r>
        <w:rPr>
          <w:rFonts w:ascii="Times New Roman" w:hAnsi="Times New Roman" w:cs="Times New Roman" w:eastAsia="Times New Roman" w:hint="default"/>
          <w:spacing w:val="-7"/>
        </w:rPr>
        <w:t> </w:t>
      </w:r>
      <w:r>
        <w:rPr/>
        <w:t>终身成就奖获得者李生 教授作为荣誉院长，负责</w:t>
      </w:r>
      <w:r>
        <w:rPr>
          <w:spacing w:val="-46"/>
        </w:rPr>
        <w:t> </w:t>
      </w:r>
      <w:r>
        <w:rPr>
          <w:rFonts w:ascii="Times New Roman" w:hAnsi="Times New Roman" w:cs="Times New Roman" w:eastAsia="Times New Roman" w:hint="default"/>
        </w:rPr>
        <w:t>NLP</w:t>
      </w:r>
      <w:r>
        <w:rPr>
          <w:rFonts w:ascii="Times New Roman" w:hAnsi="Times New Roman" w:cs="Times New Roman" w:eastAsia="Times New Roman" w:hint="default"/>
          <w:spacing w:val="-1"/>
        </w:rPr>
        <w:t> </w:t>
      </w:r>
      <w:r>
        <w:rPr/>
        <w:t>领域的基础技术研究。</w:t>
      </w:r>
    </w:p>
    <w:p>
      <w:pPr>
        <w:pStyle w:val="BodyText"/>
        <w:spacing w:line="463" w:lineRule="auto" w:before="43"/>
        <w:ind w:left="6076" w:right="1131" w:firstLine="360"/>
        <w:jc w:val="both"/>
      </w:pPr>
      <w:r>
        <w:rPr>
          <w:rFonts w:ascii="Times New Roman" w:hAnsi="Times New Roman" w:cs="Times New Roman" w:eastAsia="Times New Roman" w:hint="default"/>
          <w:spacing w:val="-2"/>
        </w:rPr>
        <w:t>B</w:t>
      </w:r>
      <w:r>
        <w:rPr>
          <w:spacing w:val="-2"/>
        </w:rPr>
        <w:t>、公司与北京师范大学中文信息处理研究所成立联合</w:t>
      </w:r>
      <w:r>
        <w:rPr/>
        <w:t> </w:t>
      </w:r>
      <w:r>
        <w:rPr>
          <w:spacing w:val="2"/>
        </w:rPr>
        <w:t>实验室，在语言学家许嘉璐先生的带领下，开展自然语言</w:t>
      </w:r>
      <w:r>
        <w:rPr>
          <w:spacing w:val="-77"/>
        </w:rPr>
        <w:t> </w:t>
      </w:r>
      <w:r>
        <w:rPr>
          <w:spacing w:val="-77"/>
        </w:rPr>
      </w:r>
      <w:r>
        <w:rPr/>
        <w:t>基础性研究与应用技术研究。</w:t>
      </w:r>
    </w:p>
    <w:p>
      <w:pPr>
        <w:pStyle w:val="BodyText"/>
        <w:spacing w:line="463" w:lineRule="auto" w:before="65"/>
        <w:ind w:left="6076" w:right="940" w:firstLine="360"/>
        <w:jc w:val="left"/>
      </w:pPr>
      <w:r>
        <w:rPr>
          <w:rFonts w:ascii="Times New Roman" w:hAnsi="Times New Roman" w:cs="Times New Roman" w:eastAsia="Times New Roman" w:hint="default"/>
          <w:spacing w:val="-2"/>
        </w:rPr>
        <w:t>C</w:t>
      </w:r>
      <w:r>
        <w:rPr>
          <w:spacing w:val="-2"/>
        </w:rPr>
        <w:t>、公司出任“中国智能写作产业联盟”副理事长单位，</w:t>
      </w:r>
      <w:r>
        <w:rPr/>
        <w:t> </w:t>
      </w:r>
      <w:r>
        <w:rPr>
          <w:spacing w:val="2"/>
        </w:rPr>
        <w:t>承担智能语义的基础技术研发，建设面向多行业、多领域</w:t>
      </w:r>
      <w:r>
        <w:rPr>
          <w:spacing w:val="-77"/>
        </w:rPr>
        <w:t> </w:t>
      </w:r>
      <w:r>
        <w:rPr>
          <w:spacing w:val="-77"/>
        </w:rPr>
      </w:r>
      <w:r>
        <w:rPr/>
        <w:t>的智能写作机器人处理平台。</w:t>
      </w:r>
    </w:p>
    <w:p>
      <w:pPr>
        <w:pStyle w:val="BodyText"/>
        <w:spacing w:line="451" w:lineRule="auto" w:before="65"/>
        <w:ind w:left="6076" w:right="1134" w:firstLine="360"/>
        <w:jc w:val="both"/>
      </w:pPr>
      <w:r>
        <w:rPr>
          <w:rFonts w:ascii="Times New Roman" w:hAnsi="Times New Roman" w:cs="Times New Roman" w:eastAsia="Times New Roman" w:hint="default"/>
          <w:spacing w:val="4"/>
        </w:rPr>
        <w:t>D</w:t>
      </w:r>
      <w:r>
        <w:rPr>
          <w:spacing w:val="4"/>
        </w:rPr>
        <w:t>、公司当选新一代人工智能产业技术创新战略联盟</w:t>
      </w:r>
      <w:r>
        <w:rPr/>
        <w:t> </w:t>
      </w:r>
      <w:r>
        <w:rPr>
          <w:rFonts w:ascii="Times New Roman" w:hAnsi="Times New Roman" w:cs="Times New Roman" w:eastAsia="Times New Roman" w:hint="default"/>
        </w:rPr>
        <w:t>NLP</w:t>
      </w:r>
      <w:r>
        <w:rPr>
          <w:rFonts w:ascii="Times New Roman" w:hAnsi="Times New Roman" w:cs="Times New Roman" w:eastAsia="Times New Roman" w:hint="default"/>
          <w:spacing w:val="3"/>
        </w:rPr>
        <w:t> </w:t>
      </w:r>
      <w:r>
        <w:rPr/>
        <w:t>推进组组长，联合百度、哈工大、达观数据等知名企 业共同推动</w:t>
      </w:r>
      <w:r>
        <w:rPr>
          <w:spacing w:val="-47"/>
        </w:rPr>
        <w:t> </w:t>
      </w:r>
      <w:r>
        <w:rPr>
          <w:rFonts w:ascii="Times New Roman" w:hAnsi="Times New Roman" w:cs="Times New Roman" w:eastAsia="Times New Roman" w:hint="default"/>
        </w:rPr>
        <w:t>NLP</w:t>
      </w:r>
      <w:r>
        <w:rPr>
          <w:rFonts w:ascii="Times New Roman" w:hAnsi="Times New Roman" w:cs="Times New Roman" w:eastAsia="Times New Roman" w:hint="default"/>
          <w:spacing w:val="-2"/>
        </w:rPr>
        <w:t> </w:t>
      </w:r>
      <w:r>
        <w:rPr/>
        <w:t>技术发展。</w:t>
      </w:r>
    </w:p>
    <w:p>
      <w:pPr>
        <w:pStyle w:val="BodyText"/>
        <w:spacing w:line="465" w:lineRule="auto" w:before="43"/>
        <w:ind w:left="6076" w:right="1036" w:firstLine="360"/>
        <w:jc w:val="left"/>
      </w:pPr>
      <w:r>
        <w:rPr>
          <w:rFonts w:ascii="Times New Roman" w:hAnsi="Times New Roman" w:cs="Times New Roman" w:eastAsia="Times New Roman" w:hint="default"/>
          <w:spacing w:val="-9"/>
        </w:rPr>
        <w:t>E</w:t>
      </w:r>
      <w:r>
        <w:rPr>
          <w:spacing w:val="-9"/>
        </w:rPr>
        <w:t>、智能写作是公司在</w:t>
      </w:r>
      <w:r>
        <w:rPr>
          <w:spacing w:val="-52"/>
        </w:rPr>
        <w:t> </w:t>
      </w:r>
      <w:r>
        <w:rPr>
          <w:rFonts w:ascii="Times New Roman" w:hAnsi="Times New Roman" w:cs="Times New Roman" w:eastAsia="Times New Roman" w:hint="default"/>
          <w:w w:val="99"/>
        </w:rPr>
        <w:t>NLP</w:t>
      </w:r>
      <w:r>
        <w:rPr>
          <w:rFonts w:ascii="Times New Roman" w:hAnsi="Times New Roman" w:cs="Times New Roman" w:eastAsia="Times New Roman" w:hint="default"/>
          <w:spacing w:val="-7"/>
          <w:w w:val="99"/>
        </w:rPr>
        <w:t> </w:t>
      </w:r>
      <w:r>
        <w:rPr/>
        <w:t>领域持续研究的课题之一， </w:t>
      </w:r>
      <w:r>
        <w:rPr>
          <w:spacing w:val="-1"/>
        </w:rPr>
        <w:t>写作机器人的研发工作将分领域场景进行，包括公文写作、</w:t>
      </w:r>
      <w:r>
        <w:rPr>
          <w:spacing w:val="-78"/>
        </w:rPr>
        <w:t> </w:t>
      </w:r>
      <w:r>
        <w:rPr>
          <w:spacing w:val="-78"/>
        </w:rPr>
      </w:r>
      <w:r>
        <w:rPr>
          <w:spacing w:val="2"/>
        </w:rPr>
        <w:t>股评写作、财经新闻写作、新闻（会议）摘要写作、调研</w:t>
      </w:r>
      <w:r>
        <w:rPr>
          <w:spacing w:val="-74"/>
        </w:rPr>
        <w:t> </w:t>
      </w:r>
      <w:r>
        <w:rPr>
          <w:spacing w:val="-74"/>
        </w:rPr>
      </w:r>
      <w:r>
        <w:rPr>
          <w:spacing w:val="2"/>
        </w:rPr>
        <w:t>报告写作、诗歌写作、合同自动生成等。这些写作机器人</w:t>
      </w:r>
      <w:r>
        <w:rPr>
          <w:spacing w:val="-77"/>
        </w:rPr>
        <w:t> </w:t>
      </w:r>
      <w:r>
        <w:rPr>
          <w:spacing w:val="-77"/>
        </w:rPr>
      </w:r>
      <w:r>
        <w:rPr/>
        <w:t>也将在泰岳语义工厂上，以</w:t>
      </w:r>
      <w:r>
        <w:rPr>
          <w:spacing w:val="-50"/>
        </w:rPr>
        <w:t> </w:t>
      </w:r>
      <w:r>
        <w:rPr>
          <w:rFonts w:ascii="Times New Roman" w:hAnsi="Times New Roman" w:cs="Times New Roman" w:eastAsia="Times New Roman" w:hint="default"/>
        </w:rPr>
        <w:t>SaaS</w:t>
      </w:r>
      <w:r>
        <w:rPr>
          <w:rFonts w:ascii="Times New Roman" w:hAnsi="Times New Roman" w:cs="Times New Roman" w:eastAsia="Times New Roman" w:hint="default"/>
          <w:spacing w:val="-5"/>
        </w:rPr>
        <w:t> </w:t>
      </w:r>
      <w:r>
        <w:rPr/>
        <w:t>服务接口的形式为广大企 业客户和行业应用开发商提供服务。</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spacing w:before="41"/>
        <w:ind w:left="1014" w:right="940" w:firstLine="0"/>
        <w:jc w:val="left"/>
        <w:rPr>
          <w:rFonts w:ascii="宋体" w:hAnsi="宋体" w:cs="宋体" w:eastAsia="宋体" w:hint="default"/>
          <w:sz w:val="19"/>
          <w:szCs w:val="19"/>
        </w:rPr>
      </w:pPr>
      <w:bookmarkStart w:name="3、ICT运营管理业务" w:id="20"/>
      <w:bookmarkEnd w:id="20"/>
      <w:r>
        <w:rPr/>
      </w:r>
      <w:r>
        <w:rPr>
          <w:rFonts w:ascii="Times New Roman" w:hAnsi="Times New Roman" w:cs="Times New Roman" w:eastAsia="Times New Roman" w:hint="default"/>
          <w:b/>
          <w:bCs/>
          <w:i/>
          <w:sz w:val="18"/>
          <w:szCs w:val="18"/>
        </w:rPr>
      </w:r>
      <w:r>
        <w:rPr>
          <w:rFonts w:ascii="Times New Roman" w:hAnsi="Times New Roman" w:cs="Times New Roman" w:eastAsia="Times New Roman" w:hint="default"/>
          <w:b/>
          <w:bCs/>
          <w:i/>
          <w:w w:val="95"/>
          <w:sz w:val="18"/>
          <w:szCs w:val="18"/>
          <w:u w:val="single" w:color="000000"/>
        </w:rPr>
        <w:t>3</w:t>
      </w:r>
      <w:r>
        <w:rPr>
          <w:rFonts w:ascii="宋体" w:hAnsi="宋体" w:cs="宋体" w:eastAsia="宋体" w:hint="default"/>
          <w:b/>
          <w:bCs/>
          <w:i/>
          <w:w w:val="95"/>
          <w:sz w:val="19"/>
          <w:szCs w:val="19"/>
          <w:u w:val="single" w:color="000000"/>
        </w:rPr>
        <w:t>、</w:t>
      </w:r>
      <w:r>
        <w:rPr>
          <w:rFonts w:ascii="Times New Roman" w:hAnsi="Times New Roman" w:cs="Times New Roman" w:eastAsia="Times New Roman" w:hint="default"/>
          <w:b/>
          <w:bCs/>
          <w:i/>
          <w:w w:val="95"/>
          <w:sz w:val="18"/>
          <w:szCs w:val="18"/>
          <w:u w:val="single" w:color="000000"/>
        </w:rPr>
        <w:t>ICT</w:t>
      </w:r>
      <w:r>
        <w:rPr>
          <w:rFonts w:ascii="Times New Roman" w:hAnsi="Times New Roman" w:cs="Times New Roman" w:eastAsia="Times New Roman" w:hint="default"/>
          <w:b/>
          <w:bCs/>
          <w:i/>
          <w:spacing w:val="17"/>
          <w:w w:val="95"/>
          <w:sz w:val="18"/>
          <w:szCs w:val="18"/>
          <w:u w:val="single" w:color="000000"/>
        </w:rPr>
        <w:t> </w:t>
      </w:r>
      <w:r>
        <w:rPr>
          <w:rFonts w:ascii="宋体" w:hAnsi="宋体" w:cs="宋体" w:eastAsia="宋体" w:hint="default"/>
          <w:b/>
          <w:bCs/>
          <w:i/>
          <w:w w:val="95"/>
          <w:sz w:val="19"/>
          <w:szCs w:val="19"/>
          <w:u w:val="single" w:color="000000"/>
        </w:rPr>
        <w:t>运营管理业务</w:t>
      </w:r>
      <w:r>
        <w:rPr>
          <w:rFonts w:ascii="宋体" w:hAnsi="宋体" w:cs="宋体" w:eastAsia="宋体" w:hint="default"/>
          <w:b/>
          <w:bCs/>
          <w:i/>
          <w:w w:val="95"/>
          <w:sz w:val="19"/>
          <w:szCs w:val="19"/>
        </w:rPr>
      </w:r>
      <w:r>
        <w:rPr>
          <w:rFonts w:ascii="宋体" w:hAnsi="宋体" w:cs="宋体" w:eastAsia="宋体" w:hint="default"/>
          <w:sz w:val="19"/>
          <w:szCs w:val="19"/>
        </w:rPr>
      </w:r>
    </w:p>
    <w:p>
      <w:pPr>
        <w:spacing w:line="240" w:lineRule="auto" w:before="4"/>
        <w:rPr>
          <w:rFonts w:ascii="宋体" w:hAnsi="宋体" w:cs="宋体" w:eastAsia="宋体" w:hint="default"/>
          <w:b/>
          <w:bCs/>
          <w:i/>
          <w:sz w:val="13"/>
          <w:szCs w:val="13"/>
        </w:rPr>
      </w:pPr>
    </w:p>
    <w:p>
      <w:pPr>
        <w:pStyle w:val="BodyText"/>
        <w:spacing w:line="451" w:lineRule="auto" w:before="44"/>
        <w:ind w:left="1014" w:right="1130" w:firstLine="360"/>
        <w:jc w:val="both"/>
      </w:pPr>
      <w:r>
        <w:rPr>
          <w:rFonts w:ascii="Times New Roman" w:hAnsi="Times New Roman" w:cs="Times New Roman" w:eastAsia="Times New Roman" w:hint="default"/>
        </w:rPr>
        <w:t>ICT </w:t>
      </w:r>
      <w:r>
        <w:rPr/>
        <w:t>是信息产业（</w:t>
      </w:r>
      <w:r>
        <w:rPr>
          <w:rFonts w:ascii="Times New Roman" w:hAnsi="Times New Roman" w:cs="Times New Roman" w:eastAsia="Times New Roman" w:hint="default"/>
        </w:rPr>
        <w:t>IT</w:t>
      </w:r>
      <w:r>
        <w:rPr/>
        <w:t>）与通信产业（</w:t>
      </w:r>
      <w:r>
        <w:rPr>
          <w:rFonts w:ascii="Times New Roman" w:hAnsi="Times New Roman" w:cs="Times New Roman" w:eastAsia="Times New Roman" w:hint="default"/>
        </w:rPr>
        <w:t>CT</w:t>
      </w:r>
      <w:r>
        <w:rPr/>
        <w:t>）的统称，</w:t>
      </w:r>
      <w:r>
        <w:rPr>
          <w:rFonts w:ascii="Times New Roman" w:hAnsi="Times New Roman" w:cs="Times New Roman" w:eastAsia="Times New Roman" w:hint="default"/>
        </w:rPr>
        <w:t>ICT </w:t>
      </w:r>
      <w:r>
        <w:rPr/>
        <w:t>运营管理即通过提供软件与服务等方式对 </w:t>
      </w:r>
      <w:r>
        <w:rPr>
          <w:rFonts w:ascii="Times New Roman" w:hAnsi="Times New Roman" w:cs="Times New Roman" w:eastAsia="Times New Roman" w:hint="default"/>
        </w:rPr>
        <w:t>ICT</w:t>
      </w:r>
      <w:r>
        <w:rPr>
          <w:rFonts w:ascii="Times New Roman" w:hAnsi="Times New Roman" w:cs="Times New Roman" w:eastAsia="Times New Roman" w:hint="default"/>
          <w:spacing w:val="39"/>
        </w:rPr>
        <w:t> </w:t>
      </w:r>
      <w:r>
        <w:rPr/>
        <w:t>基础设施、业务</w:t>
      </w:r>
      <w:r>
        <w:rPr>
          <w:w w:val="99"/>
        </w:rPr>
        <w:t> </w:t>
      </w:r>
      <w:r>
        <w:rPr/>
        <w:t>应用和运维体系进行全面的管理，保障 </w:t>
      </w:r>
      <w:r>
        <w:rPr>
          <w:rFonts w:ascii="Times New Roman" w:hAnsi="Times New Roman" w:cs="Times New Roman" w:eastAsia="Times New Roman" w:hint="default"/>
        </w:rPr>
        <w:t>ICT</w:t>
      </w:r>
      <w:r>
        <w:rPr>
          <w:rFonts w:ascii="Times New Roman" w:hAnsi="Times New Roman" w:cs="Times New Roman" w:eastAsia="Times New Roman" w:hint="default"/>
          <w:spacing w:val="32"/>
        </w:rPr>
        <w:t> </w:t>
      </w:r>
      <w:r>
        <w:rPr/>
        <w:t>系统安全、稳定、可靠、高效运行，包括信息安全、网络管理、运维管理、网</w:t>
      </w:r>
      <w:r>
        <w:rPr>
          <w:w w:val="99"/>
        </w:rPr>
        <w:t> </w:t>
      </w:r>
      <w:r>
        <w:rPr/>
        <w:t>络优化等主要子领域。</w:t>
      </w:r>
    </w:p>
    <w:p>
      <w:pPr>
        <w:spacing w:after="0" w:line="451" w:lineRule="auto"/>
        <w:jc w:val="both"/>
        <w:sectPr>
          <w:pgSz w:w="11910" w:h="16840"/>
          <w:pgMar w:header="851" w:footer="1187" w:top="1400" w:bottom="1380" w:left="120" w:right="0"/>
        </w:sectPr>
      </w:pPr>
    </w:p>
    <w:p>
      <w:pPr>
        <w:spacing w:line="240" w:lineRule="auto" w:before="1"/>
        <w:rPr>
          <w:rFonts w:ascii="宋体" w:hAnsi="宋体" w:cs="宋体" w:eastAsia="宋体" w:hint="default"/>
          <w:sz w:val="8"/>
          <w:szCs w:val="8"/>
        </w:rPr>
      </w:pPr>
    </w:p>
    <w:p>
      <w:pPr>
        <w:spacing w:line="451" w:lineRule="auto" w:before="44"/>
        <w:ind w:left="534" w:right="1130" w:firstLine="360"/>
        <w:jc w:val="both"/>
        <w:rPr>
          <w:rFonts w:ascii="宋体" w:hAnsi="宋体" w:cs="宋体" w:eastAsia="宋体" w:hint="default"/>
          <w:sz w:val="18"/>
          <w:szCs w:val="18"/>
        </w:rPr>
      </w:pPr>
      <w:r>
        <w:rPr>
          <w:rFonts w:ascii="宋体" w:hAnsi="宋体" w:cs="宋体" w:eastAsia="宋体" w:hint="default"/>
          <w:b/>
          <w:bCs/>
          <w:sz w:val="18"/>
          <w:szCs w:val="18"/>
        </w:rPr>
        <w:t>公司在</w:t>
      </w:r>
      <w:r>
        <w:rPr>
          <w:rFonts w:ascii="宋体" w:hAnsi="宋体" w:cs="宋体" w:eastAsia="宋体" w:hint="default"/>
          <w:b/>
          <w:bCs/>
          <w:spacing w:val="-67"/>
          <w:sz w:val="18"/>
          <w:szCs w:val="18"/>
        </w:rPr>
        <w:t> </w:t>
      </w:r>
      <w:r>
        <w:rPr>
          <w:rFonts w:ascii="Times New Roman" w:hAnsi="Times New Roman" w:cs="Times New Roman" w:eastAsia="Times New Roman" w:hint="default"/>
          <w:b/>
          <w:bCs/>
          <w:sz w:val="18"/>
          <w:szCs w:val="18"/>
        </w:rPr>
        <w:t>ICT</w:t>
      </w:r>
      <w:r>
        <w:rPr>
          <w:rFonts w:ascii="Times New Roman" w:hAnsi="Times New Roman" w:cs="Times New Roman" w:eastAsia="Times New Roman" w:hint="default"/>
          <w:b/>
          <w:bCs/>
          <w:spacing w:val="-22"/>
          <w:sz w:val="18"/>
          <w:szCs w:val="18"/>
        </w:rPr>
        <w:t> </w:t>
      </w:r>
      <w:r>
        <w:rPr>
          <w:rFonts w:ascii="宋体" w:hAnsi="宋体" w:cs="宋体" w:eastAsia="宋体" w:hint="default"/>
          <w:b/>
          <w:bCs/>
          <w:sz w:val="18"/>
          <w:szCs w:val="18"/>
        </w:rPr>
        <w:t>运营管理领域一直处于国内领先水平，连续数年蝉联中国</w:t>
      </w:r>
      <w:r>
        <w:rPr>
          <w:rFonts w:ascii="宋体" w:hAnsi="宋体" w:cs="宋体" w:eastAsia="宋体" w:hint="default"/>
          <w:b/>
          <w:bCs/>
          <w:spacing w:val="-67"/>
          <w:sz w:val="18"/>
          <w:szCs w:val="18"/>
        </w:rPr>
        <w:t> </w:t>
      </w:r>
      <w:r>
        <w:rPr>
          <w:rFonts w:ascii="Times New Roman" w:hAnsi="Times New Roman" w:cs="Times New Roman" w:eastAsia="Times New Roman" w:hint="default"/>
          <w:b/>
          <w:bCs/>
          <w:sz w:val="18"/>
          <w:szCs w:val="18"/>
        </w:rPr>
        <w:t>IT</w:t>
      </w:r>
      <w:r>
        <w:rPr>
          <w:rFonts w:ascii="Times New Roman" w:hAnsi="Times New Roman" w:cs="Times New Roman" w:eastAsia="Times New Roman" w:hint="default"/>
          <w:b/>
          <w:bCs/>
          <w:spacing w:val="-23"/>
          <w:sz w:val="18"/>
          <w:szCs w:val="18"/>
        </w:rPr>
        <w:t> </w:t>
      </w:r>
      <w:r>
        <w:rPr>
          <w:rFonts w:ascii="宋体" w:hAnsi="宋体" w:cs="宋体" w:eastAsia="宋体" w:hint="default"/>
          <w:b/>
          <w:bCs/>
          <w:sz w:val="18"/>
          <w:szCs w:val="18"/>
        </w:rPr>
        <w:t>服务管理市场占有率榜首。公司的核心技术和</w:t>
      </w:r>
      <w:r>
        <w:rPr>
          <w:rFonts w:ascii="宋体" w:hAnsi="宋体" w:cs="宋体" w:eastAsia="宋体" w:hint="default"/>
          <w:b/>
          <w:bCs/>
          <w:w w:val="99"/>
          <w:sz w:val="18"/>
          <w:szCs w:val="18"/>
        </w:rPr>
        <w:t> 产品拥有已超过 </w:t>
      </w:r>
      <w:r>
        <w:rPr>
          <w:rFonts w:ascii="Times New Roman" w:hAnsi="Times New Roman" w:cs="Times New Roman" w:eastAsia="Times New Roman" w:hint="default"/>
          <w:b/>
          <w:bCs/>
          <w:sz w:val="18"/>
          <w:szCs w:val="18"/>
        </w:rPr>
        <w:t>1,000</w:t>
      </w:r>
      <w:r>
        <w:rPr>
          <w:rFonts w:ascii="Times New Roman" w:hAnsi="Times New Roman" w:cs="Times New Roman" w:eastAsia="Times New Roman" w:hint="default"/>
          <w:b/>
          <w:bCs/>
          <w:spacing w:val="-2"/>
          <w:sz w:val="18"/>
          <w:szCs w:val="18"/>
        </w:rPr>
        <w:t> </w:t>
      </w:r>
      <w:r>
        <w:rPr>
          <w:rFonts w:ascii="宋体" w:hAnsi="宋体" w:cs="宋体" w:eastAsia="宋体" w:hint="default"/>
          <w:b/>
          <w:bCs/>
          <w:spacing w:val="-2"/>
          <w:w w:val="99"/>
          <w:sz w:val="18"/>
          <w:szCs w:val="18"/>
        </w:rPr>
        <w:t>项的计算机软件著作权、数百项授权专利。</w:t>
      </w:r>
      <w:r>
        <w:rPr>
          <w:rFonts w:ascii="宋体" w:hAnsi="宋体" w:cs="宋体" w:eastAsia="宋体" w:hint="default"/>
          <w:spacing w:val="-2"/>
          <w:w w:val="99"/>
          <w:sz w:val="18"/>
          <w:szCs w:val="18"/>
        </w:rPr>
        <w:t>在人工智能、云计算、大数据、</w:t>
      </w:r>
      <w:r>
        <w:rPr>
          <w:rFonts w:ascii="Times New Roman" w:hAnsi="Times New Roman" w:cs="Times New Roman" w:eastAsia="Times New Roman" w:hint="default"/>
          <w:b/>
          <w:bCs/>
          <w:spacing w:val="-2"/>
          <w:w w:val="99"/>
          <w:sz w:val="18"/>
          <w:szCs w:val="18"/>
        </w:rPr>
        <w:t>SDN</w:t>
      </w:r>
      <w:r>
        <w:rPr>
          <w:rFonts w:ascii="宋体" w:hAnsi="宋体" w:cs="宋体" w:eastAsia="宋体" w:hint="default"/>
          <w:spacing w:val="-2"/>
          <w:w w:val="99"/>
          <w:sz w:val="18"/>
          <w:szCs w:val="18"/>
        </w:rPr>
        <w:t>（软件定义网络）、</w:t>
      </w:r>
      <w:r>
        <w:rPr>
          <w:rFonts w:ascii="宋体" w:hAnsi="宋体" w:cs="宋体" w:eastAsia="宋体" w:hint="default"/>
          <w:sz w:val="18"/>
          <w:szCs w:val="18"/>
        </w:rPr>
        <w:t> </w:t>
      </w:r>
      <w:r>
        <w:rPr>
          <w:rFonts w:ascii="Times New Roman" w:hAnsi="Times New Roman" w:cs="Times New Roman" w:eastAsia="Times New Roman" w:hint="default"/>
          <w:b/>
          <w:bCs/>
          <w:sz w:val="18"/>
          <w:szCs w:val="18"/>
        </w:rPr>
        <w:t>NFV</w:t>
      </w:r>
      <w:r>
        <w:rPr>
          <w:rFonts w:ascii="宋体" w:hAnsi="宋体" w:cs="宋体" w:eastAsia="宋体" w:hint="default"/>
          <w:sz w:val="18"/>
          <w:szCs w:val="18"/>
        </w:rPr>
        <w:t>（网络虚拟化）等新架构、新技术的推动下，以及</w:t>
      </w:r>
      <w:r>
        <w:rPr>
          <w:rFonts w:ascii="宋体" w:hAnsi="宋体" w:cs="宋体" w:eastAsia="宋体" w:hint="default"/>
          <w:spacing w:val="-70"/>
          <w:sz w:val="18"/>
          <w:szCs w:val="18"/>
        </w:rPr>
        <w:t> </w:t>
      </w:r>
      <w:r>
        <w:rPr>
          <w:rFonts w:ascii="Times New Roman" w:hAnsi="Times New Roman" w:cs="Times New Roman" w:eastAsia="Times New Roman" w:hint="default"/>
          <w:b/>
          <w:bCs/>
          <w:sz w:val="18"/>
          <w:szCs w:val="18"/>
        </w:rPr>
        <w:t>5G</w:t>
      </w:r>
      <w:r>
        <w:rPr>
          <w:rFonts w:ascii="Times New Roman" w:hAnsi="Times New Roman" w:cs="Times New Roman" w:eastAsia="Times New Roman" w:hint="default"/>
          <w:b/>
          <w:bCs/>
          <w:spacing w:val="-25"/>
          <w:sz w:val="18"/>
          <w:szCs w:val="18"/>
        </w:rPr>
        <w:t> </w:t>
      </w:r>
      <w:r>
        <w:rPr>
          <w:rFonts w:ascii="宋体" w:hAnsi="宋体" w:cs="宋体" w:eastAsia="宋体" w:hint="default"/>
          <w:sz w:val="18"/>
          <w:szCs w:val="18"/>
        </w:rPr>
        <w:t>建设的推进，电信网络的规模和复杂度不断升级，对运营管理的 刚性需求越来越强烈、空间越来越大，为公司</w:t>
      </w:r>
      <w:r>
        <w:rPr>
          <w:rFonts w:ascii="宋体" w:hAnsi="宋体" w:cs="宋体" w:eastAsia="宋体" w:hint="default"/>
          <w:spacing w:val="-47"/>
          <w:sz w:val="18"/>
          <w:szCs w:val="18"/>
        </w:rPr>
        <w:t> </w:t>
      </w:r>
      <w:r>
        <w:rPr>
          <w:rFonts w:ascii="Times New Roman" w:hAnsi="Times New Roman" w:cs="Times New Roman" w:eastAsia="Times New Roman" w:hint="default"/>
          <w:b/>
          <w:bCs/>
          <w:sz w:val="18"/>
          <w:szCs w:val="18"/>
        </w:rPr>
        <w:t>ICT </w:t>
      </w:r>
      <w:r>
        <w:rPr>
          <w:rFonts w:ascii="宋体" w:hAnsi="宋体" w:cs="宋体" w:eastAsia="宋体" w:hint="default"/>
          <w:sz w:val="18"/>
          <w:szCs w:val="18"/>
        </w:rPr>
        <w:t>运营管理业务提供了持续发展的机遇。</w:t>
      </w:r>
    </w:p>
    <w:p>
      <w:pPr>
        <w:spacing w:line="240" w:lineRule="auto" w:before="6"/>
        <w:rPr>
          <w:rFonts w:ascii="宋体" w:hAnsi="宋体" w:cs="宋体" w:eastAsia="宋体" w:hint="default"/>
          <w:sz w:val="5"/>
          <w:szCs w:val="5"/>
        </w:rPr>
      </w:pPr>
    </w:p>
    <w:p>
      <w:pPr>
        <w:spacing w:line="8318" w:lineRule="exact"/>
        <w:ind w:left="450" w:right="0" w:firstLine="0"/>
        <w:rPr>
          <w:rFonts w:ascii="宋体" w:hAnsi="宋体" w:cs="宋体" w:eastAsia="宋体" w:hint="default"/>
          <w:sz w:val="20"/>
          <w:szCs w:val="20"/>
        </w:rPr>
      </w:pPr>
      <w:r>
        <w:rPr>
          <w:rFonts w:ascii="宋体" w:hAnsi="宋体" w:cs="宋体" w:eastAsia="宋体" w:hint="default"/>
          <w:position w:val="-165"/>
          <w:sz w:val="20"/>
          <w:szCs w:val="20"/>
        </w:rPr>
        <w:drawing>
          <wp:inline distT="0" distB="0" distL="0" distR="0">
            <wp:extent cx="6205053" cy="5282374"/>
            <wp:effectExtent l="0" t="0" r="0" b="0"/>
            <wp:docPr id="55" name="image43.jpeg" descr=""/>
            <wp:cNvGraphicFramePr>
              <a:graphicFrameLocks noChangeAspect="1"/>
            </wp:cNvGraphicFramePr>
            <a:graphic>
              <a:graphicData uri="http://schemas.openxmlformats.org/drawingml/2006/picture">
                <pic:pic>
                  <pic:nvPicPr>
                    <pic:cNvPr id="56" name="image43.jpeg"/>
                    <pic:cNvPicPr/>
                  </pic:nvPicPr>
                  <pic:blipFill>
                    <a:blip r:embed="rId50" cstate="print"/>
                    <a:stretch>
                      <a:fillRect/>
                    </a:stretch>
                  </pic:blipFill>
                  <pic:spPr>
                    <a:xfrm>
                      <a:off x="0" y="0"/>
                      <a:ext cx="6205053" cy="5282374"/>
                    </a:xfrm>
                    <a:prstGeom prst="rect">
                      <a:avLst/>
                    </a:prstGeom>
                  </pic:spPr>
                </pic:pic>
              </a:graphicData>
            </a:graphic>
          </wp:inline>
        </w:drawing>
      </w:r>
      <w:r>
        <w:rPr>
          <w:rFonts w:ascii="宋体" w:hAnsi="宋体" w:cs="宋体" w:eastAsia="宋体" w:hint="default"/>
          <w:position w:val="-165"/>
          <w:sz w:val="20"/>
          <w:szCs w:val="20"/>
        </w:rPr>
      </w:r>
    </w:p>
    <w:p>
      <w:pPr>
        <w:pStyle w:val="Heading5"/>
        <w:spacing w:line="240" w:lineRule="auto" w:before="120"/>
        <w:ind w:left="4137" w:right="4373"/>
        <w:jc w:val="center"/>
        <w:rPr>
          <w:b w:val="0"/>
          <w:bCs w:val="0"/>
        </w:rPr>
      </w:pPr>
      <w:r>
        <w:rPr/>
        <w:t>（公司</w:t>
      </w:r>
      <w:r>
        <w:rPr>
          <w:spacing w:val="-47"/>
        </w:rPr>
        <w:t> </w:t>
      </w:r>
      <w:r>
        <w:rPr>
          <w:rFonts w:ascii="Times New Roman" w:hAnsi="Times New Roman" w:cs="Times New Roman" w:eastAsia="Times New Roman" w:hint="default"/>
        </w:rPr>
        <w:t>ICT</w:t>
      </w:r>
      <w:r>
        <w:rPr>
          <w:rFonts w:ascii="Times New Roman" w:hAnsi="Times New Roman" w:cs="Times New Roman" w:eastAsia="Times New Roman" w:hint="default"/>
          <w:spacing w:val="-3"/>
        </w:rPr>
        <w:t> </w:t>
      </w:r>
      <w:r>
        <w:rPr/>
        <w:t>运营管理业务全景图）</w:t>
      </w:r>
      <w:r>
        <w:rPr>
          <w:b w:val="0"/>
          <w:bCs w:val="0"/>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5"/>
        <w:rPr>
          <w:rFonts w:ascii="宋体" w:hAnsi="宋体" w:cs="宋体" w:eastAsia="宋体" w:hint="default"/>
          <w:b/>
          <w:bCs/>
          <w:sz w:val="17"/>
          <w:szCs w:val="17"/>
        </w:rPr>
      </w:pPr>
    </w:p>
    <w:p>
      <w:pPr>
        <w:pStyle w:val="Heading5"/>
        <w:spacing w:line="240" w:lineRule="auto"/>
        <w:ind w:left="114" w:right="1032"/>
        <w:jc w:val="left"/>
        <w:rPr>
          <w:b w:val="0"/>
          <w:bCs w:val="0"/>
        </w:rPr>
      </w:pPr>
      <w:r>
        <w:rPr>
          <w:rFonts w:ascii="Wingdings" w:hAnsi="Wingdings" w:cs="Wingdings" w:eastAsia="Wingdings" w:hint="default"/>
          <w:b w:val="0"/>
          <w:bCs w:val="0"/>
          <w:color w:val="767070"/>
          <w:sz w:val="24"/>
          <w:szCs w:val="24"/>
        </w:rPr>
        <w:t></w:t>
      </w:r>
      <w:r>
        <w:rPr>
          <w:rFonts w:ascii="Times New Roman" w:hAnsi="Times New Roman" w:cs="Times New Roman" w:eastAsia="Times New Roman" w:hint="default"/>
          <w:b w:val="0"/>
          <w:bCs w:val="0"/>
          <w:color w:val="767070"/>
          <w:sz w:val="24"/>
          <w:szCs w:val="24"/>
        </w:rPr>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核心的竞争优势</w:t>
      </w:r>
      <w:r>
        <w:rPr>
          <w:b w:val="0"/>
          <w:bCs w:val="0"/>
        </w:rPr>
      </w:r>
    </w:p>
    <w:p>
      <w:pPr>
        <w:pStyle w:val="BodyText"/>
        <w:spacing w:line="451" w:lineRule="auto" w:before="190"/>
        <w:ind w:left="894" w:right="1032" w:firstLine="1"/>
        <w:jc w:val="left"/>
      </w:pPr>
      <w:r>
        <w:rPr>
          <w:rFonts w:ascii="Times New Roman" w:hAnsi="Times New Roman" w:cs="Times New Roman" w:eastAsia="Times New Roman" w:hint="default"/>
          <w:b/>
          <w:bCs/>
        </w:rPr>
        <w:t>A</w:t>
      </w:r>
      <w:r>
        <w:rPr>
          <w:rFonts w:ascii="宋体" w:hAnsi="宋体" w:cs="宋体" w:eastAsia="宋体" w:hint="default"/>
          <w:b/>
          <w:bCs/>
        </w:rPr>
        <w:t>、客户资源优势</w:t>
      </w:r>
      <w:r>
        <w:rPr>
          <w:rFonts w:ascii="宋体" w:hAnsi="宋体" w:cs="宋体" w:eastAsia="宋体" w:hint="default"/>
          <w:b/>
          <w:bCs/>
          <w:w w:val="99"/>
        </w:rPr>
        <w:t> </w:t>
      </w:r>
      <w:r>
        <w:rPr>
          <w:spacing w:val="-1"/>
        </w:rPr>
        <w:t>公司是中国移动、中国联通、中国电信的长期战略合作伙伴，是中国通信标准化协会（</w:t>
      </w:r>
      <w:r>
        <w:rPr>
          <w:rFonts w:ascii="Times New Roman" w:hAnsi="Times New Roman" w:cs="Times New Roman" w:eastAsia="Times New Roman" w:hint="default"/>
          <w:spacing w:val="-1"/>
        </w:rPr>
        <w:t>CCSA</w:t>
      </w:r>
      <w:r>
        <w:rPr>
          <w:spacing w:val="-1"/>
        </w:rPr>
        <w:t>）全权会员，是中国移动</w:t>
      </w:r>
    </w:p>
    <w:p>
      <w:pPr>
        <w:pStyle w:val="BodyText"/>
        <w:spacing w:line="451" w:lineRule="auto" w:before="44"/>
        <w:ind w:left="534" w:right="1117"/>
        <w:jc w:val="left"/>
      </w:pPr>
      <w:r>
        <w:rPr/>
        <w:t>业务支撑网运营管理系统和 </w:t>
      </w:r>
      <w:r>
        <w:rPr>
          <w:rFonts w:ascii="Times New Roman" w:hAnsi="Times New Roman" w:cs="Times New Roman" w:eastAsia="Times New Roman" w:hint="default"/>
        </w:rPr>
        <w:t>OSS</w:t>
      </w:r>
      <w:r>
        <w:rPr>
          <w:rFonts w:ascii="Times New Roman" w:hAnsi="Times New Roman" w:cs="Times New Roman" w:eastAsia="Times New Roman" w:hint="default"/>
          <w:spacing w:val="-10"/>
        </w:rPr>
        <w:t> </w:t>
      </w:r>
      <w:r>
        <w:rPr/>
        <w:t>运维规范的主要参与者之一。在金融、保险、政府等领域也拥有很多高端客户，包括：建 设银行、农业银行、民生银行、光大银行、中信证券、国家开发银行、中国人寿等等。</w:t>
      </w:r>
    </w:p>
    <w:p>
      <w:pPr>
        <w:spacing w:after="0" w:line="451" w:lineRule="auto"/>
        <w:jc w:val="left"/>
        <w:sectPr>
          <w:pgSz w:w="11910" w:h="16840"/>
          <w:pgMar w:header="851" w:footer="1187" w:top="1400" w:bottom="1380" w:left="600" w:right="0"/>
        </w:sectPr>
      </w:pPr>
    </w:p>
    <w:p>
      <w:pPr>
        <w:spacing w:line="240" w:lineRule="auto" w:before="1"/>
        <w:rPr>
          <w:rFonts w:ascii="宋体" w:hAnsi="宋体" w:cs="宋体" w:eastAsia="宋体" w:hint="default"/>
          <w:sz w:val="8"/>
          <w:szCs w:val="8"/>
        </w:rPr>
      </w:pPr>
    </w:p>
    <w:p>
      <w:pPr>
        <w:pStyle w:val="Heading5"/>
        <w:spacing w:line="240" w:lineRule="auto" w:before="44"/>
        <w:ind w:left="515" w:right="0"/>
        <w:jc w:val="left"/>
        <w:rPr>
          <w:b w:val="0"/>
          <w:bCs w:val="0"/>
        </w:rPr>
      </w:pPr>
      <w:r>
        <w:rPr>
          <w:rFonts w:ascii="Times New Roman" w:hAnsi="Times New Roman" w:cs="Times New Roman" w:eastAsia="Times New Roman" w:hint="default"/>
        </w:rPr>
        <w:t>B</w:t>
      </w:r>
      <w:r>
        <w:rPr/>
        <w:t>、业界最全的</w:t>
      </w:r>
      <w:r>
        <w:rPr>
          <w:spacing w:val="-49"/>
        </w:rPr>
        <w:t> </w:t>
      </w:r>
      <w:r>
        <w:rPr>
          <w:rFonts w:ascii="Times New Roman" w:hAnsi="Times New Roman" w:cs="Times New Roman" w:eastAsia="Times New Roman" w:hint="default"/>
        </w:rPr>
        <w:t>ICT</w:t>
      </w:r>
      <w:r>
        <w:rPr>
          <w:rFonts w:ascii="Times New Roman" w:hAnsi="Times New Roman" w:cs="Times New Roman" w:eastAsia="Times New Roman" w:hint="default"/>
          <w:spacing w:val="-5"/>
        </w:rPr>
        <w:t> </w:t>
      </w:r>
      <w:r>
        <w:rPr/>
        <w:t>运营产品线及综合性可持续服务能力</w:t>
      </w:r>
      <w:r>
        <w:rPr>
          <w:b w:val="0"/>
          <w:bCs w:val="0"/>
        </w:rPr>
      </w:r>
    </w:p>
    <w:p>
      <w:pPr>
        <w:spacing w:line="240" w:lineRule="auto" w:before="9"/>
        <w:rPr>
          <w:rFonts w:ascii="宋体" w:hAnsi="宋体" w:cs="宋体" w:eastAsia="宋体" w:hint="default"/>
          <w:b/>
          <w:bCs/>
          <w:sz w:val="16"/>
          <w:szCs w:val="16"/>
        </w:rPr>
      </w:pPr>
    </w:p>
    <w:p>
      <w:pPr>
        <w:pStyle w:val="BodyText"/>
        <w:spacing w:line="451" w:lineRule="auto"/>
        <w:ind w:right="1130" w:firstLine="360"/>
        <w:jc w:val="both"/>
      </w:pPr>
      <w:r>
        <w:rPr/>
        <w:t>公司</w:t>
      </w:r>
      <w:r>
        <w:rPr>
          <w:spacing w:val="-46"/>
        </w:rPr>
        <w:t> </w:t>
      </w:r>
      <w:r>
        <w:rPr>
          <w:rFonts w:ascii="Times New Roman" w:hAnsi="Times New Roman" w:cs="Times New Roman" w:eastAsia="Times New Roman" w:hint="default"/>
        </w:rPr>
        <w:t>ICT</w:t>
      </w:r>
      <w:r>
        <w:rPr>
          <w:rFonts w:ascii="Times New Roman" w:hAnsi="Times New Roman" w:cs="Times New Roman" w:eastAsia="Times New Roman" w:hint="default"/>
          <w:spacing w:val="-1"/>
        </w:rPr>
        <w:t> </w:t>
      </w:r>
      <w:r>
        <w:rPr/>
        <w:t>运营体系涵盖</w:t>
      </w:r>
      <w:r>
        <w:rPr>
          <w:spacing w:val="-46"/>
        </w:rPr>
        <w:t> </w:t>
      </w:r>
      <w:r>
        <w:rPr>
          <w:rFonts w:ascii="Times New Roman" w:hAnsi="Times New Roman" w:cs="Times New Roman" w:eastAsia="Times New Roman" w:hint="default"/>
        </w:rPr>
        <w:t>IT</w:t>
      </w:r>
      <w:r>
        <w:rPr>
          <w:rFonts w:ascii="Times New Roman" w:hAnsi="Times New Roman" w:cs="Times New Roman" w:eastAsia="Times New Roman" w:hint="default"/>
          <w:spacing w:val="-1"/>
        </w:rPr>
        <w:t> </w:t>
      </w:r>
      <w:r>
        <w:rPr/>
        <w:t>网管、通信专业网管、流程管理、信息安全管理、拨测及网络优化、移动互联网运营、融合 通讯等众多领域。长期持续为电信、金融、能源等大客户提供</w:t>
      </w:r>
      <w:r>
        <w:rPr>
          <w:spacing w:val="-45"/>
        </w:rPr>
        <w:t> </w:t>
      </w:r>
      <w:r>
        <w:rPr>
          <w:rFonts w:ascii="Times New Roman" w:hAnsi="Times New Roman" w:cs="Times New Roman" w:eastAsia="Times New Roman" w:hint="default"/>
        </w:rPr>
        <w:t>ICT</w:t>
      </w:r>
      <w:r>
        <w:rPr>
          <w:rFonts w:ascii="Times New Roman" w:hAnsi="Times New Roman" w:cs="Times New Roman" w:eastAsia="Times New Roman" w:hint="default"/>
          <w:spacing w:val="-1"/>
        </w:rPr>
        <w:t> </w:t>
      </w:r>
      <w:r>
        <w:rPr/>
        <w:t>运营管理服务，可提供</w:t>
      </w:r>
      <w:r>
        <w:rPr>
          <w:spacing w:val="-46"/>
        </w:rPr>
        <w:t> </w:t>
      </w:r>
      <w:r>
        <w:rPr>
          <w:rFonts w:ascii="Times New Roman" w:hAnsi="Times New Roman" w:cs="Times New Roman" w:eastAsia="Times New Roman" w:hint="default"/>
        </w:rPr>
        <w:t>7*24</w:t>
      </w:r>
      <w:r>
        <w:rPr>
          <w:rFonts w:ascii="Times New Roman" w:hAnsi="Times New Roman" w:cs="Times New Roman" w:eastAsia="Times New Roman" w:hint="default"/>
          <w:spacing w:val="-1"/>
        </w:rPr>
        <w:t> </w:t>
      </w:r>
      <w:r>
        <w:rPr/>
        <w:t>的电信级运营服务保障。</w:t>
      </w:r>
    </w:p>
    <w:p>
      <w:pPr>
        <w:pStyle w:val="Heading5"/>
        <w:spacing w:line="240" w:lineRule="auto" w:before="44"/>
        <w:ind w:left="515" w:right="0"/>
        <w:jc w:val="left"/>
        <w:rPr>
          <w:b w:val="0"/>
          <w:bCs w:val="0"/>
        </w:rPr>
      </w:pPr>
      <w:r>
        <w:rPr>
          <w:rFonts w:ascii="Times New Roman" w:hAnsi="Times New Roman" w:cs="Times New Roman" w:eastAsia="Times New Roman" w:hint="default"/>
        </w:rPr>
        <w:t>C</w:t>
      </w:r>
      <w:r>
        <w:rPr/>
        <w:t>、强大的研发实力和技术储备</w:t>
      </w:r>
      <w:r>
        <w:rPr>
          <w:b w:val="0"/>
          <w:bCs w:val="0"/>
        </w:rPr>
      </w:r>
    </w:p>
    <w:p>
      <w:pPr>
        <w:spacing w:line="240" w:lineRule="auto" w:before="9"/>
        <w:rPr>
          <w:rFonts w:ascii="宋体" w:hAnsi="宋体" w:cs="宋体" w:eastAsia="宋体" w:hint="default"/>
          <w:b/>
          <w:bCs/>
          <w:sz w:val="16"/>
          <w:szCs w:val="16"/>
        </w:rPr>
      </w:pPr>
    </w:p>
    <w:p>
      <w:pPr>
        <w:pStyle w:val="BodyText"/>
        <w:spacing w:line="451" w:lineRule="auto"/>
        <w:ind w:right="1130" w:firstLine="360"/>
        <w:jc w:val="both"/>
      </w:pPr>
      <w:r>
        <w:rPr/>
        <w:t>公司在 </w:t>
      </w:r>
      <w:r>
        <w:rPr>
          <w:rFonts w:ascii="Times New Roman" w:hAnsi="Times New Roman" w:cs="Times New Roman" w:eastAsia="Times New Roman" w:hint="default"/>
        </w:rPr>
        <w:t>ICT</w:t>
      </w:r>
      <w:r>
        <w:rPr>
          <w:rFonts w:ascii="Times New Roman" w:hAnsi="Times New Roman" w:cs="Times New Roman" w:eastAsia="Times New Roman" w:hint="default"/>
          <w:spacing w:val="33"/>
        </w:rPr>
        <w:t> </w:t>
      </w:r>
      <w:r>
        <w:rPr/>
        <w:t>业务领域整体技术研发能力获国家认可，获评国家级企业技术中心、北京市智能运维工程实验室，国家信 </w:t>
      </w:r>
      <w:r>
        <w:rPr>
          <w:spacing w:val="-2"/>
          <w:w w:val="99"/>
        </w:rPr>
        <w:t>息技术服务标准（</w:t>
      </w:r>
      <w:r>
        <w:rPr>
          <w:rFonts w:ascii="Times New Roman" w:hAnsi="Times New Roman" w:cs="Times New Roman" w:eastAsia="Times New Roman" w:hint="default"/>
          <w:spacing w:val="-2"/>
          <w:w w:val="99"/>
        </w:rPr>
        <w:t>ITSS</w:t>
      </w:r>
      <w:r>
        <w:rPr>
          <w:spacing w:val="-2"/>
          <w:w w:val="99"/>
        </w:rPr>
        <w:t>）二级企业，通过国际软件成熟度模型集成最高等级认证（</w:t>
      </w:r>
      <w:r>
        <w:rPr>
          <w:rFonts w:ascii="Times New Roman" w:hAnsi="Times New Roman" w:cs="Times New Roman" w:eastAsia="Times New Roman" w:hint="default"/>
          <w:spacing w:val="-2"/>
          <w:w w:val="99"/>
        </w:rPr>
        <w:t>CMMI</w:t>
      </w:r>
      <w:r>
        <w:rPr>
          <w:rFonts w:ascii="Times New Roman" w:hAnsi="Times New Roman" w:cs="Times New Roman" w:eastAsia="Times New Roman" w:hint="default"/>
          <w:spacing w:val="15"/>
          <w:w w:val="99"/>
        </w:rPr>
        <w:t> </w:t>
      </w:r>
      <w:r>
        <w:rPr>
          <w:rFonts w:ascii="Times New Roman" w:hAnsi="Times New Roman" w:cs="Times New Roman" w:eastAsia="Times New Roman" w:hint="default"/>
          <w:spacing w:val="-18"/>
          <w:w w:val="99"/>
        </w:rPr>
        <w:t>L5</w:t>
      </w:r>
      <w:r>
        <w:rPr>
          <w:spacing w:val="-18"/>
          <w:w w:val="99"/>
        </w:rPr>
        <w:t>），参与</w:t>
      </w:r>
      <w:r>
        <w:rPr>
          <w:spacing w:val="-31"/>
          <w:w w:val="99"/>
        </w:rPr>
        <w:t> </w:t>
      </w:r>
      <w:r>
        <w:rPr>
          <w:rFonts w:ascii="Times New Roman" w:hAnsi="Times New Roman" w:cs="Times New Roman" w:eastAsia="Times New Roman" w:hint="default"/>
          <w:spacing w:val="-2"/>
          <w:w w:val="99"/>
        </w:rPr>
        <w:t>ITSS</w:t>
      </w:r>
      <w:r>
        <w:rPr>
          <w:spacing w:val="-2"/>
          <w:w w:val="99"/>
        </w:rPr>
        <w:t>、信息技术服务治</w:t>
      </w:r>
      <w:r>
        <w:rPr>
          <w:spacing w:val="-85"/>
          <w:w w:val="99"/>
        </w:rPr>
        <w:t> </w:t>
      </w:r>
      <w:r>
        <w:rPr>
          <w:spacing w:val="-85"/>
          <w:w w:val="99"/>
        </w:rPr>
      </w:r>
      <w:r>
        <w:rPr/>
        <w:t>理等国家标准以及多项行业标准制定、曾承担“核高基”、“新一代”等国家重点课题。</w:t>
      </w:r>
    </w:p>
    <w:p>
      <w:pPr>
        <w:spacing w:line="451" w:lineRule="auto" w:before="74"/>
        <w:ind w:left="514" w:right="1113"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D</w:t>
      </w:r>
      <w:r>
        <w:rPr>
          <w:rFonts w:ascii="宋体" w:hAnsi="宋体" w:cs="宋体" w:eastAsia="宋体" w:hint="default"/>
          <w:b/>
          <w:bCs/>
          <w:sz w:val="18"/>
          <w:szCs w:val="18"/>
        </w:rPr>
        <w:t>、大规模并行实施全国性复杂项目的建设和交付能力</w:t>
      </w:r>
      <w:r>
        <w:rPr>
          <w:rFonts w:ascii="宋体" w:hAnsi="宋体" w:cs="宋体" w:eastAsia="宋体" w:hint="default"/>
          <w:b/>
          <w:bCs/>
          <w:w w:val="99"/>
          <w:sz w:val="18"/>
          <w:szCs w:val="18"/>
        </w:rPr>
        <w:t> </w:t>
      </w:r>
      <w:r>
        <w:rPr>
          <w:rFonts w:ascii="宋体" w:hAnsi="宋体" w:cs="宋体" w:eastAsia="宋体" w:hint="default"/>
          <w:sz w:val="18"/>
          <w:szCs w:val="18"/>
        </w:rPr>
        <w:t>公司具有建设和运营亿级客户互联网平台的项目经验，曾承担中国移动数据网管项目的全国</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省份及南方基地建设、</w:t>
      </w:r>
    </w:p>
    <w:p>
      <w:pPr>
        <w:pStyle w:val="BodyText"/>
        <w:spacing w:line="240" w:lineRule="auto" w:before="43"/>
        <w:ind w:right="0"/>
        <w:jc w:val="left"/>
      </w:pPr>
      <w:r>
        <w:rPr/>
        <w:t>中国移动</w:t>
      </w:r>
      <w:r>
        <w:rPr>
          <w:spacing w:val="-43"/>
        </w:rPr>
        <w:t> </w:t>
      </w:r>
      <w:r>
        <w:rPr>
          <w:rFonts w:ascii="Times New Roman" w:hAnsi="Times New Roman" w:cs="Times New Roman" w:eastAsia="Times New Roman" w:hint="default"/>
        </w:rPr>
        <w:t>IT</w:t>
      </w:r>
      <w:r>
        <w:rPr>
          <w:rFonts w:ascii="Times New Roman" w:hAnsi="Times New Roman" w:cs="Times New Roman" w:eastAsia="Times New Roman" w:hint="default"/>
          <w:spacing w:val="2"/>
        </w:rPr>
        <w:t> </w:t>
      </w:r>
      <w:r>
        <w:rPr/>
        <w:t>网管项目（涉及国内</w:t>
      </w:r>
      <w:r>
        <w:rPr>
          <w:spacing w:val="-4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个省</w:t>
      </w:r>
      <w:r>
        <w:rPr>
          <w:spacing w:val="1"/>
        </w:rPr>
        <w:t>共</w:t>
      </w:r>
      <w:r>
        <w:rPr/>
        <w:t>计</w:t>
      </w:r>
      <w:r>
        <w:rPr>
          <w:spacing w:val="-44"/>
        </w:rPr>
        <w:t> </w:t>
      </w:r>
      <w:r>
        <w:rPr>
          <w:rFonts w:ascii="Times New Roman" w:hAnsi="Times New Roman" w:cs="Times New Roman" w:eastAsia="Times New Roman" w:hint="default"/>
        </w:rPr>
        <w:t>35</w:t>
      </w:r>
      <w:r>
        <w:rPr>
          <w:rFonts w:ascii="Times New Roman" w:hAnsi="Times New Roman" w:cs="Times New Roman" w:eastAsia="Times New Roman" w:hint="default"/>
          <w:spacing w:val="2"/>
        </w:rPr>
        <w:t> </w:t>
      </w:r>
      <w:r>
        <w:rPr/>
        <w:t>个节点</w:t>
      </w:r>
      <w:r>
        <w:rPr>
          <w:spacing w:val="-89"/>
        </w:rPr>
        <w:t>）</w:t>
      </w:r>
      <w:r>
        <w:rPr/>
        <w:t>、中国联通总部及</w:t>
      </w:r>
      <w:r>
        <w:rPr>
          <w:spacing w:val="-44"/>
        </w:rPr>
        <w:t> </w:t>
      </w:r>
      <w:r>
        <w:rPr>
          <w:rFonts w:ascii="Times New Roman" w:hAnsi="Times New Roman" w:cs="Times New Roman" w:eastAsia="Times New Roman" w:hint="default"/>
        </w:rPr>
        <w:t>22</w:t>
      </w:r>
      <w:r>
        <w:rPr>
          <w:rFonts w:ascii="Times New Roman" w:hAnsi="Times New Roman" w:cs="Times New Roman" w:eastAsia="Times New Roman" w:hint="default"/>
          <w:spacing w:val="1"/>
        </w:rPr>
        <w:t> </w:t>
      </w:r>
      <w:r>
        <w:rPr/>
        <w:t>省份</w:t>
      </w:r>
      <w:r>
        <w:rPr>
          <w:spacing w:val="1"/>
        </w:rPr>
        <w:t>的</w:t>
      </w:r>
      <w:r>
        <w:rPr/>
        <w:t>增值业务综合网管平台、中国电信总</w:t>
      </w:r>
    </w:p>
    <w:p>
      <w:pPr>
        <w:spacing w:line="240" w:lineRule="auto" w:before="9"/>
        <w:rPr>
          <w:rFonts w:ascii="宋体" w:hAnsi="宋体" w:cs="宋体" w:eastAsia="宋体" w:hint="default"/>
          <w:sz w:val="16"/>
          <w:szCs w:val="16"/>
        </w:rPr>
      </w:pPr>
    </w:p>
    <w:p>
      <w:pPr>
        <w:pStyle w:val="BodyText"/>
        <w:spacing w:line="240" w:lineRule="auto"/>
        <w:ind w:right="0"/>
        <w:jc w:val="left"/>
      </w:pPr>
      <w:r>
        <w:rPr/>
        <w:t>部及</w:t>
      </w:r>
      <w:r>
        <w:rPr>
          <w:spacing w:val="-46"/>
        </w:rPr>
        <w:t> </w:t>
      </w:r>
      <w:r>
        <w:rPr>
          <w:rFonts w:ascii="Times New Roman" w:hAnsi="Times New Roman" w:cs="Times New Roman" w:eastAsia="Times New Roman" w:hint="default"/>
        </w:rPr>
        <w:t>24</w:t>
      </w:r>
      <w:r>
        <w:rPr>
          <w:rFonts w:ascii="Times New Roman" w:hAnsi="Times New Roman" w:cs="Times New Roman" w:eastAsia="Times New Roman" w:hint="default"/>
          <w:spacing w:val="-1"/>
        </w:rPr>
        <w:t> </w:t>
      </w:r>
      <w:r>
        <w:rPr/>
        <w:t>省份业务平台综合网管平台等诸多全国性大型复杂项目。</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4"/>
        <w:spacing w:line="240" w:lineRule="auto" w:before="128"/>
        <w:ind w:right="0"/>
        <w:jc w:val="left"/>
        <w:rPr>
          <w:b w:val="0"/>
          <w:bCs w:val="0"/>
          <w:i w:val="0"/>
        </w:rPr>
      </w:pPr>
      <w:bookmarkStart w:name="4、手机游戏业务" w:id="21"/>
      <w:bookmarkEnd w:id="21"/>
      <w:r>
        <w:rPr>
          <w:b w:val="0"/>
          <w:bCs w:val="0"/>
          <w:i w:val="0"/>
        </w:rPr>
      </w:r>
      <w:r>
        <w:rPr>
          <w:rFonts w:ascii="Times New Roman" w:hAnsi="Times New Roman" w:cs="Times New Roman" w:eastAsia="Times New Roman" w:hint="default"/>
          <w:i/>
          <w:sz w:val="18"/>
          <w:szCs w:val="18"/>
        </w:rPr>
      </w:r>
      <w:r>
        <w:rPr>
          <w:rFonts w:ascii="Times New Roman" w:hAnsi="Times New Roman" w:cs="Times New Roman" w:eastAsia="Times New Roman" w:hint="default"/>
          <w:i/>
          <w:sz w:val="18"/>
          <w:szCs w:val="18"/>
          <w:u w:val="single" w:color="000000"/>
        </w:rPr>
        <w:t>4</w:t>
      </w:r>
      <w:r>
        <w:rPr>
          <w:u w:val="single" w:color="000000"/>
        </w:rPr>
        <w:t>、手机游戏业务</w:t>
      </w:r>
      <w:r>
        <w:rPr/>
      </w:r>
      <w:r>
        <w:rPr>
          <w:b w:val="0"/>
          <w:bCs w:val="0"/>
          <w:i w:val="0"/>
        </w:rPr>
      </w:r>
    </w:p>
    <w:p>
      <w:pPr>
        <w:spacing w:line="240" w:lineRule="auto" w:before="4"/>
        <w:rPr>
          <w:rFonts w:ascii="宋体" w:hAnsi="宋体" w:cs="宋体" w:eastAsia="宋体" w:hint="default"/>
          <w:b/>
          <w:bCs/>
          <w:i/>
          <w:sz w:val="13"/>
          <w:szCs w:val="13"/>
        </w:rPr>
      </w:pPr>
    </w:p>
    <w:p>
      <w:pPr>
        <w:pStyle w:val="BodyText"/>
        <w:spacing w:line="451" w:lineRule="auto" w:before="44"/>
        <w:ind w:right="1132" w:firstLine="360"/>
        <w:jc w:val="both"/>
      </w:pPr>
      <w:r>
        <w:rPr>
          <w:spacing w:val="-2"/>
        </w:rPr>
        <w:t>公司手机游戏业务以海外市场为主、聚焦打造长生命周期的、重度、策略类（</w:t>
      </w:r>
      <w:r>
        <w:rPr>
          <w:rFonts w:ascii="Times New Roman" w:hAnsi="Times New Roman" w:cs="Times New Roman" w:eastAsia="Times New Roman" w:hint="default"/>
          <w:spacing w:val="-2"/>
        </w:rPr>
        <w:t>SLG</w:t>
      </w:r>
      <w:r>
        <w:rPr>
          <w:spacing w:val="-2"/>
        </w:rPr>
        <w:t>）手游产品。研发团队</w:t>
      </w:r>
      <w:r>
        <w:rPr>
          <w:rFonts w:ascii="Times New Roman" w:hAnsi="Times New Roman" w:cs="Times New Roman" w:eastAsia="Times New Roman" w:hint="default"/>
          <w:spacing w:val="-2"/>
        </w:rPr>
        <w:t>2011</w:t>
      </w:r>
      <w:r>
        <w:rPr>
          <w:spacing w:val="-2"/>
        </w:rPr>
        <w:t>年即获得</w:t>
      </w:r>
      <w:r>
        <w:rPr/>
        <w:t> 了</w:t>
      </w:r>
      <w:r>
        <w:rPr>
          <w:rFonts w:ascii="Times New Roman" w:hAnsi="Times New Roman" w:cs="Times New Roman" w:eastAsia="Times New Roman" w:hint="default"/>
        </w:rPr>
        <w:t>Google Play</w:t>
      </w:r>
      <w:r>
        <w:rPr/>
        <w:t>官方颁发的“</w:t>
      </w:r>
      <w:r>
        <w:rPr>
          <w:rFonts w:ascii="Times New Roman" w:hAnsi="Times New Roman" w:cs="Times New Roman" w:eastAsia="Times New Roman" w:hint="default"/>
        </w:rPr>
        <w:t>Android Top</w:t>
      </w:r>
      <w:r>
        <w:rPr>
          <w:rFonts w:ascii="Times New Roman" w:hAnsi="Times New Roman" w:cs="Times New Roman" w:eastAsia="Times New Roman" w:hint="default"/>
          <w:spacing w:val="-13"/>
        </w:rPr>
        <w:t> </w:t>
      </w:r>
      <w:r>
        <w:rPr>
          <w:rFonts w:ascii="Times New Roman" w:hAnsi="Times New Roman" w:cs="Times New Roman" w:eastAsia="Times New Roman" w:hint="default"/>
        </w:rPr>
        <w:t>Developer</w:t>
      </w:r>
      <w:r>
        <w:rPr/>
        <w:t>”（全球顶级开发者）认证，是中国大陆地区最早一家荣获此殊荣的手机 游戏开发团队；</w:t>
      </w:r>
      <w:r>
        <w:rPr>
          <w:rFonts w:ascii="Times New Roman" w:hAnsi="Times New Roman" w:cs="Times New Roman" w:eastAsia="Times New Roman" w:hint="default"/>
        </w:rPr>
        <w:t>2015</w:t>
      </w:r>
      <w:r>
        <w:rPr/>
        <w:t>年，获得北京中关村高新技术企业协会评选的“</w:t>
      </w:r>
      <w:r>
        <w:rPr>
          <w:rFonts w:ascii="Times New Roman" w:hAnsi="Times New Roman" w:cs="Times New Roman" w:eastAsia="Times New Roman" w:hint="default"/>
        </w:rPr>
        <w:t>2015</w:t>
      </w:r>
      <w:r>
        <w:rPr/>
        <w:t>中关村高成长企业</w:t>
      </w:r>
      <w:r>
        <w:rPr>
          <w:rFonts w:ascii="Times New Roman" w:hAnsi="Times New Roman" w:cs="Times New Roman" w:eastAsia="Times New Roman" w:hint="default"/>
        </w:rPr>
        <w:t>TOP100</w:t>
      </w:r>
      <w:r>
        <w:rPr/>
        <w:t>”。</w:t>
      </w:r>
    </w:p>
    <w:p>
      <w:pPr>
        <w:spacing w:line="463" w:lineRule="auto" w:before="43"/>
        <w:ind w:left="154" w:right="1130" w:firstLine="360"/>
        <w:jc w:val="both"/>
        <w:rPr>
          <w:rFonts w:ascii="宋体" w:hAnsi="宋体" w:cs="宋体" w:eastAsia="宋体" w:hint="default"/>
          <w:sz w:val="18"/>
          <w:szCs w:val="18"/>
        </w:rPr>
      </w:pPr>
      <w:r>
        <w:rPr>
          <w:rFonts w:ascii="宋体" w:hAnsi="宋体" w:cs="宋体" w:eastAsia="宋体" w:hint="default"/>
          <w:spacing w:val="-2"/>
          <w:sz w:val="18"/>
          <w:szCs w:val="18"/>
        </w:rPr>
        <w:t>公司已成功研发并发行了《小小帝国》、《人在天朝》、《战火与秩序》等大型重度游戏。《战火与秩序》上线至今已</w:t>
      </w:r>
      <w:r>
        <w:rPr>
          <w:rFonts w:ascii="宋体" w:hAnsi="宋体" w:cs="宋体" w:eastAsia="宋体" w:hint="default"/>
          <w:sz w:val="18"/>
          <w:szCs w:val="18"/>
        </w:rPr>
        <w:t> 获得多次谷歌全球精选游戏首页推荐、荣获 </w:t>
      </w:r>
      <w:r>
        <w:rPr>
          <w:rFonts w:ascii="Times New Roman" w:hAnsi="Times New Roman" w:cs="Times New Roman" w:eastAsia="Times New Roman" w:hint="default"/>
          <w:sz w:val="18"/>
          <w:szCs w:val="18"/>
        </w:rPr>
        <w:t>“NextWorld 2017</w:t>
      </w:r>
      <w:r>
        <w:rPr>
          <w:rFonts w:ascii="宋体" w:hAnsi="宋体" w:cs="宋体" w:eastAsia="宋体" w:hint="default"/>
          <w:sz w:val="18"/>
          <w:szCs w:val="18"/>
        </w:rPr>
        <w:t>年度最具风采</w:t>
      </w:r>
      <w:r>
        <w:rPr>
          <w:rFonts w:ascii="Times New Roman" w:hAnsi="Times New Roman" w:cs="Times New Roman" w:eastAsia="Times New Roman" w:hint="default"/>
          <w:sz w:val="18"/>
          <w:szCs w:val="18"/>
        </w:rPr>
        <w:t>-</w:t>
      </w:r>
      <w:r>
        <w:rPr>
          <w:rFonts w:ascii="宋体" w:hAnsi="宋体" w:cs="宋体" w:eastAsia="宋体" w:hint="default"/>
          <w:sz w:val="18"/>
          <w:szCs w:val="18"/>
        </w:rPr>
        <w:t>创享游戏</w:t>
      </w:r>
      <w:r>
        <w:rPr>
          <w:rFonts w:ascii="Times New Roman" w:hAnsi="Times New Roman" w:cs="Times New Roman" w:eastAsia="Times New Roman" w:hint="default"/>
          <w:sz w:val="18"/>
          <w:szCs w:val="18"/>
        </w:rPr>
        <w:t>”</w:t>
      </w:r>
      <w:r>
        <w:rPr>
          <w:rFonts w:ascii="宋体" w:hAnsi="宋体" w:cs="宋体" w:eastAsia="宋体" w:hint="default"/>
          <w:sz w:val="18"/>
          <w:szCs w:val="18"/>
        </w:rPr>
        <w:t>大奖。近年，</w:t>
      </w:r>
      <w:r>
        <w:rPr>
          <w:rFonts w:ascii="宋体" w:hAnsi="宋体" w:cs="宋体" w:eastAsia="宋体" w:hint="default"/>
          <w:b/>
          <w:bCs/>
          <w:sz w:val="18"/>
          <w:szCs w:val="18"/>
        </w:rPr>
        <w:t>在</w:t>
      </w:r>
      <w:r>
        <w:rPr>
          <w:rFonts w:ascii="Times New Roman" w:hAnsi="Times New Roman" w:cs="Times New Roman" w:eastAsia="Times New Roman" w:hint="default"/>
          <w:b/>
          <w:bCs/>
          <w:sz w:val="18"/>
          <w:szCs w:val="18"/>
        </w:rPr>
        <w:t>App</w:t>
      </w:r>
      <w:r>
        <w:rPr>
          <w:rFonts w:ascii="Times New Roman" w:hAnsi="Times New Roman" w:cs="Times New Roman" w:eastAsia="Times New Roman" w:hint="default"/>
          <w:b/>
          <w:bCs/>
          <w:spacing w:val="25"/>
          <w:sz w:val="18"/>
          <w:szCs w:val="18"/>
        </w:rPr>
        <w:t> </w:t>
      </w:r>
      <w:r>
        <w:rPr>
          <w:rFonts w:ascii="Times New Roman" w:hAnsi="Times New Roman" w:cs="Times New Roman" w:eastAsia="Times New Roman" w:hint="default"/>
          <w:b/>
          <w:bCs/>
          <w:sz w:val="18"/>
          <w:szCs w:val="18"/>
        </w:rPr>
        <w:t>Annie</w:t>
      </w:r>
      <w:r>
        <w:rPr>
          <w:rFonts w:ascii="宋体" w:hAnsi="宋体" w:cs="宋体" w:eastAsia="宋体" w:hint="default"/>
          <w:b/>
          <w:bCs/>
          <w:sz w:val="18"/>
          <w:szCs w:val="18"/>
        </w:rPr>
        <w:t>发布的中</w:t>
      </w:r>
      <w:r>
        <w:rPr>
          <w:rFonts w:ascii="宋体" w:hAnsi="宋体" w:cs="宋体" w:eastAsia="宋体" w:hint="default"/>
          <w:b/>
          <w:bCs/>
          <w:w w:val="99"/>
          <w:sz w:val="18"/>
          <w:szCs w:val="18"/>
        </w:rPr>
        <w:t> </w:t>
      </w:r>
      <w:r>
        <w:rPr>
          <w:rFonts w:ascii="宋体" w:hAnsi="宋体" w:cs="宋体" w:eastAsia="宋体" w:hint="default"/>
          <w:b/>
          <w:bCs/>
          <w:sz w:val="18"/>
          <w:szCs w:val="18"/>
        </w:rPr>
        <w:t>国游戏发行商出海收入排行榜上保持前</w:t>
      </w:r>
      <w:r>
        <w:rPr>
          <w:rFonts w:ascii="Times New Roman" w:hAnsi="Times New Roman" w:cs="Times New Roman" w:eastAsia="Times New Roman" w:hint="default"/>
          <w:b/>
          <w:bCs/>
          <w:sz w:val="18"/>
          <w:szCs w:val="18"/>
        </w:rPr>
        <w:t>20</w:t>
      </w:r>
      <w:r>
        <w:rPr>
          <w:rFonts w:ascii="宋体" w:hAnsi="宋体" w:cs="宋体" w:eastAsia="宋体" w:hint="default"/>
          <w:b/>
          <w:bCs/>
          <w:sz w:val="18"/>
          <w:szCs w:val="18"/>
        </w:rPr>
        <w:t>名以内</w:t>
      </w:r>
      <w:r>
        <w:rPr>
          <w:rFonts w:ascii="宋体" w:hAnsi="宋体" w:cs="宋体" w:eastAsia="宋体" w:hint="default"/>
          <w:sz w:val="18"/>
          <w:szCs w:val="18"/>
        </w:rPr>
        <w:t>。</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6"/>
          <w:szCs w:val="16"/>
        </w:rPr>
      </w:pPr>
    </w:p>
    <w:p>
      <w:pPr>
        <w:spacing w:before="0"/>
        <w:ind w:left="595" w:right="0" w:firstLine="0"/>
        <w:jc w:val="left"/>
        <w:rPr>
          <w:rFonts w:ascii="宋体" w:hAnsi="宋体" w:cs="宋体" w:eastAsia="宋体" w:hint="default"/>
          <w:sz w:val="23"/>
          <w:szCs w:val="23"/>
        </w:rPr>
      </w:pPr>
      <w:r>
        <w:rPr>
          <w:rFonts w:ascii="宋体" w:hAnsi="宋体" w:cs="宋体" w:eastAsia="宋体" w:hint="default"/>
          <w:b/>
          <w:bCs/>
          <w:i/>
          <w:sz w:val="23"/>
          <w:szCs w:val="23"/>
        </w:rPr>
        <w:t>（二）公司主要客户所处行业情况</w:t>
      </w:r>
      <w:r>
        <w:rPr>
          <w:rFonts w:ascii="宋体" w:hAnsi="宋体" w:cs="宋体" w:eastAsia="宋体" w:hint="default"/>
          <w:sz w:val="23"/>
          <w:szCs w:val="23"/>
        </w:rPr>
      </w:r>
    </w:p>
    <w:p>
      <w:pPr>
        <w:spacing w:line="240" w:lineRule="auto" w:before="3"/>
        <w:rPr>
          <w:rFonts w:ascii="宋体" w:hAnsi="宋体" w:cs="宋体" w:eastAsia="宋体" w:hint="default"/>
          <w:b/>
          <w:bCs/>
          <w:i/>
          <w:sz w:val="16"/>
          <w:szCs w:val="16"/>
        </w:rPr>
      </w:pPr>
    </w:p>
    <w:p>
      <w:pPr>
        <w:pStyle w:val="BodyText"/>
        <w:spacing w:line="451" w:lineRule="auto"/>
        <w:ind w:left="514" w:right="1115" w:firstLine="1"/>
        <w:jc w:val="left"/>
      </w:pPr>
      <w:r>
        <w:rPr>
          <w:rFonts w:ascii="Times New Roman" w:hAnsi="Times New Roman" w:cs="Times New Roman" w:eastAsia="Times New Roman" w:hint="default"/>
          <w:b/>
          <w:bCs/>
        </w:rPr>
        <w:t>1</w:t>
      </w:r>
      <w:r>
        <w:rPr>
          <w:rFonts w:ascii="宋体" w:hAnsi="宋体" w:cs="宋体" w:eastAsia="宋体" w:hint="default"/>
          <w:b/>
          <w:bCs/>
        </w:rPr>
        <w:t>、电信行业</w:t>
      </w:r>
      <w:r>
        <w:rPr>
          <w:rFonts w:ascii="宋体" w:hAnsi="宋体" w:cs="宋体" w:eastAsia="宋体" w:hint="default"/>
          <w:b/>
          <w:bCs/>
          <w:w w:val="99"/>
        </w:rPr>
        <w:t> </w:t>
      </w:r>
      <w:r>
        <w:rPr>
          <w:spacing w:val="-2"/>
        </w:rPr>
        <w:t>电信行业是技术密集性行业，是国民经济的基础行业、战略行业和先导性行业，是我国信息化程度和信息化技术水平高</w:t>
      </w:r>
    </w:p>
    <w:p>
      <w:pPr>
        <w:pStyle w:val="BodyText"/>
        <w:spacing w:line="451" w:lineRule="auto" w:before="74"/>
        <w:ind w:right="1026"/>
        <w:jc w:val="left"/>
      </w:pPr>
      <w:r>
        <w:rPr/>
        <w:t>的行业之一。近年来，电信运营商不断向数字化运营、互联网化运营转变，平台集中化、云化也将是必经之路。</w:t>
      </w:r>
      <w:r>
        <w:rPr>
          <w:rFonts w:ascii="Times New Roman" w:hAnsi="Times New Roman" w:cs="Times New Roman" w:eastAsia="Times New Roman" w:hint="default"/>
        </w:rPr>
        <w:t>2018 </w:t>
      </w:r>
      <w:r>
        <w:rPr/>
        <w:t>年，</w:t>
      </w:r>
      <w:r>
        <w:rPr>
          <w:spacing w:val="-81"/>
        </w:rPr>
        <w:t> </w:t>
      </w:r>
      <w:r>
        <w:rPr/>
        <w:t>三大电信运营商实际资本化开支完成额为</w:t>
      </w:r>
      <w:r>
        <w:rPr>
          <w:spacing w:val="-50"/>
        </w:rPr>
        <w:t> </w:t>
      </w:r>
      <w:r>
        <w:rPr>
          <w:rFonts w:ascii="Times New Roman" w:hAnsi="Times New Roman" w:cs="Times New Roman" w:eastAsia="Times New Roman" w:hint="default"/>
        </w:rPr>
        <w:t>2,869</w:t>
      </w:r>
      <w:r>
        <w:rPr>
          <w:rFonts w:ascii="Times New Roman" w:hAnsi="Times New Roman" w:cs="Times New Roman" w:eastAsia="Times New Roman" w:hint="default"/>
          <w:spacing w:val="-5"/>
        </w:rPr>
        <w:t> </w:t>
      </w:r>
      <w:r>
        <w:rPr/>
        <w:t>亿元，其中：云化、大数据和平台集中化是电信运营商</w:t>
      </w:r>
      <w:r>
        <w:rPr>
          <w:spacing w:val="-49"/>
        </w:rPr>
        <w:t> </w:t>
      </w:r>
      <w:r>
        <w:rPr>
          <w:rFonts w:ascii="Times New Roman" w:hAnsi="Times New Roman" w:cs="Times New Roman" w:eastAsia="Times New Roman" w:hint="default"/>
        </w:rPr>
        <w:t>2018</w:t>
      </w:r>
      <w:r>
        <w:rPr>
          <w:rFonts w:ascii="Times New Roman" w:hAnsi="Times New Roman" w:cs="Times New Roman" w:eastAsia="Times New Roman" w:hint="default"/>
          <w:spacing w:val="-5"/>
        </w:rPr>
        <w:t> </w:t>
      </w:r>
      <w:r>
        <w:rPr/>
        <w:t>年</w:t>
      </w:r>
      <w:r>
        <w:rPr>
          <w:spacing w:val="-50"/>
        </w:rPr>
        <w:t> </w:t>
      </w:r>
      <w:r>
        <w:rPr>
          <w:rFonts w:ascii="Times New Roman" w:hAnsi="Times New Roman" w:cs="Times New Roman" w:eastAsia="Times New Roman" w:hint="default"/>
        </w:rPr>
        <w:t>IT</w:t>
      </w:r>
      <w:r>
        <w:rPr>
          <w:rFonts w:ascii="Times New Roman" w:hAnsi="Times New Roman" w:cs="Times New Roman" w:eastAsia="Times New Roman" w:hint="default"/>
          <w:spacing w:val="-5"/>
        </w:rPr>
        <w:t> </w:t>
      </w:r>
      <w:r>
        <w:rPr/>
        <w:t>支撑系统 的发展重点。从三大电信运营商公布的资本化开支计划来看，</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年合计资本化开支约</w:t>
      </w:r>
      <w:r>
        <w:rPr>
          <w:spacing w:val="-43"/>
        </w:rPr>
        <w:t> </w:t>
      </w:r>
      <w:r>
        <w:rPr>
          <w:rFonts w:ascii="Times New Roman" w:hAnsi="Times New Roman" w:cs="Times New Roman" w:eastAsia="Times New Roman" w:hint="default"/>
        </w:rPr>
        <w:t>3,029</w:t>
      </w:r>
      <w:r>
        <w:rPr>
          <w:rFonts w:ascii="Times New Roman" w:hAnsi="Times New Roman" w:cs="Times New Roman" w:eastAsia="Times New Roman" w:hint="default"/>
          <w:spacing w:val="2"/>
        </w:rPr>
        <w:t> </w:t>
      </w:r>
      <w:r>
        <w:rPr/>
        <w:t>亿元，从资本开支结构看出， 无线侧资本开支开始出现快速增长趋势，尤其是</w:t>
      </w:r>
      <w:r>
        <w:rPr>
          <w:spacing w:val="-31"/>
        </w:rPr>
        <w:t> </w:t>
      </w:r>
      <w:r>
        <w:rPr>
          <w:rFonts w:ascii="Times New Roman" w:hAnsi="Times New Roman" w:cs="Times New Roman" w:eastAsia="Times New Roman" w:hint="default"/>
        </w:rPr>
        <w:t>5G</w:t>
      </w:r>
      <w:r>
        <w:rPr>
          <w:rFonts w:ascii="Times New Roman" w:hAnsi="Times New Roman" w:cs="Times New Roman" w:eastAsia="Times New Roman" w:hint="default"/>
          <w:spacing w:val="13"/>
        </w:rPr>
        <w:t> </w:t>
      </w:r>
      <w:r>
        <w:rPr/>
        <w:t>建设，成为运营商</w:t>
      </w:r>
      <w:r>
        <w:rPr>
          <w:spacing w:val="-31"/>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4"/>
        </w:rPr>
        <w:t> </w:t>
      </w:r>
      <w:r>
        <w:rPr/>
        <w:t>年的投资重点，预计将合计投资超三百亿元， 其次，运营商</w:t>
      </w:r>
      <w:r>
        <w:rPr>
          <w:spacing w:val="-46"/>
        </w:rPr>
        <w:t> </w:t>
      </w:r>
      <w:r>
        <w:rPr>
          <w:rFonts w:ascii="Times New Roman" w:hAnsi="Times New Roman" w:cs="Times New Roman" w:eastAsia="Times New Roman" w:hint="default"/>
        </w:rPr>
        <w:t>BOSS</w:t>
      </w:r>
      <w:r>
        <w:rPr>
          <w:rFonts w:ascii="Times New Roman" w:hAnsi="Times New Roman" w:cs="Times New Roman" w:eastAsia="Times New Roman" w:hint="default"/>
          <w:spacing w:val="-1"/>
        </w:rPr>
        <w:t> </w:t>
      </w:r>
      <w:r>
        <w:rPr/>
        <w:t>支撑系统、通信基建等领域的投资力度也有显著增长。</w:t>
      </w:r>
    </w:p>
    <w:p>
      <w:pPr>
        <w:pStyle w:val="BodyText"/>
        <w:spacing w:line="240" w:lineRule="auto" w:before="43"/>
        <w:ind w:right="0" w:firstLine="360"/>
        <w:jc w:val="both"/>
      </w:pPr>
      <w:r>
        <w:rPr/>
        <w:t>伴随第五代移动通信技术的临近，</w:t>
      </w:r>
      <w:r>
        <w:rPr>
          <w:rFonts w:ascii="Times New Roman" w:hAnsi="Times New Roman" w:cs="Times New Roman" w:eastAsia="Times New Roman" w:hint="default"/>
        </w:rPr>
        <w:t>ICT</w:t>
      </w:r>
      <w:r>
        <w:rPr>
          <w:rFonts w:ascii="Times New Roman" w:hAnsi="Times New Roman" w:cs="Times New Roman" w:eastAsia="Times New Roman" w:hint="default"/>
          <w:spacing w:val="4"/>
        </w:rPr>
        <w:t> </w:t>
      </w:r>
      <w:r>
        <w:rPr/>
        <w:t>技术也将进入变革时期。公司</w:t>
      </w:r>
      <w:r>
        <w:rPr>
          <w:spacing w:val="-41"/>
        </w:rPr>
        <w:t> </w:t>
      </w:r>
      <w:r>
        <w:rPr>
          <w:rFonts w:ascii="Times New Roman" w:hAnsi="Times New Roman" w:cs="Times New Roman" w:eastAsia="Times New Roman" w:hint="default"/>
        </w:rPr>
        <w:t>ICT</w:t>
      </w:r>
      <w:r>
        <w:rPr>
          <w:rFonts w:ascii="Times New Roman" w:hAnsi="Times New Roman" w:cs="Times New Roman" w:eastAsia="Times New Roman" w:hint="default"/>
          <w:spacing w:val="4"/>
        </w:rPr>
        <w:t> </w:t>
      </w:r>
      <w:r>
        <w:rPr/>
        <w:t>运营管理业务，其实质是针对</w:t>
      </w:r>
      <w:r>
        <w:rPr>
          <w:spacing w:val="-41"/>
        </w:rPr>
        <w:t> </w:t>
      </w:r>
      <w:r>
        <w:rPr>
          <w:rFonts w:ascii="Times New Roman" w:hAnsi="Times New Roman" w:cs="Times New Roman" w:eastAsia="Times New Roman" w:hint="default"/>
        </w:rPr>
        <w:t>IT</w:t>
      </w:r>
      <w:r>
        <w:rPr>
          <w:rFonts w:ascii="Times New Roman" w:hAnsi="Times New Roman" w:cs="Times New Roman" w:eastAsia="Times New Roman" w:hint="default"/>
          <w:spacing w:val="4"/>
        </w:rPr>
        <w:t> </w:t>
      </w:r>
      <w:r>
        <w:rPr/>
        <w:t>网络、通讯</w:t>
      </w:r>
    </w:p>
    <w:p>
      <w:pPr>
        <w:spacing w:line="240" w:lineRule="auto" w:before="9"/>
        <w:rPr>
          <w:rFonts w:ascii="宋体" w:hAnsi="宋体" w:cs="宋体" w:eastAsia="宋体" w:hint="default"/>
          <w:sz w:val="16"/>
          <w:szCs w:val="16"/>
        </w:rPr>
      </w:pPr>
    </w:p>
    <w:p>
      <w:pPr>
        <w:pStyle w:val="BodyText"/>
        <w:spacing w:line="240" w:lineRule="auto"/>
        <w:ind w:right="0"/>
        <w:jc w:val="left"/>
      </w:pPr>
      <w:r>
        <w:rPr/>
        <w:t>网络两大层面进行相应的运营管理</w:t>
      </w:r>
      <w:r>
        <w:rPr>
          <w:spacing w:val="-84"/>
        </w:rPr>
        <w:t>，</w:t>
      </w:r>
      <w:r>
        <w:rPr>
          <w:rFonts w:ascii="Times New Roman" w:hAnsi="Times New Roman" w:cs="Times New Roman" w:eastAsia="Times New Roman" w:hint="default"/>
          <w:w w:val="99"/>
        </w:rPr>
        <w:t>5G</w:t>
      </w:r>
      <w:r>
        <w:rPr>
          <w:rFonts w:ascii="Times New Roman" w:hAnsi="Times New Roman" w:cs="Times New Roman" w:eastAsia="Times New Roman" w:hint="default"/>
          <w:spacing w:val="-1"/>
        </w:rPr>
        <w:t> </w:t>
      </w:r>
      <w:r>
        <w:rPr>
          <w:spacing w:val="1"/>
        </w:rPr>
        <w:t>建</w:t>
      </w:r>
      <w:r>
        <w:rPr/>
        <w:t>设是通讯网络建设的升级</w:t>
      </w:r>
      <w:r>
        <w:rPr>
          <w:spacing w:val="-85"/>
        </w:rPr>
        <w:t>，</w:t>
      </w:r>
      <w:r>
        <w:rPr/>
        <w:t>与之相伴的运营管理本身就是个持续迭代更新的过程，</w:t>
      </w:r>
    </w:p>
    <w:p>
      <w:pPr>
        <w:spacing w:after="0" w:line="240" w:lineRule="auto"/>
        <w:jc w:val="left"/>
        <w:sectPr>
          <w:pgSz w:w="11910" w:h="16840"/>
          <w:pgMar w:header="851" w:footer="1187" w:top="1400" w:bottom="1380" w:left="980" w:right="0"/>
        </w:sectPr>
      </w:pPr>
    </w:p>
    <w:p>
      <w:pPr>
        <w:spacing w:line="240" w:lineRule="auto" w:before="1"/>
        <w:rPr>
          <w:rFonts w:ascii="宋体" w:hAnsi="宋体" w:cs="宋体" w:eastAsia="宋体" w:hint="default"/>
          <w:sz w:val="8"/>
          <w:szCs w:val="8"/>
        </w:rPr>
      </w:pPr>
    </w:p>
    <w:p>
      <w:pPr>
        <w:pStyle w:val="BodyText"/>
        <w:spacing w:line="477" w:lineRule="auto" w:before="44"/>
        <w:ind w:right="1131"/>
        <w:jc w:val="both"/>
      </w:pPr>
      <w:r>
        <w:rPr>
          <w:spacing w:val="-2"/>
        </w:rPr>
        <w:t>公司长期以来与运营商有着良好合作，在品牌、技术等方面均具有优势，公司也会持续跟踪需求变化，迭代并推出相应的产</w:t>
      </w:r>
      <w:r>
        <w:rPr>
          <w:spacing w:val="-66"/>
        </w:rPr>
        <w:t> </w:t>
      </w:r>
      <w:r>
        <w:rPr>
          <w:spacing w:val="-66"/>
        </w:rPr>
      </w:r>
      <w:r>
        <w:rPr/>
        <w:t>品与服务。</w:t>
      </w:r>
    </w:p>
    <w:p>
      <w:pPr>
        <w:pStyle w:val="Heading5"/>
        <w:spacing w:line="225" w:lineRule="exact"/>
        <w:ind w:left="574" w:right="0"/>
        <w:jc w:val="left"/>
        <w:rPr>
          <w:b w:val="0"/>
          <w:bCs w:val="0"/>
        </w:rPr>
      </w:pPr>
      <w:r>
        <w:rPr>
          <w:rFonts w:ascii="Times New Roman" w:hAnsi="Times New Roman" w:cs="Times New Roman" w:eastAsia="Times New Roman" w:hint="default"/>
        </w:rPr>
        <w:t>2</w:t>
      </w:r>
      <w:r>
        <w:rPr/>
        <w:t>、金融行业</w:t>
      </w:r>
      <w:r>
        <w:rPr>
          <w:b w:val="0"/>
          <w:bCs w:val="0"/>
        </w:rPr>
      </w:r>
    </w:p>
    <w:p>
      <w:pPr>
        <w:pStyle w:val="BodyText"/>
        <w:spacing w:line="463" w:lineRule="auto" w:before="141"/>
        <w:ind w:right="1026" w:firstLine="420"/>
        <w:jc w:val="left"/>
      </w:pPr>
      <w:r>
        <w:rPr>
          <w:spacing w:val="-3"/>
        </w:rPr>
        <w:t>目前在金融行业，公司的客户主要以银行业为主。伴随着信息技术的快速发展，信息化也成为银行业的重要发展趋势，</w:t>
      </w:r>
      <w:r>
        <w:rPr/>
        <w:t> 银行业正逐渐由传统的服务模式向智慧化、信息化模式发展。据赛迪顾问数据显示，未来，随着“互联网</w:t>
      </w:r>
      <w:r>
        <w:rPr>
          <w:rFonts w:ascii="Times New Roman" w:hAnsi="Times New Roman" w:cs="Times New Roman" w:eastAsia="Times New Roman" w:hint="default"/>
        </w:rPr>
        <w:t>+</w:t>
      </w:r>
      <w:r>
        <w:rPr/>
        <w:t>”战略的实施，</w:t>
      </w:r>
      <w:r>
        <w:rPr>
          <w:spacing w:val="-14"/>
        </w:rPr>
        <w:t> </w:t>
      </w:r>
      <w:r>
        <w:rPr>
          <w:spacing w:val="-14"/>
        </w:rPr>
      </w:r>
      <w:r>
        <w:rPr>
          <w:spacing w:val="-2"/>
        </w:rPr>
        <w:t>云计算、大数据、区块链、人工智能等新兴技术及应用逐步成熟落地，以及业界对关键信息基础设施安全的重视，金融行业</w:t>
      </w:r>
      <w:r>
        <w:rPr>
          <w:spacing w:val="-66"/>
        </w:rPr>
        <w:t> </w:t>
      </w:r>
      <w:r>
        <w:rPr>
          <w:spacing w:val="-66"/>
        </w:rPr>
      </w:r>
      <w:r>
        <w:rPr/>
        <w:t>用户对</w:t>
      </w:r>
      <w:r>
        <w:rPr>
          <w:spacing w:val="-48"/>
        </w:rPr>
        <w:t> </w:t>
      </w:r>
      <w:r>
        <w:rPr>
          <w:rFonts w:ascii="Times New Roman" w:hAnsi="Times New Roman" w:cs="Times New Roman" w:eastAsia="Times New Roman" w:hint="default"/>
        </w:rPr>
        <w:t>IT</w:t>
      </w:r>
      <w:r>
        <w:rPr>
          <w:rFonts w:ascii="Times New Roman" w:hAnsi="Times New Roman" w:cs="Times New Roman" w:eastAsia="Times New Roman" w:hint="default"/>
          <w:spacing w:val="-3"/>
        </w:rPr>
        <w:t> </w:t>
      </w:r>
      <w:r>
        <w:rPr/>
        <w:t>应用的投资将继续增长，预计</w:t>
      </w:r>
      <w:r>
        <w:rPr>
          <w:spacing w:val="-48"/>
        </w:rPr>
        <w:t> </w:t>
      </w:r>
      <w:r>
        <w:rPr>
          <w:rFonts w:ascii="Times New Roman" w:hAnsi="Times New Roman" w:cs="Times New Roman" w:eastAsia="Times New Roman" w:hint="default"/>
        </w:rPr>
        <w:t>2019</w:t>
      </w:r>
      <w:r>
        <w:rPr>
          <w:rFonts w:ascii="Times New Roman" w:hAnsi="Times New Roman" w:cs="Times New Roman" w:eastAsia="Times New Roman" w:hint="default"/>
          <w:spacing w:val="-3"/>
        </w:rPr>
        <w:t> </w:t>
      </w:r>
      <w:r>
        <w:rPr/>
        <w:t>年中国金融业</w:t>
      </w:r>
      <w:r>
        <w:rPr>
          <w:spacing w:val="-48"/>
        </w:rPr>
        <w:t> </w:t>
      </w:r>
      <w:r>
        <w:rPr>
          <w:rFonts w:ascii="Times New Roman" w:hAnsi="Times New Roman" w:cs="Times New Roman" w:eastAsia="Times New Roman" w:hint="default"/>
        </w:rPr>
        <w:t>IT</w:t>
      </w:r>
      <w:r>
        <w:rPr>
          <w:rFonts w:ascii="Times New Roman" w:hAnsi="Times New Roman" w:cs="Times New Roman" w:eastAsia="Times New Roman" w:hint="default"/>
          <w:spacing w:val="-3"/>
        </w:rPr>
        <w:t> </w:t>
      </w:r>
      <w:r>
        <w:rPr/>
        <w:t>应用市场的规模增长速度</w:t>
      </w:r>
      <w:r>
        <w:rPr>
          <w:spacing w:val="-48"/>
        </w:rPr>
        <w:t> </w:t>
      </w:r>
      <w:r>
        <w:rPr>
          <w:rFonts w:ascii="Times New Roman" w:hAnsi="Times New Roman" w:cs="Times New Roman" w:eastAsia="Times New Roman" w:hint="default"/>
          <w:spacing w:val="-6"/>
        </w:rPr>
        <w:t>6%</w:t>
      </w:r>
      <w:r>
        <w:rPr>
          <w:spacing w:val="-6"/>
        </w:rPr>
        <w:t>，达到</w:t>
      </w:r>
      <w:r>
        <w:rPr>
          <w:spacing w:val="-48"/>
        </w:rPr>
        <w:t> </w:t>
      </w:r>
      <w:r>
        <w:rPr>
          <w:rFonts w:ascii="Times New Roman" w:hAnsi="Times New Roman" w:cs="Times New Roman" w:eastAsia="Times New Roman" w:hint="default"/>
        </w:rPr>
        <w:t>1,496</w:t>
      </w:r>
      <w:r>
        <w:rPr>
          <w:rFonts w:ascii="Times New Roman" w:hAnsi="Times New Roman" w:cs="Times New Roman" w:eastAsia="Times New Roman" w:hint="default"/>
          <w:spacing w:val="-3"/>
        </w:rPr>
        <w:t> </w:t>
      </w:r>
      <w:r>
        <w:rPr>
          <w:spacing w:val="-4"/>
        </w:rPr>
        <w:t>亿元，</w:t>
      </w:r>
      <w:r>
        <w:rPr>
          <w:rFonts w:ascii="Times New Roman" w:hAnsi="Times New Roman" w:cs="Times New Roman" w:eastAsia="Times New Roman" w:hint="default"/>
          <w:spacing w:val="-4"/>
        </w:rPr>
        <w:t>2020</w:t>
      </w:r>
      <w:r>
        <w:rPr>
          <w:rFonts w:ascii="Times New Roman" w:hAnsi="Times New Roman" w:cs="Times New Roman" w:eastAsia="Times New Roman" w:hint="default"/>
          <w:spacing w:val="-3"/>
        </w:rPr>
        <w:t> </w:t>
      </w:r>
      <w:r>
        <w:rPr/>
        <w:t>年的市 场规模增长速度</w:t>
      </w:r>
      <w:r>
        <w:rPr>
          <w:spacing w:val="-46"/>
        </w:rPr>
        <w:t> </w:t>
      </w:r>
      <w:r>
        <w:rPr>
          <w:rFonts w:ascii="Times New Roman" w:hAnsi="Times New Roman" w:cs="Times New Roman" w:eastAsia="Times New Roman" w:hint="default"/>
        </w:rPr>
        <w:t>6.2%</w:t>
      </w:r>
      <w:r>
        <w:rPr/>
        <w:t>，达到</w:t>
      </w:r>
      <w:r>
        <w:rPr>
          <w:spacing w:val="-46"/>
        </w:rPr>
        <w:t> </w:t>
      </w:r>
      <w:r>
        <w:rPr>
          <w:rFonts w:ascii="Times New Roman" w:hAnsi="Times New Roman" w:cs="Times New Roman" w:eastAsia="Times New Roman" w:hint="default"/>
        </w:rPr>
        <w:t>1,589</w:t>
      </w:r>
      <w:r>
        <w:rPr>
          <w:rFonts w:ascii="Times New Roman" w:hAnsi="Times New Roman" w:cs="Times New Roman" w:eastAsia="Times New Roman" w:hint="default"/>
          <w:spacing w:val="-1"/>
        </w:rPr>
        <w:t> </w:t>
      </w:r>
      <w:r>
        <w:rPr/>
        <w:t>亿元。信息安全也是金融</w:t>
      </w:r>
      <w:r>
        <w:rPr>
          <w:spacing w:val="-46"/>
        </w:rPr>
        <w:t> </w:t>
      </w:r>
      <w:r>
        <w:rPr>
          <w:rFonts w:ascii="Times New Roman" w:hAnsi="Times New Roman" w:cs="Times New Roman" w:eastAsia="Times New Roman" w:hint="default"/>
        </w:rPr>
        <w:t>IT</w:t>
      </w:r>
      <w:r>
        <w:rPr>
          <w:rFonts w:ascii="Times New Roman" w:hAnsi="Times New Roman" w:cs="Times New Roman" w:eastAsia="Times New Roman" w:hint="default"/>
          <w:spacing w:val="-1"/>
        </w:rPr>
        <w:t> </w:t>
      </w:r>
      <w:r>
        <w:rPr/>
        <w:t>始终关心的重点。</w:t>
      </w:r>
    </w:p>
    <w:p>
      <w:pPr>
        <w:pStyle w:val="Heading5"/>
        <w:spacing w:line="240" w:lineRule="auto" w:before="33"/>
        <w:ind w:left="515" w:right="0"/>
        <w:jc w:val="left"/>
        <w:rPr>
          <w:b w:val="0"/>
          <w:bCs w:val="0"/>
        </w:rPr>
      </w:pPr>
      <w:r>
        <w:rPr>
          <w:rFonts w:ascii="Times New Roman" w:hAnsi="Times New Roman" w:cs="Times New Roman" w:eastAsia="Times New Roman" w:hint="default"/>
        </w:rPr>
        <w:t>3</w:t>
      </w:r>
      <w:r>
        <w:rPr/>
        <w:t>、政府机关</w:t>
      </w:r>
      <w:r>
        <w:rPr>
          <w:b w:val="0"/>
          <w:bCs w:val="0"/>
        </w:rPr>
      </w:r>
    </w:p>
    <w:p>
      <w:pPr>
        <w:spacing w:line="240" w:lineRule="auto" w:before="9"/>
        <w:rPr>
          <w:rFonts w:ascii="宋体" w:hAnsi="宋体" w:cs="宋体" w:eastAsia="宋体" w:hint="default"/>
          <w:b/>
          <w:bCs/>
          <w:sz w:val="16"/>
          <w:szCs w:val="16"/>
        </w:rPr>
      </w:pPr>
    </w:p>
    <w:p>
      <w:pPr>
        <w:spacing w:line="468" w:lineRule="auto" w:before="0"/>
        <w:ind w:left="154" w:right="1132" w:firstLine="360"/>
        <w:jc w:val="both"/>
        <w:rPr>
          <w:rFonts w:ascii="宋体" w:hAnsi="宋体" w:cs="宋体" w:eastAsia="宋体" w:hint="default"/>
          <w:sz w:val="18"/>
          <w:szCs w:val="18"/>
        </w:rPr>
      </w:pPr>
      <w:r>
        <w:rPr>
          <w:rFonts w:ascii="宋体" w:hAnsi="宋体" w:cs="宋体" w:eastAsia="宋体" w:hint="default"/>
          <w:sz w:val="18"/>
          <w:szCs w:val="18"/>
        </w:rPr>
        <w:t>公安行业作为政府机关的典型代表，未来在大数据方向的投入也将显著增长。</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月，公安部在京召开全国公安 科技信息化工作会议，</w:t>
      </w:r>
      <w:r>
        <w:rPr>
          <w:rFonts w:ascii="宋体" w:hAnsi="宋体" w:cs="宋体" w:eastAsia="宋体" w:hint="default"/>
          <w:b/>
          <w:bCs/>
          <w:sz w:val="18"/>
          <w:szCs w:val="18"/>
        </w:rPr>
        <w:t>强调各级公安机关要以大数据建设和应用为重点</w:t>
      </w:r>
      <w:r>
        <w:rPr>
          <w:rFonts w:ascii="宋体" w:hAnsi="宋体" w:cs="宋体" w:eastAsia="宋体" w:hint="default"/>
          <w:sz w:val="18"/>
          <w:szCs w:val="18"/>
        </w:rPr>
        <w:t>，紧密结合“四项建设”任务，把大数据理念贯穿</w:t>
      </w:r>
      <w:r>
        <w:rPr>
          <w:rFonts w:ascii="宋体" w:hAnsi="宋体" w:cs="宋体" w:eastAsia="宋体" w:hint="default"/>
          <w:spacing w:val="-19"/>
          <w:sz w:val="18"/>
          <w:szCs w:val="18"/>
        </w:rPr>
        <w:t> </w:t>
      </w:r>
      <w:r>
        <w:rPr>
          <w:rFonts w:ascii="宋体" w:hAnsi="宋体" w:cs="宋体" w:eastAsia="宋体" w:hint="default"/>
          <w:spacing w:val="-19"/>
          <w:sz w:val="18"/>
          <w:szCs w:val="18"/>
        </w:rPr>
      </w:r>
      <w:r>
        <w:rPr>
          <w:rFonts w:ascii="宋体" w:hAnsi="宋体" w:cs="宋体" w:eastAsia="宋体" w:hint="default"/>
          <w:sz w:val="18"/>
          <w:szCs w:val="18"/>
        </w:rPr>
        <w:t>于基础信息化建设全过程、各环节，不断推动公安科技信息化建设提档升级；</w:t>
      </w:r>
      <w:r>
        <w:rPr>
          <w:rFonts w:ascii="宋体" w:hAnsi="宋体" w:cs="宋体" w:eastAsia="宋体" w:hint="default"/>
          <w:b/>
          <w:bCs/>
          <w:sz w:val="18"/>
          <w:szCs w:val="18"/>
        </w:rPr>
        <w:t>要加强数据中心建设，积极构建公安大数据</w:t>
      </w:r>
      <w:r>
        <w:rPr>
          <w:rFonts w:ascii="宋体" w:hAnsi="宋体" w:cs="宋体" w:eastAsia="宋体" w:hint="default"/>
          <w:b/>
          <w:bCs/>
          <w:spacing w:val="-18"/>
          <w:sz w:val="18"/>
          <w:szCs w:val="18"/>
        </w:rPr>
        <w:t> </w:t>
      </w:r>
      <w:r>
        <w:rPr>
          <w:rFonts w:ascii="宋体" w:hAnsi="宋体" w:cs="宋体" w:eastAsia="宋体" w:hint="default"/>
          <w:b/>
          <w:bCs/>
          <w:spacing w:val="-18"/>
          <w:sz w:val="18"/>
          <w:szCs w:val="18"/>
        </w:rPr>
      </w:r>
      <w:r>
        <w:rPr>
          <w:rFonts w:ascii="宋体" w:hAnsi="宋体" w:cs="宋体" w:eastAsia="宋体" w:hint="default"/>
          <w:b/>
          <w:bCs/>
          <w:sz w:val="18"/>
          <w:szCs w:val="18"/>
        </w:rPr>
        <w:t>体系</w:t>
      </w:r>
      <w:r>
        <w:rPr>
          <w:rFonts w:ascii="宋体" w:hAnsi="宋体" w:cs="宋体" w:eastAsia="宋体" w:hint="default"/>
          <w:sz w:val="18"/>
          <w:szCs w:val="18"/>
        </w:rPr>
        <w:t>。</w:t>
      </w:r>
    </w:p>
    <w:p>
      <w:pPr>
        <w:pStyle w:val="BodyText"/>
        <w:spacing w:line="240" w:lineRule="auto" w:before="61"/>
        <w:ind w:left="514" w:right="0"/>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8"/>
        </w:rPr>
        <w:t> </w:t>
      </w:r>
      <w:r>
        <w:rPr/>
        <w:t>年</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8"/>
        </w:rPr>
        <w:t> </w:t>
      </w:r>
      <w:r>
        <w:rPr/>
        <w:t>月公安部成立全国公安大数据工作领导小组，以大力实施公安大数据战略，确保到</w:t>
      </w:r>
      <w:r>
        <w:rPr>
          <w:spacing w:val="-53"/>
        </w:rPr>
        <w:t> </w:t>
      </w:r>
      <w:r>
        <w:rPr>
          <w:rFonts w:ascii="Times New Roman" w:hAnsi="Times New Roman" w:cs="Times New Roman" w:eastAsia="Times New Roman" w:hint="default"/>
        </w:rPr>
        <w:t>2020</w:t>
      </w:r>
      <w:r>
        <w:rPr>
          <w:rFonts w:ascii="Times New Roman" w:hAnsi="Times New Roman" w:cs="Times New Roman" w:eastAsia="Times New Roman" w:hint="default"/>
          <w:spacing w:val="-8"/>
        </w:rPr>
        <w:t> </w:t>
      </w:r>
      <w:r>
        <w:rPr/>
        <w:t>年公安信息化建设取</w:t>
      </w:r>
    </w:p>
    <w:p>
      <w:pPr>
        <w:spacing w:line="240" w:lineRule="auto" w:before="9"/>
        <w:rPr>
          <w:rFonts w:ascii="宋体" w:hAnsi="宋体" w:cs="宋体" w:eastAsia="宋体" w:hint="default"/>
          <w:sz w:val="16"/>
          <w:szCs w:val="16"/>
        </w:rPr>
      </w:pPr>
    </w:p>
    <w:p>
      <w:pPr>
        <w:pStyle w:val="BodyText"/>
        <w:spacing w:line="451" w:lineRule="auto"/>
        <w:ind w:right="1131"/>
        <w:jc w:val="both"/>
      </w:pPr>
      <w:r>
        <w:rPr/>
        <w:t>得重大进展、维护国家安全和社会稳定能力有大的提升。同年</w:t>
      </w:r>
      <w:r>
        <w:rPr>
          <w:spacing w:val="-74"/>
        </w:rPr>
        <w:t> </w:t>
      </w:r>
      <w:r>
        <w:rPr>
          <w:rFonts w:ascii="Times New Roman" w:hAnsi="Times New Roman" w:cs="Times New Roman" w:eastAsia="Times New Roman" w:hint="default"/>
        </w:rPr>
        <w:t>7</w:t>
      </w:r>
      <w:r>
        <w:rPr>
          <w:rFonts w:ascii="Times New Roman" w:hAnsi="Times New Roman" w:cs="Times New Roman" w:eastAsia="Times New Roman" w:hint="default"/>
          <w:spacing w:val="-30"/>
        </w:rPr>
        <w:t> </w:t>
      </w:r>
      <w:r>
        <w:rPr/>
        <w:t>月，全国公安机关深化</w:t>
      </w:r>
      <w:r>
        <w:rPr>
          <w:rFonts w:ascii="Times New Roman" w:hAnsi="Times New Roman" w:cs="Times New Roman" w:eastAsia="Times New Roman" w:hint="default"/>
        </w:rPr>
        <w:t>“</w:t>
      </w:r>
      <w:r>
        <w:rPr/>
        <w:t>放管服</w:t>
      </w:r>
      <w:r>
        <w:rPr>
          <w:rFonts w:ascii="Times New Roman" w:hAnsi="Times New Roman" w:cs="Times New Roman" w:eastAsia="Times New Roman" w:hint="default"/>
        </w:rPr>
        <w:t>”</w:t>
      </w:r>
      <w:r>
        <w:rPr/>
        <w:t>改革电视电话会议召开，会 议要求要进一步深化“互联网</w:t>
      </w:r>
      <w:r>
        <w:rPr>
          <w:rFonts w:ascii="Times New Roman" w:hAnsi="Times New Roman" w:cs="Times New Roman" w:eastAsia="Times New Roman" w:hint="default"/>
        </w:rPr>
        <w:t>+</w:t>
      </w:r>
      <w:r>
        <w:rPr/>
        <w:t>公安政务服务”，紧密结合实施公安大数据战略，加快推进公安政务服务平台建设，健全完 善与相关部门的信息共享制度，努力实现审批服务事项网上办，真正让数据多跑路、让群众少跑腿。</w:t>
      </w:r>
    </w:p>
    <w:p>
      <w:pPr>
        <w:spacing w:line="477" w:lineRule="auto" w:before="74"/>
        <w:ind w:left="154" w:right="0" w:firstLine="360"/>
        <w:jc w:val="left"/>
        <w:rPr>
          <w:rFonts w:ascii="宋体" w:hAnsi="宋体" w:cs="宋体" w:eastAsia="宋体" w:hint="default"/>
          <w:sz w:val="18"/>
          <w:szCs w:val="18"/>
        </w:rPr>
      </w:pPr>
      <w:r>
        <w:rPr>
          <w:rFonts w:ascii="宋体" w:hAnsi="宋体" w:cs="宋体" w:eastAsia="宋体" w:hint="default"/>
          <w:spacing w:val="-2"/>
          <w:sz w:val="18"/>
          <w:szCs w:val="18"/>
        </w:rPr>
        <w:t>在公安行业，前端层感知设备逐步建设完成，大数据、云、互联网和人工智能等技术逐步成熟，信息化建设基础条件具</w:t>
      </w:r>
      <w:r>
        <w:rPr>
          <w:rFonts w:ascii="宋体" w:hAnsi="宋体" w:cs="宋体" w:eastAsia="宋体" w:hint="default"/>
          <w:sz w:val="18"/>
          <w:szCs w:val="18"/>
        </w:rPr>
        <w:t> 备，对于软件能力需求大。由此可见，</w:t>
      </w:r>
      <w:r>
        <w:rPr>
          <w:rFonts w:ascii="宋体" w:hAnsi="宋体" w:cs="宋体" w:eastAsia="宋体" w:hint="default"/>
          <w:b/>
          <w:bCs/>
          <w:sz w:val="18"/>
          <w:szCs w:val="18"/>
        </w:rPr>
        <w:t>大数据作为公安工作创新发展的支撑点，未来市场容量将呈爆发式增长。</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5"/>
        <w:rPr>
          <w:rFonts w:ascii="宋体" w:hAnsi="宋体" w:cs="宋体" w:eastAsia="宋体" w:hint="default"/>
          <w:b/>
          <w:bCs/>
          <w:sz w:val="26"/>
          <w:szCs w:val="26"/>
        </w:rPr>
      </w:pPr>
    </w:p>
    <w:p>
      <w:pPr>
        <w:pStyle w:val="Heading2"/>
        <w:spacing w:line="240" w:lineRule="auto"/>
        <w:ind w:right="0"/>
        <w:jc w:val="both"/>
        <w:rPr>
          <w:b w:val="0"/>
          <w:bCs w:val="0"/>
        </w:rPr>
      </w:pPr>
      <w:bookmarkStart w:name="二、主要资产重大变化情况" w:id="22"/>
      <w:bookmarkEnd w:id="22"/>
      <w:r>
        <w:rPr>
          <w:b w:val="0"/>
          <w:bCs w:val="0"/>
        </w:rPr>
      </w:r>
      <w:r>
        <w:rPr/>
        <w:t>二、主要资产重大变化情况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both"/>
        <w:rPr>
          <w:b w:val="0"/>
          <w:bCs w:val="0"/>
        </w:rPr>
      </w:pPr>
      <w:bookmarkStart w:name="1、主要资产重大变化情况" w:id="23"/>
      <w:bookmarkEnd w:id="23"/>
      <w:r>
        <w:rPr>
          <w:b w:val="0"/>
          <w:bCs w:val="0"/>
        </w:rPr>
      </w:r>
      <w:r>
        <w:rPr>
          <w:rFonts w:ascii="Times New Roman" w:hAnsi="Times New Roman" w:cs="Times New Roman" w:eastAsia="Times New Roman" w:hint="default"/>
        </w:rPr>
        <w:t>1</w:t>
      </w:r>
      <w:r>
        <w:rPr/>
        <w:t>、主要资产重大变化情况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5"/>
          <w:szCs w:val="15"/>
        </w:rPr>
      </w:pPr>
    </w:p>
    <w:p>
      <w:pPr>
        <w:pStyle w:val="BodyText"/>
        <w:spacing w:line="240" w:lineRule="auto"/>
        <w:ind w:left="0" w:right="1040"/>
        <w:jc w:val="right"/>
      </w:pPr>
      <w:r>
        <w:rPr/>
        <w:pict>
          <v:shape style="position:absolute;margin-left:55.650002pt;margin-top:-137.288254pt;width:484.9pt;height:154.85pt;mso-position-horizontal-relative:page;mso-position-vertical-relative:paragraph;z-index:12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079"/>
                    <w:gridCol w:w="6604"/>
                  </w:tblGrid>
                  <w:tr>
                    <w:trPr>
                      <w:trHeight w:val="186" w:hRule="exact"/>
                    </w:trPr>
                    <w:tc>
                      <w:tcPr>
                        <w:tcW w:w="3079" w:type="dxa"/>
                        <w:tcBorders>
                          <w:top w:val="single" w:sz="4" w:space="0" w:color="000000"/>
                          <w:left w:val="single" w:sz="4" w:space="0" w:color="000000"/>
                          <w:bottom w:val="nil" w:sz="6" w:space="0" w:color="auto"/>
                          <w:right w:val="single" w:sz="4" w:space="0" w:color="000000"/>
                        </w:tcBorders>
                        <w:shd w:val="clear" w:color="auto" w:fill="D2D2D2"/>
                      </w:tcPr>
                      <w:p>
                        <w:pPr/>
                      </w:p>
                    </w:tc>
                    <w:tc>
                      <w:tcPr>
                        <w:tcW w:w="660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1" w:hRule="exact"/>
                    </w:trPr>
                    <w:tc>
                      <w:tcPr>
                        <w:tcW w:w="307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60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186" w:hRule="exact"/>
                    </w:trPr>
                    <w:tc>
                      <w:tcPr>
                        <w:tcW w:w="3079" w:type="dxa"/>
                        <w:tcBorders>
                          <w:top w:val="nil" w:sz="6" w:space="0" w:color="auto"/>
                          <w:left w:val="single" w:sz="4" w:space="0" w:color="000000"/>
                          <w:bottom w:val="single" w:sz="4" w:space="0" w:color="000000"/>
                          <w:right w:val="single" w:sz="4" w:space="0" w:color="000000"/>
                        </w:tcBorders>
                        <w:shd w:val="clear" w:color="auto" w:fill="D2D2D2"/>
                      </w:tcPr>
                      <w:p>
                        <w:pPr/>
                      </w:p>
                    </w:tc>
                    <w:tc>
                      <w:tcPr>
                        <w:tcW w:w="660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30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60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0" w:right="0"/>
                          <w:jc w:val="left"/>
                          <w:rPr>
                            <w:rFonts w:ascii="宋体" w:hAnsi="宋体" w:cs="宋体" w:eastAsia="宋体" w:hint="default"/>
                            <w:sz w:val="18"/>
                            <w:szCs w:val="18"/>
                          </w:rPr>
                        </w:pPr>
                        <w:r>
                          <w:rPr>
                            <w:rFonts w:ascii="宋体" w:hAnsi="宋体" w:cs="宋体" w:eastAsia="宋体" w:hint="default"/>
                            <w:sz w:val="18"/>
                            <w:szCs w:val="18"/>
                          </w:rPr>
                          <w:t>未发生重大变化</w:t>
                        </w:r>
                      </w:p>
                    </w:tc>
                  </w:tr>
                  <w:tr>
                    <w:trPr>
                      <w:trHeight w:val="402" w:hRule="exact"/>
                    </w:trPr>
                    <w:tc>
                      <w:tcPr>
                        <w:tcW w:w="30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660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0" w:right="0"/>
                          <w:jc w:val="left"/>
                          <w:rPr>
                            <w:rFonts w:ascii="宋体" w:hAnsi="宋体" w:cs="宋体" w:eastAsia="宋体" w:hint="default"/>
                            <w:sz w:val="18"/>
                            <w:szCs w:val="18"/>
                          </w:rPr>
                        </w:pPr>
                        <w:r>
                          <w:rPr>
                            <w:rFonts w:ascii="宋体" w:hAnsi="宋体" w:cs="宋体" w:eastAsia="宋体" w:hint="default"/>
                            <w:sz w:val="18"/>
                            <w:szCs w:val="18"/>
                          </w:rPr>
                          <w:t>未发生重大变化</w:t>
                        </w:r>
                      </w:p>
                    </w:tc>
                  </w:tr>
                  <w:tr>
                    <w:trPr>
                      <w:trHeight w:val="402" w:hRule="exact"/>
                    </w:trPr>
                    <w:tc>
                      <w:tcPr>
                        <w:tcW w:w="30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660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0" w:right="0"/>
                          <w:jc w:val="left"/>
                          <w:rPr>
                            <w:rFonts w:ascii="宋体" w:hAnsi="宋体" w:cs="宋体" w:eastAsia="宋体" w:hint="default"/>
                            <w:sz w:val="18"/>
                            <w:szCs w:val="18"/>
                          </w:rPr>
                        </w:pPr>
                        <w:r>
                          <w:rPr>
                            <w:rFonts w:ascii="宋体" w:hAnsi="宋体" w:cs="宋体" w:eastAsia="宋体" w:hint="default"/>
                            <w:sz w:val="18"/>
                            <w:szCs w:val="18"/>
                          </w:rPr>
                          <w:t>未发生重大变化</w:t>
                        </w:r>
                      </w:p>
                    </w:tc>
                  </w:tr>
                  <w:tr>
                    <w:trPr>
                      <w:trHeight w:val="402" w:hRule="exact"/>
                    </w:trPr>
                    <w:tc>
                      <w:tcPr>
                        <w:tcW w:w="30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660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0" w:right="0"/>
                          <w:jc w:val="left"/>
                          <w:rPr>
                            <w:rFonts w:ascii="宋体" w:hAnsi="宋体" w:cs="宋体" w:eastAsia="宋体" w:hint="default"/>
                            <w:sz w:val="18"/>
                            <w:szCs w:val="18"/>
                          </w:rPr>
                        </w:pPr>
                        <w:r>
                          <w:rPr>
                            <w:rFonts w:ascii="宋体" w:hAnsi="宋体" w:cs="宋体" w:eastAsia="宋体" w:hint="default"/>
                            <w:sz w:val="18"/>
                            <w:szCs w:val="18"/>
                          </w:rPr>
                          <w:t>未发生重大变化</w:t>
                        </w:r>
                      </w:p>
                    </w:tc>
                  </w:tr>
                  <w:tr>
                    <w:trPr>
                      <w:trHeight w:val="162" w:hRule="exact"/>
                    </w:trPr>
                    <w:tc>
                      <w:tcPr>
                        <w:tcW w:w="3079" w:type="dxa"/>
                        <w:tcBorders>
                          <w:top w:val="single" w:sz="4" w:space="0" w:color="000000"/>
                          <w:left w:val="single" w:sz="4" w:space="0" w:color="000000"/>
                          <w:bottom w:val="nil" w:sz="6" w:space="0" w:color="auto"/>
                          <w:right w:val="single" w:sz="4" w:space="0" w:color="000000"/>
                        </w:tcBorders>
                        <w:shd w:val="clear" w:color="auto" w:fill="D2D2D2"/>
                      </w:tcPr>
                      <w:p>
                        <w:pPr/>
                      </w:p>
                    </w:tc>
                    <w:tc>
                      <w:tcPr>
                        <w:tcW w:w="6604" w:type="dxa"/>
                        <w:vMerge w:val="restart"/>
                        <w:tcBorders>
                          <w:top w:val="single" w:sz="4" w:space="0" w:color="000000"/>
                          <w:left w:val="single" w:sz="10" w:space="0" w:color="D2D2D2"/>
                          <w:right w:val="single" w:sz="4" w:space="0" w:color="000000"/>
                        </w:tcBorders>
                      </w:tcPr>
                      <w:p>
                        <w:pPr>
                          <w:pStyle w:val="TableParagraph"/>
                          <w:spacing w:line="300" w:lineRule="auto" w:before="52"/>
                          <w:ind w:left="15" w:right="29"/>
                          <w:jc w:val="left"/>
                          <w:rPr>
                            <w:rFonts w:ascii="宋体" w:hAnsi="宋体" w:cs="宋体" w:eastAsia="宋体" w:hint="default"/>
                            <w:sz w:val="18"/>
                            <w:szCs w:val="18"/>
                          </w:rPr>
                        </w:pPr>
                        <w:r>
                          <w:rPr>
                            <w:rFonts w:ascii="宋体" w:hAnsi="宋体" w:cs="宋体" w:eastAsia="宋体" w:hint="default"/>
                            <w:sz w:val="18"/>
                            <w:szCs w:val="18"/>
                          </w:rPr>
                          <w:t>较期初下降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32.09%</w:t>
                        </w:r>
                        <w:r>
                          <w:rPr>
                            <w:rFonts w:ascii="宋体" w:hAnsi="宋体" w:cs="宋体" w:eastAsia="宋体" w:hint="default"/>
                            <w:sz w:val="18"/>
                            <w:szCs w:val="18"/>
                          </w:rPr>
                          <w:t>，主要为本期经营活动现金净流入较上年同期减少、筹资活动净 流出增加所致。详见“经营情况讨论与分析”中“二、主营业务分析</w:t>
                        </w:r>
                        <w:r>
                          <w:rPr>
                            <w:rFonts w:ascii="宋体" w:hAnsi="宋体" w:cs="宋体" w:eastAsia="宋体" w:hint="default"/>
                            <w:spacing w:val="-24"/>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、现金流”</w:t>
                        </w:r>
                      </w:p>
                    </w:tc>
                  </w:tr>
                  <w:tr>
                    <w:trPr>
                      <w:trHeight w:val="391" w:hRule="exact"/>
                    </w:trPr>
                    <w:tc>
                      <w:tcPr>
                        <w:tcW w:w="307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6604" w:type="dxa"/>
                        <w:vMerge/>
                        <w:tcBorders>
                          <w:left w:val="single" w:sz="10" w:space="0" w:color="D2D2D2"/>
                          <w:right w:val="single" w:sz="4" w:space="0" w:color="000000"/>
                        </w:tcBorders>
                      </w:tcPr>
                      <w:p>
                        <w:pPr/>
                      </w:p>
                    </w:tc>
                  </w:tr>
                  <w:tr>
                    <w:trPr>
                      <w:trHeight w:val="162" w:hRule="exact"/>
                    </w:trPr>
                    <w:tc>
                      <w:tcPr>
                        <w:tcW w:w="3079" w:type="dxa"/>
                        <w:tcBorders>
                          <w:top w:val="nil" w:sz="6" w:space="0" w:color="auto"/>
                          <w:left w:val="single" w:sz="4" w:space="0" w:color="000000"/>
                          <w:bottom w:val="single" w:sz="4" w:space="0" w:color="000000"/>
                          <w:right w:val="single" w:sz="4" w:space="0" w:color="000000"/>
                        </w:tcBorders>
                        <w:shd w:val="clear" w:color="auto" w:fill="D2D2D2"/>
                      </w:tcPr>
                      <w:p>
                        <w:pPr/>
                      </w:p>
                    </w:tc>
                    <w:tc>
                      <w:tcPr>
                        <w:tcW w:w="6604" w:type="dxa"/>
                        <w:vMerge/>
                        <w:tcBorders>
                          <w:left w:val="single" w:sz="10" w:space="0" w:color="D2D2D2"/>
                          <w:bottom w:val="single" w:sz="4" w:space="0" w:color="000000"/>
                          <w:right w:val="single" w:sz="4" w:space="0" w:color="000000"/>
                        </w:tcBorders>
                      </w:tcPr>
                      <w:p>
                        <w:pPr/>
                      </w:p>
                    </w:tc>
                  </w:tr>
                </w:tbl>
                <w:p>
                  <w:pPr/>
                </w:p>
              </w:txbxContent>
            </v:textbox>
            <w10:wrap type="none"/>
          </v:shape>
        </w:pict>
      </w:r>
      <w:r>
        <w:rPr/>
        <w:t>。</w:t>
      </w:r>
    </w:p>
    <w:p>
      <w:pPr>
        <w:spacing w:after="0" w:line="240" w:lineRule="auto"/>
        <w:jc w:val="right"/>
        <w:sectPr>
          <w:pgSz w:w="11910" w:h="16840"/>
          <w:pgMar w:header="851" w:footer="1187" w:top="1400" w:bottom="1380" w:left="980" w:right="0"/>
        </w:sectPr>
      </w:pPr>
    </w:p>
    <w:p>
      <w:pPr>
        <w:spacing w:line="240" w:lineRule="auto" w:before="7"/>
        <w:rPr>
          <w:rFonts w:ascii="宋体" w:hAnsi="宋体" w:cs="宋体" w:eastAsia="宋体" w:hint="default"/>
          <w:sz w:val="3"/>
          <w:szCs w:val="3"/>
        </w:rPr>
      </w:pPr>
    </w:p>
    <w:tbl>
      <w:tblPr>
        <w:tblW w:w="0" w:type="auto"/>
        <w:jc w:val="left"/>
        <w:tblInd w:w="101" w:type="dxa"/>
        <w:tblLayout w:type="fixed"/>
        <w:tblCellMar>
          <w:top w:w="0" w:type="dxa"/>
          <w:left w:w="0" w:type="dxa"/>
          <w:bottom w:w="0" w:type="dxa"/>
          <w:right w:w="0" w:type="dxa"/>
        </w:tblCellMar>
        <w:tblLook w:val="01E0"/>
      </w:tblPr>
      <w:tblGrid>
        <w:gridCol w:w="3078"/>
        <w:gridCol w:w="6616"/>
      </w:tblGrid>
      <w:tr>
        <w:trPr>
          <w:trHeight w:val="409" w:hRule="exact"/>
        </w:trPr>
        <w:tc>
          <w:tcPr>
            <w:tcW w:w="3078"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6616" w:type="dxa"/>
            <w:tcBorders>
              <w:top w:val="single" w:sz="10"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较期初上升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33.71%</w:t>
            </w:r>
            <w:r>
              <w:rPr>
                <w:rFonts w:ascii="宋体" w:hAnsi="宋体" w:cs="宋体" w:eastAsia="宋体" w:hint="default"/>
                <w:sz w:val="18"/>
                <w:szCs w:val="18"/>
              </w:rPr>
              <w:t>，主要为债务重组取得的房产用于出租所致。</w:t>
            </w:r>
          </w:p>
        </w:tc>
      </w:tr>
      <w:tr>
        <w:trPr>
          <w:trHeight w:val="402" w:hRule="exact"/>
        </w:trPr>
        <w:tc>
          <w:tcPr>
            <w:tcW w:w="30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66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较期初下降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69.40%</w:t>
            </w:r>
            <w:r>
              <w:rPr>
                <w:rFonts w:ascii="宋体" w:hAnsi="宋体" w:cs="宋体" w:eastAsia="宋体" w:hint="default"/>
                <w:sz w:val="18"/>
                <w:szCs w:val="18"/>
              </w:rPr>
              <w:t>，主要因本期转入无形资产的研发项目较上年同期增加所致。</w:t>
            </w:r>
          </w:p>
        </w:tc>
      </w:tr>
      <w:tr>
        <w:trPr>
          <w:trHeight w:val="403" w:hRule="exact"/>
        </w:trPr>
        <w:tc>
          <w:tcPr>
            <w:tcW w:w="30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66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较期初下降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52.23%</w:t>
            </w:r>
            <w:r>
              <w:rPr>
                <w:rFonts w:ascii="宋体" w:hAnsi="宋体" w:cs="宋体" w:eastAsia="宋体" w:hint="default"/>
                <w:sz w:val="18"/>
                <w:szCs w:val="18"/>
              </w:rPr>
              <w:t>，主要因游戏授权金转入营业成本所致。</w:t>
            </w:r>
          </w:p>
        </w:tc>
      </w:tr>
    </w:tbl>
    <w:p>
      <w:pPr>
        <w:spacing w:line="240" w:lineRule="auto" w:before="3"/>
        <w:rPr>
          <w:rFonts w:ascii="宋体" w:hAnsi="宋体" w:cs="宋体" w:eastAsia="宋体" w:hint="default"/>
          <w:sz w:val="19"/>
          <w:szCs w:val="19"/>
        </w:rPr>
      </w:pPr>
    </w:p>
    <w:p>
      <w:pPr>
        <w:pStyle w:val="Heading3"/>
        <w:spacing w:line="240" w:lineRule="auto" w:before="35"/>
        <w:ind w:left="134" w:right="7680"/>
        <w:jc w:val="left"/>
        <w:rPr>
          <w:b w:val="0"/>
          <w:bCs w:val="0"/>
        </w:rPr>
      </w:pPr>
      <w:bookmarkStart w:name="2、主要境外资产情况" w:id="24"/>
      <w:bookmarkEnd w:id="24"/>
      <w:r>
        <w:rPr>
          <w:b w:val="0"/>
          <w:bCs w:val="0"/>
        </w:rPr>
      </w:r>
      <w:r>
        <w:rPr>
          <w:rFonts w:ascii="Times New Roman" w:hAnsi="Times New Roman" w:cs="Times New Roman" w:eastAsia="Times New Roman" w:hint="default"/>
        </w:rPr>
        <w:t>2</w:t>
      </w:r>
      <w:r>
        <w:rPr/>
        <w:t>、主要境外资产情况</w:t>
      </w:r>
      <w:r>
        <w:rPr>
          <w:b w:val="0"/>
          <w:bCs w:val="0"/>
        </w:rPr>
      </w:r>
    </w:p>
    <w:p>
      <w:pPr>
        <w:spacing w:line="240" w:lineRule="auto" w:before="8"/>
        <w:rPr>
          <w:rFonts w:ascii="宋体" w:hAnsi="宋体" w:cs="宋体" w:eastAsia="宋体" w:hint="default"/>
          <w:b/>
          <w:bCs/>
          <w:sz w:val="26"/>
          <w:szCs w:val="26"/>
        </w:rPr>
      </w:pPr>
    </w:p>
    <w:p>
      <w:pPr>
        <w:spacing w:before="0"/>
        <w:ind w:left="134" w:right="768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2"/>
        <w:rPr>
          <w:rFonts w:ascii="宋体" w:hAnsi="宋体" w:cs="宋体" w:eastAsia="宋体" w:hint="default"/>
          <w:b/>
          <w:bCs/>
          <w:sz w:val="23"/>
          <w:szCs w:val="23"/>
        </w:rPr>
      </w:pPr>
    </w:p>
    <w:p>
      <w:pPr>
        <w:pStyle w:val="Heading2"/>
        <w:spacing w:line="240" w:lineRule="auto"/>
        <w:ind w:left="134" w:right="7680"/>
        <w:jc w:val="left"/>
        <w:rPr>
          <w:b w:val="0"/>
          <w:bCs w:val="0"/>
        </w:rPr>
      </w:pPr>
      <w:bookmarkStart w:name="三、核心竞争力分析" w:id="25"/>
      <w:bookmarkEnd w:id="25"/>
      <w:r>
        <w:rPr>
          <w:b w:val="0"/>
          <w:bCs w:val="0"/>
        </w:rPr>
      </w:r>
      <w:r>
        <w:rPr/>
        <w:t>三、核心竞争力分析</w:t>
      </w:r>
      <w:r>
        <w:rPr>
          <w:b w:val="0"/>
          <w:bCs w:val="0"/>
        </w:rPr>
      </w:r>
    </w:p>
    <w:p>
      <w:pPr>
        <w:spacing w:line="240" w:lineRule="auto" w:before="9"/>
        <w:rPr>
          <w:rFonts w:ascii="宋体" w:hAnsi="宋体" w:cs="宋体" w:eastAsia="宋体" w:hint="default"/>
          <w:b/>
          <w:bCs/>
          <w:sz w:val="26"/>
          <w:szCs w:val="26"/>
        </w:rPr>
      </w:pPr>
    </w:p>
    <w:p>
      <w:pPr>
        <w:spacing w:line="357" w:lineRule="auto" w:before="0"/>
        <w:ind w:left="134" w:right="7680" w:firstLine="0"/>
        <w:jc w:val="left"/>
        <w:rPr>
          <w:rFonts w:ascii="宋体" w:hAnsi="宋体" w:cs="宋体" w:eastAsia="宋体" w:hint="default"/>
          <w:sz w:val="18"/>
          <w:szCs w:val="18"/>
        </w:rPr>
      </w:pPr>
      <w:r>
        <w:rPr>
          <w:rFonts w:ascii="宋体" w:hAnsi="宋体" w:cs="宋体" w:eastAsia="宋体" w:hint="default"/>
          <w:b/>
          <w:bCs/>
          <w:sz w:val="18"/>
          <w:szCs w:val="18"/>
        </w:rPr>
        <w:t>公司是否需要遵守特殊行业的披露要求</w:t>
      </w:r>
      <w:r>
        <w:rPr>
          <w:rFonts w:ascii="宋体" w:hAnsi="宋体" w:cs="宋体" w:eastAsia="宋体" w:hint="default"/>
          <w:b/>
          <w:bCs/>
          <w:w w:val="99"/>
          <w:sz w:val="18"/>
          <w:szCs w:val="18"/>
        </w:rPr>
        <w:t> </w:t>
      </w:r>
      <w:r>
        <w:rPr>
          <w:rFonts w:ascii="宋体" w:hAnsi="宋体" w:cs="宋体" w:eastAsia="宋体" w:hint="default"/>
          <w:b/>
          <w:bCs/>
          <w:sz w:val="18"/>
          <w:szCs w:val="18"/>
        </w:rPr>
        <w:t>是</w:t>
      </w:r>
      <w:r>
        <w:rPr>
          <w:rFonts w:ascii="宋体" w:hAnsi="宋体" w:cs="宋体" w:eastAsia="宋体" w:hint="default"/>
          <w:b/>
          <w:bCs/>
          <w:w w:val="99"/>
          <w:sz w:val="18"/>
          <w:szCs w:val="18"/>
        </w:rPr>
        <w:t> </w:t>
      </w:r>
      <w:r>
        <w:rPr>
          <w:rFonts w:ascii="宋体" w:hAnsi="宋体" w:cs="宋体" w:eastAsia="宋体" w:hint="default"/>
          <w:sz w:val="18"/>
          <w:szCs w:val="18"/>
        </w:rPr>
        <w:t>软件与信息技术服务业；互联网游戏业</w:t>
      </w:r>
    </w:p>
    <w:p>
      <w:pPr>
        <w:pStyle w:val="BodyText"/>
        <w:spacing w:line="477" w:lineRule="auto" w:before="106"/>
        <w:ind w:left="134" w:right="1032" w:firstLine="360"/>
        <w:jc w:val="left"/>
      </w:pPr>
      <w:r>
        <w:rPr>
          <w:spacing w:val="-2"/>
        </w:rPr>
        <w:t>公司的核心竞争力主要体现在技术研发、客户资源、市场品牌等各方面。报告期内，公司的上述竞争优势得到了进一步</w:t>
      </w:r>
      <w:r>
        <w:rPr/>
        <w:t> 的提升。</w:t>
      </w:r>
    </w:p>
    <w:p>
      <w:pPr>
        <w:spacing w:line="240" w:lineRule="auto" w:before="3"/>
        <w:rPr>
          <w:rFonts w:ascii="宋体" w:hAnsi="宋体" w:cs="宋体" w:eastAsia="宋体" w:hint="default"/>
          <w:sz w:val="3"/>
          <w:szCs w:val="3"/>
        </w:rPr>
      </w:pPr>
    </w:p>
    <w:p>
      <w:pPr>
        <w:spacing w:line="6375" w:lineRule="exact"/>
        <w:ind w:left="798" w:right="0" w:firstLine="0"/>
        <w:rPr>
          <w:rFonts w:ascii="宋体" w:hAnsi="宋体" w:cs="宋体" w:eastAsia="宋体" w:hint="default"/>
          <w:sz w:val="20"/>
          <w:szCs w:val="20"/>
        </w:rPr>
      </w:pPr>
      <w:r>
        <w:rPr>
          <w:rFonts w:ascii="宋体" w:hAnsi="宋体" w:cs="宋体" w:eastAsia="宋体" w:hint="default"/>
          <w:position w:val="-127"/>
          <w:sz w:val="20"/>
          <w:szCs w:val="20"/>
        </w:rPr>
        <w:drawing>
          <wp:inline distT="0" distB="0" distL="0" distR="0">
            <wp:extent cx="5256665" cy="4048505"/>
            <wp:effectExtent l="0" t="0" r="0" b="0"/>
            <wp:docPr id="57" name="image44.jpeg" descr=""/>
            <wp:cNvGraphicFramePr>
              <a:graphicFrameLocks noChangeAspect="1"/>
            </wp:cNvGraphicFramePr>
            <a:graphic>
              <a:graphicData uri="http://schemas.openxmlformats.org/drawingml/2006/picture">
                <pic:pic>
                  <pic:nvPicPr>
                    <pic:cNvPr id="58" name="image44.jpeg"/>
                    <pic:cNvPicPr/>
                  </pic:nvPicPr>
                  <pic:blipFill>
                    <a:blip r:embed="rId51" cstate="print"/>
                    <a:stretch>
                      <a:fillRect/>
                    </a:stretch>
                  </pic:blipFill>
                  <pic:spPr>
                    <a:xfrm>
                      <a:off x="0" y="0"/>
                      <a:ext cx="5256665" cy="4048505"/>
                    </a:xfrm>
                    <a:prstGeom prst="rect">
                      <a:avLst/>
                    </a:prstGeom>
                  </pic:spPr>
                </pic:pic>
              </a:graphicData>
            </a:graphic>
          </wp:inline>
        </w:drawing>
      </w:r>
      <w:r>
        <w:rPr>
          <w:rFonts w:ascii="宋体" w:hAnsi="宋体" w:cs="宋体" w:eastAsia="宋体" w:hint="default"/>
          <w:position w:val="-127"/>
          <w:sz w:val="20"/>
          <w:szCs w:val="20"/>
        </w:rPr>
      </w:r>
    </w:p>
    <w:p>
      <w:pPr>
        <w:spacing w:line="240" w:lineRule="auto" w:before="8"/>
        <w:rPr>
          <w:rFonts w:ascii="宋体" w:hAnsi="宋体" w:cs="宋体" w:eastAsia="宋体" w:hint="default"/>
          <w:sz w:val="13"/>
          <w:szCs w:val="13"/>
        </w:rPr>
      </w:pPr>
    </w:p>
    <w:p>
      <w:pPr>
        <w:pStyle w:val="Heading4"/>
        <w:spacing w:line="240" w:lineRule="auto"/>
        <w:ind w:left="495" w:right="7680"/>
        <w:jc w:val="left"/>
        <w:rPr>
          <w:b w:val="0"/>
          <w:bCs w:val="0"/>
          <w:i w:val="0"/>
        </w:rPr>
      </w:pPr>
      <w:bookmarkStart w:name="1、技术研发实力" w:id="26"/>
      <w:bookmarkEnd w:id="26"/>
      <w:r>
        <w:rPr>
          <w:b w:val="0"/>
          <w:bCs w:val="0"/>
          <w:i w:val="0"/>
        </w:rPr>
      </w:r>
      <w:r>
        <w:rPr>
          <w:rFonts w:ascii="Times New Roman" w:hAnsi="Times New Roman" w:cs="Times New Roman" w:eastAsia="Times New Roman" w:hint="default"/>
          <w:i/>
          <w:sz w:val="18"/>
          <w:szCs w:val="18"/>
        </w:rPr>
      </w:r>
      <w:r>
        <w:rPr>
          <w:rFonts w:ascii="Times New Roman" w:hAnsi="Times New Roman" w:cs="Times New Roman" w:eastAsia="Times New Roman" w:hint="default"/>
          <w:i/>
          <w:sz w:val="18"/>
          <w:szCs w:val="18"/>
          <w:u w:val="single" w:color="000000"/>
        </w:rPr>
        <w:t>1</w:t>
      </w:r>
      <w:r>
        <w:rPr>
          <w:u w:val="single" w:color="000000"/>
        </w:rPr>
        <w:t>、技术研发实力</w:t>
      </w:r>
      <w:r>
        <w:rPr/>
      </w:r>
      <w:r>
        <w:rPr>
          <w:b w:val="0"/>
          <w:bCs w:val="0"/>
          <w:i w:val="0"/>
        </w:rPr>
      </w:r>
    </w:p>
    <w:p>
      <w:pPr>
        <w:spacing w:line="240" w:lineRule="auto" w:before="5"/>
        <w:rPr>
          <w:rFonts w:ascii="宋体" w:hAnsi="宋体" w:cs="宋体" w:eastAsia="宋体" w:hint="default"/>
          <w:b/>
          <w:bCs/>
          <w:i/>
          <w:sz w:val="13"/>
          <w:szCs w:val="13"/>
        </w:rPr>
      </w:pPr>
    </w:p>
    <w:p>
      <w:pPr>
        <w:pStyle w:val="BodyText"/>
        <w:spacing w:line="463" w:lineRule="auto" w:before="44"/>
        <w:ind w:left="134" w:right="1131" w:firstLine="360"/>
        <w:jc w:val="both"/>
      </w:pPr>
      <w:r>
        <w:rPr/>
        <w:t>公司自</w:t>
      </w:r>
      <w:r>
        <w:rPr>
          <w:spacing w:val="-41"/>
        </w:rPr>
        <w:t> </w:t>
      </w:r>
      <w:r>
        <w:rPr>
          <w:rFonts w:ascii="Times New Roman" w:hAnsi="Times New Roman" w:cs="Times New Roman" w:eastAsia="Times New Roman" w:hint="default"/>
        </w:rPr>
        <w:t>2001</w:t>
      </w:r>
      <w:r>
        <w:rPr>
          <w:rFonts w:ascii="Times New Roman" w:hAnsi="Times New Roman" w:cs="Times New Roman" w:eastAsia="Times New Roman" w:hint="default"/>
          <w:spacing w:val="4"/>
        </w:rPr>
        <w:t> </w:t>
      </w:r>
      <w:r>
        <w:rPr/>
        <w:t>年正式设立以来，始终从事信息技术产业的产品研发与技术服务，多年秉承专注专业的精神，坚持计算机 </w:t>
      </w:r>
      <w:r>
        <w:rPr>
          <w:spacing w:val="-2"/>
        </w:rPr>
        <w:t>应用软件的自助研发与创新。公司拥有深厚的计算机软件研发实力，拥有经验丰富的研发团队，技术人员占员工总人数的比</w:t>
      </w:r>
      <w:r>
        <w:rPr>
          <w:spacing w:val="-65"/>
        </w:rPr>
        <w:t> </w:t>
      </w:r>
      <w:r>
        <w:rPr>
          <w:spacing w:val="-65"/>
        </w:rPr>
      </w:r>
      <w:r>
        <w:rPr/>
        <w:t>例近</w:t>
      </w:r>
      <w:r>
        <w:rPr>
          <w:spacing w:val="-46"/>
        </w:rPr>
        <w:t> </w:t>
      </w:r>
      <w:r>
        <w:rPr>
          <w:rFonts w:ascii="Times New Roman" w:hAnsi="Times New Roman" w:cs="Times New Roman" w:eastAsia="Times New Roman" w:hint="default"/>
        </w:rPr>
        <w:t>80%</w:t>
      </w:r>
      <w:r>
        <w:rPr/>
        <w:t>。</w:t>
      </w:r>
    </w:p>
    <w:p>
      <w:pPr>
        <w:spacing w:after="0" w:line="463" w:lineRule="auto"/>
        <w:jc w:val="both"/>
        <w:sectPr>
          <w:pgSz w:w="11910" w:h="16840"/>
          <w:pgMar w:header="851" w:footer="1187" w:top="1400" w:bottom="1380" w:left="1000" w:right="0"/>
        </w:sectPr>
      </w:pPr>
    </w:p>
    <w:p>
      <w:pPr>
        <w:spacing w:line="240" w:lineRule="auto" w:before="7"/>
        <w:rPr>
          <w:rFonts w:ascii="宋体" w:hAnsi="宋体" w:cs="宋体" w:eastAsia="宋体" w:hint="default"/>
          <w:sz w:val="3"/>
          <w:szCs w:val="3"/>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5"/>
        <w:rPr>
          <w:rFonts w:ascii="宋体" w:hAnsi="宋体" w:cs="宋体" w:eastAsia="宋体" w:hint="default"/>
          <w:sz w:val="4"/>
          <w:szCs w:val="4"/>
        </w:rPr>
      </w:pPr>
    </w:p>
    <w:p>
      <w:pPr>
        <w:spacing w:line="5490" w:lineRule="exact"/>
        <w:ind w:left="570" w:right="0" w:firstLine="0"/>
        <w:rPr>
          <w:rFonts w:ascii="宋体" w:hAnsi="宋体" w:cs="宋体" w:eastAsia="宋体" w:hint="default"/>
          <w:sz w:val="20"/>
          <w:szCs w:val="20"/>
        </w:rPr>
      </w:pPr>
      <w:r>
        <w:rPr>
          <w:rFonts w:ascii="宋体" w:hAnsi="宋体" w:cs="宋体" w:eastAsia="宋体" w:hint="default"/>
          <w:position w:val="-109"/>
          <w:sz w:val="20"/>
          <w:szCs w:val="20"/>
        </w:rPr>
        <w:pict>
          <v:group style="width:455.25pt;height:274.5pt;mso-position-horizontal-relative:char;mso-position-vertical-relative:line" coordorigin="0,0" coordsize="9105,5490">
            <v:group style="position:absolute;left:723;top:3802;width:8154;height:2" coordorigin="723,3802" coordsize="8154,2">
              <v:shape style="position:absolute;left:723;top:3802;width:8154;height:2" coordorigin="723,3802" coordsize="8154,0" path="m723,3802l8877,3802e" filled="false" stroked="true" strokeweight=".72pt" strokecolor="#d9d9d9">
                <v:path arrowok="t"/>
              </v:shape>
            </v:group>
            <v:group style="position:absolute;left:723;top:3358;width:8154;height:2" coordorigin="723,3358" coordsize="8154,2">
              <v:shape style="position:absolute;left:723;top:3358;width:8154;height:2" coordorigin="723,3358" coordsize="8154,0" path="m723,3358l8877,3358e" filled="false" stroked="true" strokeweight=".72pt" strokecolor="#d9d9d9">
                <v:path arrowok="t"/>
              </v:shape>
            </v:group>
            <v:group style="position:absolute;left:723;top:2915;width:8154;height:2" coordorigin="723,2915" coordsize="8154,2">
              <v:shape style="position:absolute;left:723;top:2915;width:8154;height:2" coordorigin="723,2915" coordsize="8154,0" path="m723,2915l8877,2915e" filled="false" stroked="true" strokeweight=".72pt" strokecolor="#d9d9d9">
                <v:path arrowok="t"/>
              </v:shape>
            </v:group>
            <v:group style="position:absolute;left:723;top:2471;width:8154;height:2" coordorigin="723,2471" coordsize="8154,2">
              <v:shape style="position:absolute;left:723;top:2471;width:8154;height:2" coordorigin="723,2471" coordsize="8154,0" path="m723,2471l8877,2471e" filled="false" stroked="true" strokeweight=".72pt" strokecolor="#d9d9d9">
                <v:path arrowok="t"/>
              </v:shape>
              <v:shape style="position:absolute;left:936;top:2099;width:788;height:2166" type="#_x0000_t75" stroked="false">
                <v:imagedata r:id="rId52" o:title=""/>
              </v:shape>
            </v:group>
            <v:group style="position:absolute;left:723;top:1584;width:8154;height:2" coordorigin="723,1584" coordsize="8154,2">
              <v:shape style="position:absolute;left:723;top:1584;width:8154;height:2" coordorigin="723,1584" coordsize="8154,0" path="m723,1584l8877,1584e" filled="false" stroked="true" strokeweight=".72pt" strokecolor="#d9d9d9">
                <v:path arrowok="t"/>
              </v:shape>
            </v:group>
            <v:group style="position:absolute;left:723;top:1140;width:8154;height:2" coordorigin="723,1140" coordsize="8154,2">
              <v:shape style="position:absolute;left:723;top:1140;width:8154;height:2" coordorigin="723,1140" coordsize="8154,0" path="m723,1140l8877,1140e" filled="false" stroked="true" strokeweight=".72pt" strokecolor="#d9d9d9">
                <v:path arrowok="t"/>
              </v:shape>
            </v:group>
            <v:group style="position:absolute;left:723;top:698;width:8154;height:2" coordorigin="723,698" coordsize="8154,2">
              <v:shape style="position:absolute;left:723;top:698;width:8154;height:2" coordorigin="723,698" coordsize="8154,0" path="m723,698l8877,698e" filled="false" stroked="true" strokeweight=".72pt" strokecolor="#d9d9d9">
                <v:path arrowok="t"/>
              </v:shape>
              <v:shape style="position:absolute;left:3654;top:525;width:788;height:3741" type="#_x0000_t75" stroked="false">
                <v:imagedata r:id="rId53" o:title=""/>
              </v:shape>
              <v:shape style="position:absolute;left:6372;top:2810;width:788;height:1456" type="#_x0000_t75" stroked="false">
                <v:imagedata r:id="rId54" o:title=""/>
              </v:shape>
              <v:shape style="position:absolute;left:4406;top:1434;width:788;height:2831" type="#_x0000_t75" stroked="false">
                <v:imagedata r:id="rId55" o:title=""/>
              </v:shape>
              <v:shape style="position:absolute;left:7124;top:2787;width:788;height:1479" type="#_x0000_t75" stroked="false">
                <v:imagedata r:id="rId56" o:title=""/>
              </v:shape>
              <v:shape style="position:absolute;left:1688;top:1479;width:1541;height:2787" type="#_x0000_t75" stroked="false">
                <v:imagedata r:id="rId57" o:title=""/>
              </v:shape>
              <v:shape style="position:absolute;left:5159;top:1123;width:788;height:3142" type="#_x0000_t75" stroked="false">
                <v:imagedata r:id="rId58" o:title=""/>
              </v:shape>
              <v:shape style="position:absolute;left:7877;top:3275;width:788;height:990" type="#_x0000_t75" stroked="false">
                <v:imagedata r:id="rId59" o:title=""/>
              </v:shape>
              <v:shape style="position:absolute;left:1027;top:2161;width:607;height:2085" type="#_x0000_t75" stroked="false">
                <v:imagedata r:id="rId60" o:title=""/>
              </v:shape>
              <v:shape style="position:absolute;left:3745;top:586;width:607;height:3659" type="#_x0000_t75" stroked="false">
                <v:imagedata r:id="rId61" o:title=""/>
              </v:shape>
              <v:shape style="position:absolute;left:6463;top:2870;width:607;height:1375" type="#_x0000_t75" stroked="false">
                <v:imagedata r:id="rId62" o:title=""/>
              </v:shape>
              <v:shape style="position:absolute;left:1779;top:1540;width:607;height:2706" type="#_x0000_t75" stroked="false">
                <v:imagedata r:id="rId63" o:title=""/>
              </v:shape>
              <v:shape style="position:absolute;left:4497;top:1496;width:607;height:2750" type="#_x0000_t75" stroked="false">
                <v:imagedata r:id="rId64" o:title=""/>
              </v:shape>
              <v:shape style="position:absolute;left:7215;top:2848;width:607;height:1397" type="#_x0000_t75" stroked="false">
                <v:imagedata r:id="rId65" o:title=""/>
              </v:shape>
              <v:shape style="position:absolute;left:2531;top:1540;width:607;height:2706" type="#_x0000_t75" stroked="false">
                <v:imagedata r:id="rId66" o:title=""/>
              </v:shape>
              <v:shape style="position:absolute;left:5250;top:1185;width:607;height:3060" type="#_x0000_t75" stroked="false">
                <v:imagedata r:id="rId67" o:title=""/>
              </v:shape>
              <v:shape style="position:absolute;left:7968;top:3336;width:607;height:909" type="#_x0000_t75" stroked="false">
                <v:imagedata r:id="rId68" o:title=""/>
              </v:shape>
            </v:group>
            <v:group style="position:absolute;left:723;top:4246;width:8154;height:2" coordorigin="723,4246" coordsize="8154,2">
              <v:shape style="position:absolute;left:723;top:4246;width:8154;height:2" coordorigin="723,4246" coordsize="8154,0" path="m723,4246l8877,4246e" filled="false" stroked="true" strokeweight=".96pt" strokecolor="#d9d9d9">
                <v:path arrowok="t"/>
              </v:shape>
            </v:group>
            <v:group style="position:absolute;left:723;top:254;width:8154;height:2" coordorigin="723,254" coordsize="8154,2">
              <v:shape style="position:absolute;left:723;top:254;width:8154;height:2" coordorigin="723,254" coordsize="8154,0" path="m723,254l8877,254e" filled="false" stroked="true" strokeweight=".72pt" strokecolor="#d9d9d9">
                <v:path arrowok="t"/>
              </v:shape>
              <v:shape style="position:absolute;left:2987;top:5093;width:131;height:131" type="#_x0000_t75" stroked="false">
                <v:imagedata r:id="rId69" o:title=""/>
              </v:shape>
              <v:shape style="position:absolute;left:4134;top:5093;width:131;height:131" type="#_x0000_t75" stroked="false">
                <v:imagedata r:id="rId70" o:title=""/>
              </v:shape>
              <v:shape style="position:absolute;left:5281;top:5093;width:131;height:131" type="#_x0000_t75" stroked="false">
                <v:imagedata r:id="rId71" o:title=""/>
              </v:shape>
            </v:group>
            <v:group style="position:absolute;left:8;top:8;width:9090;height:5475" coordorigin="8,8" coordsize="9090,5475">
              <v:shape style="position:absolute;left:8;top:8;width:9090;height:5475" coordorigin="8,8" coordsize="9090,5475" path="m8,5483l9098,5483,9098,8,8,8,8,5483xe" filled="false" stroked="true" strokeweight=".75pt" strokecolor="#d9d9d9">
                <v:path arrowok="t"/>
              </v:shape>
              <v:shape style="position:absolute;left:138;top:142;width:364;height:684" type="#_x0000_t202" filled="false" stroked="false">
                <v:textbox inset="0,0,0,0">
                  <w:txbxContent>
                    <w:p>
                      <w:pPr>
                        <w:spacing w:line="244" w:lineRule="exact" w:before="0"/>
                        <w:ind w:left="0" w:right="0" w:firstLine="0"/>
                        <w:jc w:val="left"/>
                        <w:rPr>
                          <w:rFonts w:ascii="Calibri" w:hAnsi="Calibri" w:cs="Calibri" w:eastAsia="Calibri" w:hint="default"/>
                          <w:sz w:val="24"/>
                          <w:szCs w:val="24"/>
                        </w:rPr>
                      </w:pPr>
                      <w:r>
                        <w:rPr>
                          <w:rFonts w:ascii="Calibri"/>
                          <w:color w:val="585858"/>
                          <w:spacing w:val="-1"/>
                          <w:sz w:val="24"/>
                        </w:rPr>
                        <w:t>180</w:t>
                      </w:r>
                      <w:r>
                        <w:rPr>
                          <w:rFonts w:ascii="Calibri"/>
                          <w:sz w:val="24"/>
                        </w:rPr>
                      </w:r>
                    </w:p>
                    <w:p>
                      <w:pPr>
                        <w:spacing w:line="289" w:lineRule="exact" w:before="150"/>
                        <w:ind w:left="0" w:right="0" w:firstLine="0"/>
                        <w:jc w:val="left"/>
                        <w:rPr>
                          <w:rFonts w:ascii="Calibri" w:hAnsi="Calibri" w:cs="Calibri" w:eastAsia="Calibri" w:hint="default"/>
                          <w:sz w:val="24"/>
                          <w:szCs w:val="24"/>
                        </w:rPr>
                      </w:pPr>
                      <w:r>
                        <w:rPr>
                          <w:rFonts w:ascii="Calibri"/>
                          <w:color w:val="585858"/>
                          <w:spacing w:val="-1"/>
                          <w:sz w:val="24"/>
                        </w:rPr>
                        <w:t>160</w:t>
                      </w:r>
                      <w:r>
                        <w:rPr>
                          <w:rFonts w:ascii="Calibri"/>
                          <w:sz w:val="24"/>
                        </w:rPr>
                      </w:r>
                    </w:p>
                  </w:txbxContent>
                </v:textbox>
                <w10:wrap type="none"/>
              </v:shape>
              <v:shape style="position:absolute;left:3856;top:219;width:386;height:220" type="#_x0000_t202" filled="false" stroked="false">
                <v:textbox inset="0,0,0,0">
                  <w:txbxContent>
                    <w:p>
                      <w:pPr>
                        <w:spacing w:line="220" w:lineRule="exact" w:before="0"/>
                        <w:ind w:left="0" w:right="0" w:firstLine="0"/>
                        <w:jc w:val="left"/>
                        <w:rPr>
                          <w:rFonts w:ascii="微软雅黑" w:hAnsi="微软雅黑" w:cs="微软雅黑" w:eastAsia="微软雅黑" w:hint="default"/>
                          <w:sz w:val="22"/>
                          <w:szCs w:val="22"/>
                        </w:rPr>
                      </w:pPr>
                      <w:r>
                        <w:rPr>
                          <w:rFonts w:ascii="微软雅黑"/>
                          <w:color w:val="404040"/>
                          <w:spacing w:val="-1"/>
                          <w:sz w:val="22"/>
                        </w:rPr>
                        <w:t>165</w:t>
                      </w:r>
                      <w:r>
                        <w:rPr>
                          <w:rFonts w:ascii="微软雅黑"/>
                          <w:sz w:val="22"/>
                        </w:rPr>
                      </w:r>
                    </w:p>
                  </w:txbxContent>
                </v:textbox>
                <w10:wrap type="none"/>
              </v:shape>
              <v:shape style="position:absolute;left:5361;top:817;width:386;height:220" type="#_x0000_t202" filled="false" stroked="false">
                <v:textbox inset="0,0,0,0">
                  <w:txbxContent>
                    <w:p>
                      <w:pPr>
                        <w:spacing w:line="220" w:lineRule="exact" w:before="0"/>
                        <w:ind w:left="0" w:right="0" w:firstLine="0"/>
                        <w:jc w:val="left"/>
                        <w:rPr>
                          <w:rFonts w:ascii="微软雅黑" w:hAnsi="微软雅黑" w:cs="微软雅黑" w:eastAsia="微软雅黑" w:hint="default"/>
                          <w:sz w:val="22"/>
                          <w:szCs w:val="22"/>
                        </w:rPr>
                      </w:pPr>
                      <w:r>
                        <w:rPr>
                          <w:rFonts w:ascii="微软雅黑"/>
                          <w:color w:val="404040"/>
                          <w:spacing w:val="-1"/>
                          <w:sz w:val="22"/>
                        </w:rPr>
                        <w:t>138</w:t>
                      </w:r>
                      <w:r>
                        <w:rPr>
                          <w:rFonts w:ascii="微软雅黑"/>
                          <w:sz w:val="22"/>
                        </w:rPr>
                      </w:r>
                    </w:p>
                  </w:txbxContent>
                </v:textbox>
                <w10:wrap type="none"/>
              </v:shape>
              <v:shape style="position:absolute;left:138;top:1029;width:365;height:3345" type="#_x0000_t202" filled="false" stroked="false">
                <v:textbox inset="0,0,0,0">
                  <w:txbxContent>
                    <w:p>
                      <w:pPr>
                        <w:spacing w:line="244" w:lineRule="exact" w:before="0"/>
                        <w:ind w:left="0" w:right="0" w:firstLine="0"/>
                        <w:jc w:val="center"/>
                        <w:rPr>
                          <w:rFonts w:ascii="Calibri" w:hAnsi="Calibri" w:cs="Calibri" w:eastAsia="Calibri" w:hint="default"/>
                          <w:sz w:val="24"/>
                          <w:szCs w:val="24"/>
                        </w:rPr>
                      </w:pPr>
                      <w:r>
                        <w:rPr>
                          <w:rFonts w:ascii="Calibri"/>
                          <w:color w:val="585858"/>
                          <w:spacing w:val="-1"/>
                          <w:sz w:val="24"/>
                        </w:rPr>
                        <w:t>140</w:t>
                      </w:r>
                      <w:r>
                        <w:rPr>
                          <w:rFonts w:ascii="Calibri"/>
                          <w:sz w:val="24"/>
                        </w:rPr>
                      </w:r>
                    </w:p>
                    <w:p>
                      <w:pPr>
                        <w:spacing w:before="150"/>
                        <w:ind w:left="0" w:right="0" w:firstLine="0"/>
                        <w:jc w:val="center"/>
                        <w:rPr>
                          <w:rFonts w:ascii="Calibri" w:hAnsi="Calibri" w:cs="Calibri" w:eastAsia="Calibri" w:hint="default"/>
                          <w:sz w:val="24"/>
                          <w:szCs w:val="24"/>
                        </w:rPr>
                      </w:pPr>
                      <w:r>
                        <w:rPr>
                          <w:rFonts w:ascii="Calibri"/>
                          <w:color w:val="585858"/>
                          <w:spacing w:val="-1"/>
                          <w:sz w:val="24"/>
                        </w:rPr>
                        <w:t>120</w:t>
                      </w:r>
                      <w:r>
                        <w:rPr>
                          <w:rFonts w:ascii="Calibri"/>
                          <w:sz w:val="24"/>
                        </w:rPr>
                      </w:r>
                    </w:p>
                    <w:p>
                      <w:pPr>
                        <w:spacing w:before="150"/>
                        <w:ind w:left="0" w:right="0" w:firstLine="0"/>
                        <w:jc w:val="center"/>
                        <w:rPr>
                          <w:rFonts w:ascii="Calibri" w:hAnsi="Calibri" w:cs="Calibri" w:eastAsia="Calibri" w:hint="default"/>
                          <w:sz w:val="24"/>
                          <w:szCs w:val="24"/>
                        </w:rPr>
                      </w:pPr>
                      <w:r>
                        <w:rPr>
                          <w:rFonts w:ascii="Calibri"/>
                          <w:color w:val="585858"/>
                          <w:spacing w:val="-1"/>
                          <w:sz w:val="24"/>
                        </w:rPr>
                        <w:t>100</w:t>
                      </w:r>
                      <w:r>
                        <w:rPr>
                          <w:rFonts w:ascii="Calibri"/>
                          <w:sz w:val="24"/>
                        </w:rPr>
                      </w:r>
                    </w:p>
                    <w:p>
                      <w:pPr>
                        <w:spacing w:before="150"/>
                        <w:ind w:left="119" w:right="0" w:firstLine="0"/>
                        <w:jc w:val="center"/>
                        <w:rPr>
                          <w:rFonts w:ascii="Calibri" w:hAnsi="Calibri" w:cs="Calibri" w:eastAsia="Calibri" w:hint="default"/>
                          <w:sz w:val="24"/>
                          <w:szCs w:val="24"/>
                        </w:rPr>
                      </w:pPr>
                      <w:r>
                        <w:rPr>
                          <w:rFonts w:ascii="Calibri"/>
                          <w:color w:val="585858"/>
                          <w:spacing w:val="-1"/>
                          <w:sz w:val="24"/>
                        </w:rPr>
                        <w:t>80</w:t>
                      </w:r>
                      <w:r>
                        <w:rPr>
                          <w:rFonts w:ascii="Calibri"/>
                          <w:sz w:val="24"/>
                        </w:rPr>
                      </w:r>
                    </w:p>
                    <w:p>
                      <w:pPr>
                        <w:spacing w:before="150"/>
                        <w:ind w:left="119" w:right="0" w:firstLine="0"/>
                        <w:jc w:val="center"/>
                        <w:rPr>
                          <w:rFonts w:ascii="Calibri" w:hAnsi="Calibri" w:cs="Calibri" w:eastAsia="Calibri" w:hint="default"/>
                          <w:sz w:val="24"/>
                          <w:szCs w:val="24"/>
                        </w:rPr>
                      </w:pPr>
                      <w:r>
                        <w:rPr>
                          <w:rFonts w:ascii="Calibri"/>
                          <w:color w:val="585858"/>
                          <w:spacing w:val="-1"/>
                          <w:sz w:val="24"/>
                        </w:rPr>
                        <w:t>60</w:t>
                      </w:r>
                      <w:r>
                        <w:rPr>
                          <w:rFonts w:ascii="Calibri"/>
                          <w:sz w:val="24"/>
                        </w:rPr>
                      </w:r>
                    </w:p>
                    <w:p>
                      <w:pPr>
                        <w:spacing w:before="150"/>
                        <w:ind w:left="119" w:right="0" w:firstLine="0"/>
                        <w:jc w:val="center"/>
                        <w:rPr>
                          <w:rFonts w:ascii="Calibri" w:hAnsi="Calibri" w:cs="Calibri" w:eastAsia="Calibri" w:hint="default"/>
                          <w:sz w:val="24"/>
                          <w:szCs w:val="24"/>
                        </w:rPr>
                      </w:pPr>
                      <w:r>
                        <w:rPr>
                          <w:rFonts w:ascii="Calibri"/>
                          <w:color w:val="585858"/>
                          <w:spacing w:val="-1"/>
                          <w:sz w:val="24"/>
                        </w:rPr>
                        <w:t>40</w:t>
                      </w:r>
                      <w:r>
                        <w:rPr>
                          <w:rFonts w:ascii="Calibri"/>
                          <w:sz w:val="24"/>
                        </w:rPr>
                      </w:r>
                    </w:p>
                    <w:p>
                      <w:pPr>
                        <w:spacing w:before="150"/>
                        <w:ind w:left="119" w:right="0" w:firstLine="0"/>
                        <w:jc w:val="center"/>
                        <w:rPr>
                          <w:rFonts w:ascii="Calibri" w:hAnsi="Calibri" w:cs="Calibri" w:eastAsia="Calibri" w:hint="default"/>
                          <w:sz w:val="24"/>
                          <w:szCs w:val="24"/>
                        </w:rPr>
                      </w:pPr>
                      <w:r>
                        <w:rPr>
                          <w:rFonts w:ascii="Calibri"/>
                          <w:color w:val="585858"/>
                          <w:spacing w:val="-1"/>
                          <w:sz w:val="24"/>
                        </w:rPr>
                        <w:t>20</w:t>
                      </w:r>
                      <w:r>
                        <w:rPr>
                          <w:rFonts w:ascii="Calibri"/>
                          <w:sz w:val="24"/>
                        </w:rPr>
                      </w:r>
                    </w:p>
                    <w:p>
                      <w:pPr>
                        <w:spacing w:line="289" w:lineRule="exact" w:before="150"/>
                        <w:ind w:left="242" w:right="0" w:firstLine="0"/>
                        <w:jc w:val="center"/>
                        <w:rPr>
                          <w:rFonts w:ascii="Calibri" w:hAnsi="Calibri" w:cs="Calibri" w:eastAsia="Calibri" w:hint="default"/>
                          <w:sz w:val="24"/>
                          <w:szCs w:val="24"/>
                        </w:rPr>
                      </w:pPr>
                      <w:r>
                        <w:rPr>
                          <w:rFonts w:ascii="Calibri"/>
                          <w:color w:val="585858"/>
                          <w:sz w:val="24"/>
                        </w:rPr>
                        <w:t>0</w:t>
                      </w:r>
                      <w:r>
                        <w:rPr>
                          <w:rFonts w:ascii="Calibri"/>
                          <w:sz w:val="24"/>
                        </w:rPr>
                      </w:r>
                    </w:p>
                  </w:txbxContent>
                </v:textbox>
                <w10:wrap type="none"/>
              </v:shape>
              <v:shape style="position:absolute;left:1890;top:1172;width:386;height:220" type="#_x0000_t202" filled="false" stroked="false">
                <v:textbox inset="0,0,0,0">
                  <w:txbxContent>
                    <w:p>
                      <w:pPr>
                        <w:spacing w:line="220" w:lineRule="exact" w:before="0"/>
                        <w:ind w:left="0" w:right="0" w:firstLine="0"/>
                        <w:jc w:val="left"/>
                        <w:rPr>
                          <w:rFonts w:ascii="微软雅黑" w:hAnsi="微软雅黑" w:cs="微软雅黑" w:eastAsia="微软雅黑" w:hint="default"/>
                          <w:sz w:val="22"/>
                          <w:szCs w:val="22"/>
                        </w:rPr>
                      </w:pPr>
                      <w:r>
                        <w:rPr>
                          <w:rFonts w:ascii="微软雅黑"/>
                          <w:color w:val="404040"/>
                          <w:spacing w:val="-1"/>
                          <w:sz w:val="22"/>
                        </w:rPr>
                        <w:t>122</w:t>
                      </w:r>
                      <w:r>
                        <w:rPr>
                          <w:rFonts w:ascii="微软雅黑"/>
                          <w:sz w:val="22"/>
                        </w:rPr>
                      </w:r>
                    </w:p>
                  </w:txbxContent>
                </v:textbox>
                <w10:wrap type="none"/>
              </v:shape>
              <v:shape style="position:absolute;left:2643;top:1172;width:386;height:220" type="#_x0000_t202" filled="false" stroked="false">
                <v:textbox inset="0,0,0,0">
                  <w:txbxContent>
                    <w:p>
                      <w:pPr>
                        <w:spacing w:line="220" w:lineRule="exact" w:before="0"/>
                        <w:ind w:left="0" w:right="0" w:firstLine="0"/>
                        <w:jc w:val="left"/>
                        <w:rPr>
                          <w:rFonts w:ascii="微软雅黑" w:hAnsi="微软雅黑" w:cs="微软雅黑" w:eastAsia="微软雅黑" w:hint="default"/>
                          <w:sz w:val="22"/>
                          <w:szCs w:val="22"/>
                        </w:rPr>
                      </w:pPr>
                      <w:r>
                        <w:rPr>
                          <w:rFonts w:ascii="微软雅黑"/>
                          <w:color w:val="404040"/>
                          <w:spacing w:val="-1"/>
                          <w:sz w:val="22"/>
                        </w:rPr>
                        <w:t>122</w:t>
                      </w:r>
                      <w:r>
                        <w:rPr>
                          <w:rFonts w:ascii="微软雅黑"/>
                          <w:sz w:val="22"/>
                        </w:rPr>
                      </w:r>
                    </w:p>
                  </w:txbxContent>
                </v:textbox>
                <w10:wrap type="none"/>
              </v:shape>
              <v:shape style="position:absolute;left:4609;top:1128;width:386;height:220" type="#_x0000_t202" filled="false" stroked="false">
                <v:textbox inset="0,0,0,0">
                  <w:txbxContent>
                    <w:p>
                      <w:pPr>
                        <w:spacing w:line="220" w:lineRule="exact" w:before="0"/>
                        <w:ind w:left="0" w:right="0" w:firstLine="0"/>
                        <w:jc w:val="left"/>
                        <w:rPr>
                          <w:rFonts w:ascii="微软雅黑" w:hAnsi="微软雅黑" w:cs="微软雅黑" w:eastAsia="微软雅黑" w:hint="default"/>
                          <w:sz w:val="22"/>
                          <w:szCs w:val="22"/>
                        </w:rPr>
                      </w:pPr>
                      <w:r>
                        <w:rPr>
                          <w:rFonts w:ascii="微软雅黑"/>
                          <w:color w:val="404040"/>
                          <w:spacing w:val="-1"/>
                          <w:sz w:val="22"/>
                        </w:rPr>
                        <w:t>124</w:t>
                      </w:r>
                      <w:r>
                        <w:rPr>
                          <w:rFonts w:ascii="微软雅黑"/>
                          <w:sz w:val="22"/>
                        </w:rPr>
                      </w:r>
                    </w:p>
                  </w:txbxContent>
                </v:textbox>
                <w10:wrap type="none"/>
              </v:shape>
              <v:shape style="position:absolute;left:723;top:1793;width:8154;height:930" type="#_x0000_t202" filled="false" stroked="false">
                <v:textbox inset="0,0,0,0">
                  <w:txbxContent>
                    <w:p>
                      <w:pPr>
                        <w:tabs>
                          <w:tab w:pos="477" w:val="left" w:leader="none"/>
                          <w:tab w:pos="8153" w:val="left" w:leader="none"/>
                        </w:tabs>
                        <w:spacing w:line="234" w:lineRule="exact" w:before="0"/>
                        <w:ind w:left="0" w:right="0" w:firstLine="0"/>
                        <w:jc w:val="left"/>
                        <w:rPr>
                          <w:rFonts w:ascii="微软雅黑" w:hAnsi="微软雅黑" w:cs="微软雅黑" w:eastAsia="微软雅黑" w:hint="default"/>
                          <w:sz w:val="22"/>
                          <w:szCs w:val="22"/>
                        </w:rPr>
                      </w:pPr>
                      <w:r>
                        <w:rPr>
                          <w:rFonts w:ascii="微软雅黑"/>
                          <w:color w:val="404040"/>
                          <w:w w:val="99"/>
                          <w:sz w:val="22"/>
                        </w:rPr>
                      </w:r>
                      <w:r>
                        <w:rPr>
                          <w:rFonts w:ascii="微软雅黑"/>
                          <w:color w:val="404040"/>
                          <w:w w:val="99"/>
                          <w:sz w:val="22"/>
                          <w:u w:val="single" w:color="D9D9D9"/>
                        </w:rPr>
                        <w:t> </w:t>
                      </w:r>
                      <w:r>
                        <w:rPr>
                          <w:rFonts w:ascii="微软雅黑"/>
                          <w:color w:val="404040"/>
                          <w:sz w:val="22"/>
                          <w:u w:val="single" w:color="D9D9D9"/>
                        </w:rPr>
                        <w:tab/>
                        <w:t>94</w:t>
                        <w:tab/>
                      </w:r>
                      <w:r>
                        <w:rPr>
                          <w:rFonts w:ascii="微软雅黑"/>
                          <w:color w:val="404040"/>
                          <w:sz w:val="22"/>
                        </w:rPr>
                      </w:r>
                      <w:r>
                        <w:rPr>
                          <w:rFonts w:ascii="微软雅黑"/>
                          <w:sz w:val="22"/>
                        </w:rPr>
                      </w:r>
                    </w:p>
                    <w:p>
                      <w:pPr>
                        <w:spacing w:line="240" w:lineRule="auto" w:before="2"/>
                        <w:rPr>
                          <w:rFonts w:ascii="宋体" w:hAnsi="宋体" w:cs="宋体" w:eastAsia="宋体" w:hint="default"/>
                          <w:sz w:val="25"/>
                          <w:szCs w:val="25"/>
                        </w:rPr>
                      </w:pPr>
                    </w:p>
                    <w:p>
                      <w:pPr>
                        <w:spacing w:line="366" w:lineRule="exact" w:before="0"/>
                        <w:ind w:left="0" w:right="1980" w:firstLine="0"/>
                        <w:jc w:val="right"/>
                        <w:rPr>
                          <w:rFonts w:ascii="微软雅黑" w:hAnsi="微软雅黑" w:cs="微软雅黑" w:eastAsia="微软雅黑" w:hint="default"/>
                          <w:sz w:val="22"/>
                          <w:szCs w:val="22"/>
                        </w:rPr>
                      </w:pPr>
                      <w:r>
                        <w:rPr>
                          <w:rFonts w:ascii="微软雅黑"/>
                          <w:color w:val="404040"/>
                          <w:spacing w:val="-2"/>
                          <w:w w:val="95"/>
                          <w:sz w:val="22"/>
                        </w:rPr>
                        <w:t>62</w:t>
                      </w:r>
                      <w:r>
                        <w:rPr>
                          <w:rFonts w:ascii="微软雅黑"/>
                          <w:sz w:val="22"/>
                        </w:rPr>
                      </w:r>
                    </w:p>
                  </w:txbxContent>
                </v:textbox>
                <w10:wrap type="none"/>
              </v:shape>
              <v:shape style="position:absolute;left:7391;top:2481;width:257;height:220" type="#_x0000_t202" filled="false" stroked="false">
                <v:textbox inset="0,0,0,0">
                  <w:txbxContent>
                    <w:p>
                      <w:pPr>
                        <w:spacing w:line="220" w:lineRule="exact" w:before="0"/>
                        <w:ind w:left="0" w:right="0" w:firstLine="0"/>
                        <w:jc w:val="left"/>
                        <w:rPr>
                          <w:rFonts w:ascii="微软雅黑" w:hAnsi="微软雅黑" w:cs="微软雅黑" w:eastAsia="微软雅黑" w:hint="default"/>
                          <w:sz w:val="22"/>
                          <w:szCs w:val="22"/>
                        </w:rPr>
                      </w:pPr>
                      <w:r>
                        <w:rPr>
                          <w:rFonts w:ascii="微软雅黑"/>
                          <w:color w:val="404040"/>
                          <w:spacing w:val="-1"/>
                          <w:sz w:val="22"/>
                        </w:rPr>
                        <w:t>63</w:t>
                      </w:r>
                      <w:r>
                        <w:rPr>
                          <w:rFonts w:ascii="微软雅黑"/>
                          <w:sz w:val="22"/>
                        </w:rPr>
                      </w:r>
                    </w:p>
                  </w:txbxContent>
                </v:textbox>
                <w10:wrap type="none"/>
              </v:shape>
              <v:shape style="position:absolute;left:8143;top:2969;width:257;height:220" type="#_x0000_t202" filled="false" stroked="false">
                <v:textbox inset="0,0,0,0">
                  <w:txbxContent>
                    <w:p>
                      <w:pPr>
                        <w:spacing w:line="220" w:lineRule="exact" w:before="0"/>
                        <w:ind w:left="0" w:right="0" w:firstLine="0"/>
                        <w:jc w:val="left"/>
                        <w:rPr>
                          <w:rFonts w:ascii="微软雅黑" w:hAnsi="微软雅黑" w:cs="微软雅黑" w:eastAsia="微软雅黑" w:hint="default"/>
                          <w:sz w:val="22"/>
                          <w:szCs w:val="22"/>
                        </w:rPr>
                      </w:pPr>
                      <w:r>
                        <w:rPr>
                          <w:rFonts w:ascii="微软雅黑"/>
                          <w:color w:val="404040"/>
                          <w:spacing w:val="-1"/>
                          <w:sz w:val="22"/>
                        </w:rPr>
                        <w:t>41</w:t>
                      </w:r>
                      <w:r>
                        <w:rPr>
                          <w:rFonts w:ascii="微软雅黑"/>
                          <w:sz w:val="22"/>
                        </w:rPr>
                      </w:r>
                    </w:p>
                  </w:txbxContent>
                </v:textbox>
                <w10:wrap type="none"/>
              </v:shape>
              <v:shape style="position:absolute;left:1123;top:4523;width:1920;height:240" type="#_x0000_t202" filled="false" stroked="false">
                <v:textbox inset="0,0,0,0">
                  <w:txbxContent>
                    <w:p>
                      <w:pPr>
                        <w:spacing w:line="240" w:lineRule="exact" w:before="0"/>
                        <w:ind w:left="0" w:right="0" w:firstLine="0"/>
                        <w:jc w:val="left"/>
                        <w:rPr>
                          <w:rFonts w:ascii="微软雅黑" w:hAnsi="微软雅黑" w:cs="微软雅黑" w:eastAsia="微软雅黑" w:hint="default"/>
                          <w:sz w:val="24"/>
                          <w:szCs w:val="24"/>
                        </w:rPr>
                      </w:pPr>
                      <w:r>
                        <w:rPr>
                          <w:rFonts w:ascii="微软雅黑" w:hAnsi="微软雅黑" w:cs="微软雅黑" w:eastAsia="微软雅黑" w:hint="default"/>
                          <w:color w:val="585858"/>
                          <w:sz w:val="24"/>
                          <w:szCs w:val="24"/>
                        </w:rPr>
                        <w:t>专利申请量（件）</w:t>
                      </w:r>
                      <w:r>
                        <w:rPr>
                          <w:rFonts w:ascii="微软雅黑" w:hAnsi="微软雅黑" w:cs="微软雅黑" w:eastAsia="微软雅黑" w:hint="default"/>
                          <w:sz w:val="24"/>
                          <w:szCs w:val="24"/>
                        </w:rPr>
                      </w:r>
                    </w:p>
                  </w:txbxContent>
                </v:textbox>
                <w10:wrap type="none"/>
              </v:shape>
              <v:shape style="position:absolute;left:3842;top:4523;width:1920;height:240" type="#_x0000_t202" filled="false" stroked="false">
                <v:textbox inset="0,0,0,0">
                  <w:txbxContent>
                    <w:p>
                      <w:pPr>
                        <w:spacing w:line="240" w:lineRule="exact" w:before="0"/>
                        <w:ind w:left="0" w:right="0" w:firstLine="0"/>
                        <w:jc w:val="left"/>
                        <w:rPr>
                          <w:rFonts w:ascii="微软雅黑" w:hAnsi="微软雅黑" w:cs="微软雅黑" w:eastAsia="微软雅黑" w:hint="default"/>
                          <w:sz w:val="24"/>
                          <w:szCs w:val="24"/>
                        </w:rPr>
                      </w:pPr>
                      <w:r>
                        <w:rPr>
                          <w:rFonts w:ascii="微软雅黑" w:hAnsi="微软雅黑" w:cs="微软雅黑" w:eastAsia="微软雅黑" w:hint="default"/>
                          <w:color w:val="585858"/>
                          <w:sz w:val="24"/>
                          <w:szCs w:val="24"/>
                        </w:rPr>
                        <w:t>软件登记量（件）</w:t>
                      </w:r>
                      <w:r>
                        <w:rPr>
                          <w:rFonts w:ascii="微软雅黑" w:hAnsi="微软雅黑" w:cs="微软雅黑" w:eastAsia="微软雅黑" w:hint="default"/>
                          <w:sz w:val="24"/>
                          <w:szCs w:val="24"/>
                        </w:rPr>
                      </w:r>
                    </w:p>
                  </w:txbxContent>
                </v:textbox>
                <w10:wrap type="none"/>
              </v:shape>
              <v:shape style="position:absolute;left:6560;top:4523;width:1920;height:240" type="#_x0000_t202" filled="false" stroked="false">
                <v:textbox inset="0,0,0,0">
                  <w:txbxContent>
                    <w:p>
                      <w:pPr>
                        <w:spacing w:line="240" w:lineRule="exact" w:before="0"/>
                        <w:ind w:left="0" w:right="0" w:firstLine="0"/>
                        <w:jc w:val="left"/>
                        <w:rPr>
                          <w:rFonts w:ascii="微软雅黑" w:hAnsi="微软雅黑" w:cs="微软雅黑" w:eastAsia="微软雅黑" w:hint="default"/>
                          <w:sz w:val="24"/>
                          <w:szCs w:val="24"/>
                        </w:rPr>
                      </w:pPr>
                      <w:r>
                        <w:rPr>
                          <w:rFonts w:ascii="微软雅黑" w:hAnsi="微软雅黑" w:cs="微软雅黑" w:eastAsia="微软雅黑" w:hint="default"/>
                          <w:color w:val="585858"/>
                          <w:sz w:val="24"/>
                          <w:szCs w:val="24"/>
                        </w:rPr>
                        <w:t>商标注册量（件）</w:t>
                      </w:r>
                      <w:r>
                        <w:rPr>
                          <w:rFonts w:ascii="微软雅黑" w:hAnsi="微软雅黑" w:cs="微软雅黑" w:eastAsia="微软雅黑" w:hint="default"/>
                          <w:sz w:val="24"/>
                          <w:szCs w:val="24"/>
                        </w:rPr>
                      </w:r>
                    </w:p>
                  </w:txbxContent>
                </v:textbox>
                <w10:wrap type="none"/>
              </v:shape>
              <v:shape style="position:absolute;left:3176;top:5053;width:734;height:220" type="#_x0000_t202" filled="false" stroked="false">
                <v:textbox inset="0,0,0,0">
                  <w:txbxContent>
                    <w:p>
                      <w:pPr>
                        <w:spacing w:line="220" w:lineRule="exact" w:before="0"/>
                        <w:ind w:left="0" w:right="0" w:firstLine="0"/>
                        <w:jc w:val="left"/>
                        <w:rPr>
                          <w:rFonts w:ascii="微软雅黑" w:hAnsi="微软雅黑" w:cs="微软雅黑" w:eastAsia="微软雅黑" w:hint="default"/>
                          <w:sz w:val="22"/>
                          <w:szCs w:val="22"/>
                        </w:rPr>
                      </w:pPr>
                      <w:r>
                        <w:rPr>
                          <w:rFonts w:ascii="微软雅黑" w:hAnsi="微软雅黑" w:cs="微软雅黑" w:eastAsia="微软雅黑" w:hint="default"/>
                          <w:color w:val="585858"/>
                          <w:spacing w:val="-1"/>
                          <w:sz w:val="22"/>
                          <w:szCs w:val="22"/>
                        </w:rPr>
                        <w:t>2016</w:t>
                      </w:r>
                      <w:r>
                        <w:rPr>
                          <w:rFonts w:ascii="微软雅黑" w:hAnsi="微软雅黑" w:cs="微软雅黑" w:eastAsia="微软雅黑" w:hint="default"/>
                          <w:color w:val="585858"/>
                          <w:spacing w:val="-1"/>
                          <w:sz w:val="22"/>
                          <w:szCs w:val="22"/>
                        </w:rPr>
                        <w:t>年</w:t>
                      </w:r>
                      <w:r>
                        <w:rPr>
                          <w:rFonts w:ascii="微软雅黑" w:hAnsi="微软雅黑" w:cs="微软雅黑" w:eastAsia="微软雅黑" w:hint="default"/>
                          <w:spacing w:val="-1"/>
                          <w:sz w:val="22"/>
                          <w:szCs w:val="22"/>
                        </w:rPr>
                      </w:r>
                    </w:p>
                  </w:txbxContent>
                </v:textbox>
                <w10:wrap type="none"/>
              </v:shape>
              <v:shape style="position:absolute;left:4324;top:5053;width:734;height:220" type="#_x0000_t202" filled="false" stroked="false">
                <v:textbox inset="0,0,0,0">
                  <w:txbxContent>
                    <w:p>
                      <w:pPr>
                        <w:spacing w:line="220" w:lineRule="exact" w:before="0"/>
                        <w:ind w:left="0" w:right="0" w:firstLine="0"/>
                        <w:jc w:val="left"/>
                        <w:rPr>
                          <w:rFonts w:ascii="微软雅黑" w:hAnsi="微软雅黑" w:cs="微软雅黑" w:eastAsia="微软雅黑" w:hint="default"/>
                          <w:sz w:val="22"/>
                          <w:szCs w:val="22"/>
                        </w:rPr>
                      </w:pPr>
                      <w:r>
                        <w:rPr>
                          <w:rFonts w:ascii="微软雅黑" w:hAnsi="微软雅黑" w:cs="微软雅黑" w:eastAsia="微软雅黑" w:hint="default"/>
                          <w:color w:val="585858"/>
                          <w:spacing w:val="-1"/>
                          <w:sz w:val="22"/>
                          <w:szCs w:val="22"/>
                        </w:rPr>
                        <w:t>2017</w:t>
                      </w:r>
                      <w:r>
                        <w:rPr>
                          <w:rFonts w:ascii="微软雅黑" w:hAnsi="微软雅黑" w:cs="微软雅黑" w:eastAsia="微软雅黑" w:hint="default"/>
                          <w:color w:val="585858"/>
                          <w:spacing w:val="-1"/>
                          <w:sz w:val="22"/>
                          <w:szCs w:val="22"/>
                        </w:rPr>
                        <w:t>年</w:t>
                      </w:r>
                      <w:r>
                        <w:rPr>
                          <w:rFonts w:ascii="微软雅黑" w:hAnsi="微软雅黑" w:cs="微软雅黑" w:eastAsia="微软雅黑" w:hint="default"/>
                          <w:spacing w:val="-1"/>
                          <w:sz w:val="22"/>
                          <w:szCs w:val="22"/>
                        </w:rPr>
                      </w:r>
                    </w:p>
                  </w:txbxContent>
                </v:textbox>
                <w10:wrap type="none"/>
              </v:shape>
              <v:shape style="position:absolute;left:5471;top:5053;width:734;height:220" type="#_x0000_t202" filled="false" stroked="false">
                <v:textbox inset="0,0,0,0">
                  <w:txbxContent>
                    <w:p>
                      <w:pPr>
                        <w:spacing w:line="220" w:lineRule="exact" w:before="0"/>
                        <w:ind w:left="0" w:right="0" w:firstLine="0"/>
                        <w:jc w:val="left"/>
                        <w:rPr>
                          <w:rFonts w:ascii="微软雅黑" w:hAnsi="微软雅黑" w:cs="微软雅黑" w:eastAsia="微软雅黑" w:hint="default"/>
                          <w:sz w:val="22"/>
                          <w:szCs w:val="22"/>
                        </w:rPr>
                      </w:pPr>
                      <w:r>
                        <w:rPr>
                          <w:rFonts w:ascii="微软雅黑" w:hAnsi="微软雅黑" w:cs="微软雅黑" w:eastAsia="微软雅黑" w:hint="default"/>
                          <w:color w:val="585858"/>
                          <w:spacing w:val="-1"/>
                          <w:sz w:val="22"/>
                          <w:szCs w:val="22"/>
                        </w:rPr>
                        <w:t>2018</w:t>
                      </w:r>
                      <w:r>
                        <w:rPr>
                          <w:rFonts w:ascii="微软雅黑" w:hAnsi="微软雅黑" w:cs="微软雅黑" w:eastAsia="微软雅黑" w:hint="default"/>
                          <w:color w:val="585858"/>
                          <w:spacing w:val="-1"/>
                          <w:sz w:val="22"/>
                          <w:szCs w:val="22"/>
                        </w:rPr>
                        <w:t>年</w:t>
                      </w:r>
                      <w:r>
                        <w:rPr>
                          <w:rFonts w:ascii="微软雅黑" w:hAnsi="微软雅黑" w:cs="微软雅黑" w:eastAsia="微软雅黑" w:hint="default"/>
                          <w:spacing w:val="-1"/>
                          <w:sz w:val="22"/>
                          <w:szCs w:val="22"/>
                        </w:rPr>
                      </w:r>
                    </w:p>
                  </w:txbxContent>
                </v:textbox>
                <w10:wrap type="none"/>
              </v:shape>
            </v:group>
          </v:group>
        </w:pict>
      </w:r>
      <w:r>
        <w:rPr>
          <w:rFonts w:ascii="宋体" w:hAnsi="宋体" w:cs="宋体" w:eastAsia="宋体" w:hint="default"/>
          <w:position w:val="-109"/>
          <w:sz w:val="20"/>
          <w:szCs w:val="20"/>
        </w:rPr>
      </w:r>
    </w:p>
    <w:p>
      <w:pPr>
        <w:spacing w:line="240" w:lineRule="auto" w:before="4"/>
        <w:rPr>
          <w:rFonts w:ascii="宋体" w:hAnsi="宋体" w:cs="宋体" w:eastAsia="宋体" w:hint="default"/>
          <w:sz w:val="11"/>
          <w:szCs w:val="11"/>
        </w:rPr>
      </w:pPr>
    </w:p>
    <w:p>
      <w:pPr>
        <w:spacing w:line="516" w:lineRule="auto" w:before="44"/>
        <w:ind w:left="514" w:right="1118" w:firstLine="2743"/>
        <w:jc w:val="left"/>
        <w:rPr>
          <w:rFonts w:ascii="宋体" w:hAnsi="宋体" w:cs="宋体" w:eastAsia="宋体" w:hint="default"/>
          <w:sz w:val="18"/>
          <w:szCs w:val="18"/>
        </w:rPr>
      </w:pPr>
      <w:r>
        <w:rPr>
          <w:rFonts w:ascii="宋体" w:hAnsi="宋体" w:cs="宋体" w:eastAsia="宋体" w:hint="default"/>
          <w:b/>
          <w:bCs/>
          <w:sz w:val="18"/>
          <w:szCs w:val="18"/>
        </w:rPr>
        <w:t>（近三年公司新申请知识产权同比分析图）</w:t>
      </w:r>
      <w:r>
        <w:rPr>
          <w:rFonts w:ascii="宋体" w:hAnsi="宋体" w:cs="宋体" w:eastAsia="宋体" w:hint="default"/>
          <w:b/>
          <w:bCs/>
          <w:w w:val="99"/>
          <w:sz w:val="18"/>
          <w:szCs w:val="18"/>
        </w:rPr>
        <w:t> </w:t>
      </w:r>
      <w:r>
        <w:rPr>
          <w:rFonts w:ascii="宋体" w:hAnsi="宋体" w:cs="宋体" w:eastAsia="宋体" w:hint="default"/>
          <w:sz w:val="18"/>
          <w:szCs w:val="18"/>
        </w:rPr>
        <w:t>公司及子公司连续多年被认定为国家规划布局内重点软件企业及高新技术企业，具备</w:t>
      </w:r>
      <w:r>
        <w:rPr>
          <w:rFonts w:ascii="Times New Roman" w:hAnsi="Times New Roman" w:cs="Times New Roman" w:eastAsia="Times New Roman" w:hint="default"/>
          <w:sz w:val="18"/>
          <w:szCs w:val="18"/>
        </w:rPr>
        <w:t>CMMI </w:t>
      </w:r>
      <w:r>
        <w:rPr>
          <w:rFonts w:ascii="Times New Roman" w:hAnsi="Times New Roman" w:cs="Times New Roman" w:eastAsia="Times New Roman" w:hint="default"/>
          <w:spacing w:val="24"/>
          <w:sz w:val="18"/>
          <w:szCs w:val="18"/>
        </w:rPr>
        <w:t> </w:t>
      </w:r>
      <w:r>
        <w:rPr>
          <w:rFonts w:ascii="Times New Roman" w:hAnsi="Times New Roman" w:cs="Times New Roman" w:eastAsia="Times New Roman" w:hint="default"/>
          <w:sz w:val="18"/>
          <w:szCs w:val="18"/>
        </w:rPr>
        <w:t>L5</w:t>
      </w:r>
      <w:r>
        <w:rPr>
          <w:rFonts w:ascii="宋体" w:hAnsi="宋体" w:cs="宋体" w:eastAsia="宋体" w:hint="default"/>
          <w:sz w:val="18"/>
          <w:szCs w:val="18"/>
        </w:rPr>
        <w:t>级认证、计算机系统集</w:t>
      </w:r>
    </w:p>
    <w:p>
      <w:pPr>
        <w:pStyle w:val="BodyText"/>
        <w:spacing w:line="451" w:lineRule="auto"/>
        <w:ind w:right="1131"/>
        <w:jc w:val="both"/>
      </w:pPr>
      <w:r>
        <w:rPr>
          <w:spacing w:val="2"/>
        </w:rPr>
        <w:t>成一级资质、国家信息安全认证服务二级资质、</w:t>
      </w:r>
      <w:r>
        <w:rPr>
          <w:rFonts w:ascii="Times New Roman" w:hAnsi="Times New Roman" w:cs="Times New Roman" w:eastAsia="Times New Roman" w:hint="default"/>
          <w:spacing w:val="2"/>
        </w:rPr>
        <w:t>ISO9001:2000</w:t>
      </w:r>
      <w:r>
        <w:rPr>
          <w:spacing w:val="2"/>
        </w:rPr>
        <w:t>质量管理体系认证、</w:t>
      </w:r>
      <w:r>
        <w:rPr>
          <w:rFonts w:ascii="Times New Roman" w:hAnsi="Times New Roman" w:cs="Times New Roman" w:eastAsia="Times New Roman" w:hint="default"/>
          <w:spacing w:val="2"/>
        </w:rPr>
        <w:t>ISO20000</w:t>
      </w:r>
      <w:r>
        <w:rPr>
          <w:rFonts w:ascii="Times New Roman" w:hAnsi="Times New Roman" w:cs="Times New Roman" w:eastAsia="Times New Roman" w:hint="default"/>
          <w:spacing w:val="21"/>
        </w:rPr>
        <w:t> </w:t>
      </w:r>
      <w:r>
        <w:rPr>
          <w:rFonts w:ascii="Times New Roman" w:hAnsi="Times New Roman" w:cs="Times New Roman" w:eastAsia="Times New Roman" w:hint="default"/>
          <w:spacing w:val="3"/>
        </w:rPr>
        <w:t>IT</w:t>
      </w:r>
      <w:r>
        <w:rPr>
          <w:spacing w:val="3"/>
        </w:rPr>
        <w:t>服务管理国际标准认证、</w:t>
      </w:r>
      <w:r>
        <w:rPr>
          <w:spacing w:val="-83"/>
        </w:rPr>
        <w:t> </w:t>
      </w:r>
      <w:r>
        <w:rPr>
          <w:spacing w:val="-83"/>
        </w:rPr>
      </w:r>
      <w:r>
        <w:rPr>
          <w:rFonts w:ascii="Times New Roman" w:hAnsi="Times New Roman" w:cs="Times New Roman" w:eastAsia="Times New Roman" w:hint="default"/>
        </w:rPr>
        <w:t>ISO27001</w:t>
      </w:r>
      <w:r>
        <w:rPr/>
        <w:t>信息安全管理体系认证、信息技术服务运行维护标准符合性证书</w:t>
      </w:r>
      <w:r>
        <w:rPr>
          <w:rFonts w:ascii="Times New Roman" w:hAnsi="Times New Roman" w:cs="Times New Roman" w:eastAsia="Times New Roman" w:hint="default"/>
        </w:rPr>
        <w:t>ITSS</w:t>
      </w:r>
      <w:r>
        <w:rPr/>
        <w:t>三级、安防工程企业涉及施工维护能力一级</w:t>
      </w:r>
      <w:r>
        <w:rPr>
          <w:spacing w:val="-33"/>
        </w:rPr>
        <w:t> </w:t>
      </w:r>
      <w:r>
        <w:rPr>
          <w:spacing w:val="-33"/>
        </w:rPr>
      </w:r>
      <w:r>
        <w:rPr/>
        <w:t>等多项资质。</w:t>
      </w:r>
    </w:p>
    <w:p>
      <w:pPr>
        <w:pStyle w:val="BodyText"/>
        <w:spacing w:line="451" w:lineRule="auto" w:before="74"/>
        <w:ind w:right="1122" w:firstLine="360"/>
        <w:jc w:val="left"/>
      </w:pPr>
      <w:r>
        <w:rPr/>
        <w:t>报告期内，公司新申请专利</w:t>
      </w:r>
      <w:r>
        <w:rPr>
          <w:rFonts w:ascii="Times New Roman" w:hAnsi="Times New Roman" w:cs="Times New Roman" w:eastAsia="Times New Roman" w:hint="default"/>
        </w:rPr>
        <w:t>122</w:t>
      </w:r>
      <w:r>
        <w:rPr/>
        <w:t>件，软件著作权登记</w:t>
      </w:r>
      <w:r>
        <w:rPr>
          <w:rFonts w:ascii="Times New Roman" w:hAnsi="Times New Roman" w:cs="Times New Roman" w:eastAsia="Times New Roman" w:hint="default"/>
        </w:rPr>
        <w:t>138</w:t>
      </w:r>
      <w:r>
        <w:rPr/>
        <w:t>件，注册商标</w:t>
      </w:r>
      <w:r>
        <w:rPr>
          <w:rFonts w:ascii="Times New Roman" w:hAnsi="Times New Roman" w:cs="Times New Roman" w:eastAsia="Times New Roman" w:hint="default"/>
        </w:rPr>
        <w:t>41</w:t>
      </w:r>
      <w:r>
        <w:rPr/>
        <w:t>件。截止</w:t>
      </w:r>
      <w:r>
        <w:rPr>
          <w:rFonts w:ascii="Times New Roman" w:hAnsi="Times New Roman" w:cs="Times New Roman" w:eastAsia="Times New Roman" w:hint="default"/>
        </w:rPr>
        <w:t>2018</w:t>
      </w:r>
      <w:r>
        <w:rPr/>
        <w:t>年末，公司受理中的发明专利</w:t>
      </w:r>
      <w:r>
        <w:rPr>
          <w:rFonts w:ascii="Times New Roman" w:hAnsi="Times New Roman" w:cs="Times New Roman" w:eastAsia="Times New Roman" w:hint="default"/>
        </w:rPr>
        <w:t>415 </w:t>
      </w:r>
      <w:r>
        <w:rPr/>
        <w:t>件；已授权专利</w:t>
      </w:r>
      <w:r>
        <w:rPr>
          <w:rFonts w:ascii="Times New Roman" w:hAnsi="Times New Roman" w:cs="Times New Roman" w:eastAsia="Times New Roman" w:hint="default"/>
        </w:rPr>
        <w:t>618</w:t>
      </w:r>
      <w:r>
        <w:rPr/>
        <w:t>件，其中发明专利</w:t>
      </w:r>
      <w:r>
        <w:rPr>
          <w:rFonts w:ascii="Times New Roman" w:hAnsi="Times New Roman" w:cs="Times New Roman" w:eastAsia="Times New Roman" w:hint="default"/>
        </w:rPr>
        <w:t>551</w:t>
      </w:r>
      <w:r>
        <w:rPr/>
        <w:t>件；软件著作权</w:t>
      </w:r>
      <w:r>
        <w:rPr>
          <w:rFonts w:ascii="Times New Roman" w:hAnsi="Times New Roman" w:cs="Times New Roman" w:eastAsia="Times New Roman" w:hint="default"/>
        </w:rPr>
        <w:t>1,342</w:t>
      </w:r>
      <w:r>
        <w:rPr/>
        <w:t>件，商标注册总量为</w:t>
      </w:r>
      <w:r>
        <w:rPr>
          <w:rFonts w:ascii="Times New Roman" w:hAnsi="Times New Roman" w:cs="Times New Roman" w:eastAsia="Times New Roman" w:hint="default"/>
        </w:rPr>
        <w:t>191</w:t>
      </w:r>
      <w:r>
        <w:rPr/>
        <w:t>件。</w:t>
      </w:r>
    </w:p>
    <w:p>
      <w:pPr>
        <w:pStyle w:val="BodyText"/>
        <w:spacing w:line="470" w:lineRule="auto" w:before="84"/>
        <w:ind w:left="4594" w:right="942" w:firstLine="361"/>
        <w:jc w:val="left"/>
      </w:pPr>
      <w:r>
        <w:rPr/>
        <w:pict>
          <v:shape style="position:absolute;margin-left:62.700001pt;margin-top:13.881733pt;width:206.7pt;height:158.0pt;mso-position-horizontal-relative:page;mso-position-vertical-relative:paragraph;z-index:1720" type="#_x0000_t75" stroked="false">
            <v:imagedata r:id="rId72" o:title=""/>
          </v:shape>
        </w:pict>
      </w:r>
      <w:r>
        <w:rPr>
          <w:rFonts w:ascii="宋体" w:hAnsi="宋体" w:cs="宋体" w:eastAsia="宋体" w:hint="default"/>
          <w:b/>
          <w:bCs/>
          <w:spacing w:val="3"/>
        </w:rPr>
        <w:t>（</w:t>
      </w:r>
      <w:r>
        <w:rPr>
          <w:rFonts w:ascii="Times New Roman" w:hAnsi="Times New Roman" w:cs="Times New Roman" w:eastAsia="Times New Roman" w:hint="default"/>
          <w:b/>
          <w:bCs/>
          <w:spacing w:val="3"/>
        </w:rPr>
        <w:t>1</w:t>
      </w:r>
      <w:r>
        <w:rPr>
          <w:rFonts w:ascii="宋体" w:hAnsi="宋体" w:cs="宋体" w:eastAsia="宋体" w:hint="default"/>
          <w:b/>
          <w:bCs/>
          <w:spacing w:val="3"/>
        </w:rPr>
        <w:t>）在人工智能</w:t>
      </w:r>
      <w:r>
        <w:rPr>
          <w:rFonts w:ascii="Times New Roman" w:hAnsi="Times New Roman" w:cs="Times New Roman" w:eastAsia="Times New Roman" w:hint="default"/>
          <w:b/>
          <w:bCs/>
          <w:spacing w:val="3"/>
        </w:rPr>
        <w:t>/</w:t>
      </w:r>
      <w:r>
        <w:rPr>
          <w:rFonts w:ascii="宋体" w:hAnsi="宋体" w:cs="宋体" w:eastAsia="宋体" w:hint="default"/>
          <w:b/>
          <w:bCs/>
          <w:spacing w:val="3"/>
        </w:rPr>
        <w:t>大数据领域，</w:t>
      </w:r>
      <w:r>
        <w:rPr>
          <w:spacing w:val="3"/>
        </w:rPr>
        <w:t>公司已取得了“</w:t>
      </w:r>
      <w:r>
        <w:rPr>
          <w:rFonts w:ascii="Times New Roman" w:hAnsi="Times New Roman" w:cs="Times New Roman" w:eastAsia="Times New Roman" w:hint="default"/>
          <w:spacing w:val="3"/>
        </w:rPr>
        <w:t>DINFO-OEC</w:t>
      </w:r>
      <w:r>
        <w:rPr>
          <w:rFonts w:ascii="Times New Roman" w:hAnsi="Times New Roman" w:cs="Times New Roman" w:eastAsia="Times New Roman" w:hint="default"/>
          <w:w w:val="99"/>
        </w:rPr>
        <w:t> </w:t>
      </w:r>
      <w:r>
        <w:rPr>
          <w:spacing w:val="5"/>
        </w:rPr>
        <w:t>文本分析挖掘方法与设备”、“确定信息热点的方法及装置”、</w:t>
      </w:r>
      <w:r>
        <w:rPr>
          <w:w w:val="99"/>
        </w:rPr>
        <w:t> </w:t>
      </w:r>
      <w:r>
        <w:rPr>
          <w:spacing w:val="-1"/>
        </w:rPr>
        <w:t>“一种信息处理的方法及装置”、“一种语义受控的答案生成方法、</w:t>
      </w:r>
      <w:r>
        <w:rPr>
          <w:spacing w:val="-83"/>
        </w:rPr>
        <w:t> </w:t>
      </w:r>
      <w:r>
        <w:rPr>
          <w:spacing w:val="-83"/>
        </w:rPr>
      </w:r>
      <w:r>
        <w:rPr/>
        <w:t>装置及系统”、“支持场景关联的智能问答方法及装置”等多项发</w:t>
      </w:r>
      <w:r>
        <w:rPr>
          <w:w w:val="99"/>
        </w:rPr>
        <w:t> </w:t>
      </w:r>
      <w:r>
        <w:rPr/>
        <w:t>明专利，截止 </w:t>
      </w:r>
      <w:r>
        <w:rPr>
          <w:rFonts w:ascii="Times New Roman" w:hAnsi="Times New Roman" w:cs="Times New Roman" w:eastAsia="Times New Roman" w:hint="default"/>
        </w:rPr>
        <w:t>2018</w:t>
      </w:r>
      <w:r>
        <w:rPr>
          <w:rFonts w:ascii="Times New Roman" w:hAnsi="Times New Roman" w:cs="Times New Roman" w:eastAsia="Times New Roman" w:hint="default"/>
          <w:spacing w:val="22"/>
        </w:rPr>
        <w:t> </w:t>
      </w:r>
      <w:r>
        <w:rPr/>
        <w:t>年底，公司涉及到人工智能板块的专利申请量</w:t>
      </w:r>
    </w:p>
    <w:p>
      <w:pPr>
        <w:pStyle w:val="BodyText"/>
        <w:spacing w:line="240" w:lineRule="auto" w:before="28"/>
        <w:ind w:left="1715" w:right="977"/>
        <w:jc w:val="center"/>
      </w:pPr>
      <w:r>
        <w:rPr>
          <w:rFonts w:ascii="Times New Roman" w:hAnsi="Times New Roman" w:cs="Times New Roman" w:eastAsia="Times New Roman" w:hint="default"/>
        </w:rPr>
        <w:t>169</w:t>
      </w:r>
      <w:r>
        <w:rPr>
          <w:rFonts w:ascii="Times New Roman" w:hAnsi="Times New Roman" w:cs="Times New Roman" w:eastAsia="Times New Roman" w:hint="default"/>
          <w:spacing w:val="-1"/>
        </w:rPr>
        <w:t> </w:t>
      </w:r>
      <w:r>
        <w:rPr/>
        <w:t>件，其中发明专利</w:t>
      </w:r>
      <w:r>
        <w:rPr>
          <w:spacing w:val="-46"/>
        </w:rPr>
        <w:t> </w:t>
      </w:r>
      <w:r>
        <w:rPr>
          <w:rFonts w:ascii="Times New Roman" w:hAnsi="Times New Roman" w:cs="Times New Roman" w:eastAsia="Times New Roman" w:hint="default"/>
        </w:rPr>
        <w:t>163</w:t>
      </w:r>
      <w:r>
        <w:rPr>
          <w:rFonts w:ascii="Times New Roman" w:hAnsi="Times New Roman" w:cs="Times New Roman" w:eastAsia="Times New Roman" w:hint="default"/>
          <w:spacing w:val="-1"/>
        </w:rPr>
        <w:t> </w:t>
      </w:r>
      <w:r>
        <w:rPr/>
        <w:t>件。</w:t>
      </w:r>
    </w:p>
    <w:p>
      <w:pPr>
        <w:spacing w:line="240" w:lineRule="auto" w:before="9"/>
        <w:rPr>
          <w:rFonts w:ascii="宋体" w:hAnsi="宋体" w:cs="宋体" w:eastAsia="宋体" w:hint="default"/>
          <w:sz w:val="19"/>
          <w:szCs w:val="19"/>
        </w:rPr>
      </w:pPr>
    </w:p>
    <w:p>
      <w:pPr>
        <w:spacing w:before="0"/>
        <w:ind w:left="4956" w:right="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）在物联网领域</w:t>
      </w:r>
      <w:r>
        <w:rPr>
          <w:rFonts w:ascii="宋体" w:hAnsi="宋体" w:cs="宋体" w:eastAsia="宋体" w:hint="default"/>
          <w:sz w:val="18"/>
          <w:szCs w:val="18"/>
        </w:rPr>
        <w:t>，“智慧线”系列产品自</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年起研发至</w:t>
      </w:r>
    </w:p>
    <w:p>
      <w:pPr>
        <w:spacing w:line="240" w:lineRule="auto" w:before="10"/>
        <w:rPr>
          <w:rFonts w:ascii="宋体" w:hAnsi="宋体" w:cs="宋体" w:eastAsia="宋体" w:hint="default"/>
          <w:sz w:val="16"/>
          <w:szCs w:val="16"/>
        </w:rPr>
      </w:pPr>
    </w:p>
    <w:p>
      <w:pPr>
        <w:pStyle w:val="BodyText"/>
        <w:spacing w:line="240" w:lineRule="auto"/>
        <w:ind w:left="4594" w:right="0"/>
        <w:jc w:val="left"/>
      </w:pPr>
      <w:r>
        <w:rPr/>
        <w:t>今，经过数年的技术和实践积累，截止 </w:t>
      </w:r>
      <w:r>
        <w:rPr>
          <w:rFonts w:ascii="Times New Roman" w:hAnsi="Times New Roman" w:cs="Times New Roman" w:eastAsia="Times New Roman" w:hint="default"/>
        </w:rPr>
        <w:t>2018</w:t>
      </w:r>
      <w:r>
        <w:rPr>
          <w:rFonts w:ascii="Times New Roman" w:hAnsi="Times New Roman" w:cs="Times New Roman" w:eastAsia="Times New Roman" w:hint="default"/>
          <w:spacing w:val="23"/>
        </w:rPr>
        <w:t> </w:t>
      </w:r>
      <w:r>
        <w:rPr/>
        <w:t>年末，专利方面已申</w:t>
      </w:r>
    </w:p>
    <w:p>
      <w:pPr>
        <w:spacing w:line="240" w:lineRule="auto" w:before="11"/>
        <w:rPr>
          <w:rFonts w:ascii="宋体" w:hAnsi="宋体" w:cs="宋体" w:eastAsia="宋体" w:hint="default"/>
          <w:sz w:val="16"/>
          <w:szCs w:val="16"/>
        </w:rPr>
      </w:pPr>
    </w:p>
    <w:p>
      <w:pPr>
        <w:pStyle w:val="BodyText"/>
        <w:spacing w:line="489" w:lineRule="auto"/>
        <w:ind w:left="514" w:right="0" w:hanging="360"/>
        <w:jc w:val="left"/>
      </w:pPr>
      <w:r>
        <w:rPr/>
        <w:t>请数量</w:t>
      </w:r>
      <w:r>
        <w:rPr>
          <w:spacing w:val="-46"/>
        </w:rPr>
        <w:t> </w:t>
      </w:r>
      <w:r>
        <w:rPr>
          <w:rFonts w:ascii="Times New Roman" w:hAnsi="Times New Roman" w:cs="Times New Roman" w:eastAsia="Times New Roman" w:hint="default"/>
        </w:rPr>
        <w:t>131</w:t>
      </w:r>
      <w:r>
        <w:rPr>
          <w:rFonts w:ascii="Times New Roman" w:hAnsi="Times New Roman" w:cs="Times New Roman" w:eastAsia="Times New Roman" w:hint="default"/>
          <w:spacing w:val="-1"/>
        </w:rPr>
        <w:t> </w:t>
      </w:r>
      <w:r>
        <w:rPr/>
        <w:t>件，其中发明专利</w:t>
      </w:r>
      <w:r>
        <w:rPr>
          <w:spacing w:val="-46"/>
        </w:rPr>
        <w:t> </w:t>
      </w:r>
      <w:r>
        <w:rPr>
          <w:rFonts w:ascii="Times New Roman" w:hAnsi="Times New Roman" w:cs="Times New Roman" w:eastAsia="Times New Roman" w:hint="default"/>
        </w:rPr>
        <w:t>96</w:t>
      </w:r>
      <w:r>
        <w:rPr>
          <w:rFonts w:ascii="Times New Roman" w:hAnsi="Times New Roman" w:cs="Times New Roman" w:eastAsia="Times New Roman" w:hint="default"/>
          <w:spacing w:val="-1"/>
        </w:rPr>
        <w:t> </w:t>
      </w:r>
      <w:r>
        <w:rPr/>
        <w:t>件。 </w:t>
      </w:r>
      <w:r>
        <w:rPr>
          <w:spacing w:val="-2"/>
        </w:rPr>
        <w:t>公司的软件著作权及专利规模，充分体现了公司的技术创新能力、研发实力、拓展能力、企业经营能力，成为企业长期</w:t>
      </w:r>
    </w:p>
    <w:p>
      <w:pPr>
        <w:spacing w:after="0" w:line="489" w:lineRule="auto"/>
        <w:jc w:val="left"/>
        <w:sectPr>
          <w:pgSz w:w="11910" w:h="16840"/>
          <w:pgMar w:header="851" w:footer="1187" w:top="1400" w:bottom="1380" w:left="980" w:right="0"/>
        </w:sectPr>
      </w:pPr>
    </w:p>
    <w:p>
      <w:pPr>
        <w:spacing w:line="240" w:lineRule="auto" w:before="1"/>
        <w:rPr>
          <w:rFonts w:ascii="宋体" w:hAnsi="宋体" w:cs="宋体" w:eastAsia="宋体" w:hint="default"/>
          <w:sz w:val="8"/>
          <w:szCs w:val="8"/>
        </w:rPr>
      </w:pPr>
    </w:p>
    <w:p>
      <w:pPr>
        <w:pStyle w:val="BodyText"/>
        <w:spacing w:line="240" w:lineRule="auto" w:before="44"/>
        <w:ind w:right="0"/>
        <w:jc w:val="left"/>
      </w:pPr>
      <w:r>
        <w:rPr/>
        <w:t>持续健康发展的有力支撑。</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4"/>
        <w:spacing w:line="240" w:lineRule="auto" w:before="142"/>
        <w:ind w:right="0"/>
        <w:jc w:val="left"/>
        <w:rPr>
          <w:b w:val="0"/>
          <w:bCs w:val="0"/>
          <w:i w:val="0"/>
        </w:rPr>
      </w:pPr>
      <w:bookmarkStart w:name="2、信息技术创新能力" w:id="27"/>
      <w:bookmarkEnd w:id="27"/>
      <w:r>
        <w:rPr>
          <w:b w:val="0"/>
          <w:bCs w:val="0"/>
          <w:i w:val="0"/>
        </w:rPr>
      </w:r>
      <w:r>
        <w:rPr>
          <w:rFonts w:ascii="Times New Roman" w:hAnsi="Times New Roman" w:cs="Times New Roman" w:eastAsia="Times New Roman" w:hint="default"/>
          <w:i/>
          <w:sz w:val="18"/>
          <w:szCs w:val="18"/>
        </w:rPr>
      </w:r>
      <w:r>
        <w:rPr>
          <w:rFonts w:ascii="Times New Roman" w:hAnsi="Times New Roman" w:cs="Times New Roman" w:eastAsia="Times New Roman" w:hint="default"/>
          <w:i/>
          <w:sz w:val="18"/>
          <w:szCs w:val="18"/>
          <w:u w:val="single" w:color="000000"/>
        </w:rPr>
        <w:t>2</w:t>
      </w:r>
      <w:r>
        <w:rPr>
          <w:u w:val="single" w:color="000000"/>
        </w:rPr>
        <w:t>、信息技术创新能力</w:t>
      </w:r>
      <w:r>
        <w:rPr/>
      </w:r>
      <w:r>
        <w:rPr>
          <w:b w:val="0"/>
          <w:bCs w:val="0"/>
          <w:i w:val="0"/>
        </w:rPr>
      </w:r>
    </w:p>
    <w:p>
      <w:pPr>
        <w:spacing w:line="240" w:lineRule="auto" w:before="5"/>
        <w:rPr>
          <w:rFonts w:ascii="宋体" w:hAnsi="宋体" w:cs="宋体" w:eastAsia="宋体" w:hint="default"/>
          <w:b/>
          <w:bCs/>
          <w:i/>
          <w:sz w:val="13"/>
          <w:szCs w:val="13"/>
        </w:rPr>
      </w:pPr>
    </w:p>
    <w:p>
      <w:pPr>
        <w:pStyle w:val="BodyText"/>
        <w:spacing w:line="477" w:lineRule="auto" w:before="44"/>
        <w:ind w:right="1130" w:firstLine="360"/>
        <w:jc w:val="both"/>
      </w:pPr>
      <w:r>
        <w:rPr/>
        <w:t>“坚持创新引领发展”是</w:t>
      </w:r>
      <w:r>
        <w:rPr>
          <w:spacing w:val="-41"/>
        </w:rPr>
        <w:t> </w:t>
      </w:r>
      <w:r>
        <w:rPr>
          <w:rFonts w:ascii="宋体" w:hAnsi="宋体" w:cs="宋体" w:eastAsia="宋体" w:hint="default"/>
        </w:rPr>
        <w:t>2018</w:t>
      </w:r>
      <w:r>
        <w:rPr>
          <w:rFonts w:ascii="宋体" w:hAnsi="宋体" w:cs="宋体" w:eastAsia="宋体" w:hint="default"/>
          <w:spacing w:val="-41"/>
        </w:rPr>
        <w:t> </w:t>
      </w:r>
      <w:r>
        <w:rPr/>
        <w:t>年国务院总理李克强在《政府工作报告》主要工作回顾中的重要一项。公司秉持以创新 </w:t>
      </w:r>
      <w:r>
        <w:rPr>
          <w:spacing w:val="-2"/>
        </w:rPr>
        <w:t>驱动未来发展的理念，始终坚持科技创新与自主研发，持续为企业注入更多内涵与动力。在信息产业日新月异的时代，公司</w:t>
      </w:r>
      <w:r>
        <w:rPr>
          <w:spacing w:val="-66"/>
        </w:rPr>
        <w:t> </w:t>
      </w:r>
      <w:r>
        <w:rPr>
          <w:spacing w:val="-66"/>
        </w:rPr>
      </w:r>
      <w:r>
        <w:rPr>
          <w:spacing w:val="-2"/>
        </w:rPr>
        <w:t>敢于不断探索，追寻最新的科技进步潮流，不断寻找新的业绩增长点积极转型，大力度投入基础研究和行业创新，尤其在人</w:t>
      </w:r>
      <w:r>
        <w:rPr>
          <w:spacing w:val="-66"/>
        </w:rPr>
        <w:t> </w:t>
      </w:r>
      <w:r>
        <w:rPr>
          <w:spacing w:val="-66"/>
        </w:rPr>
      </w:r>
      <w:r>
        <w:rPr/>
        <w:t>工智能大数据、物联网领域体现明显：</w:t>
      </w:r>
    </w:p>
    <w:p>
      <w:pPr>
        <w:pStyle w:val="Heading5"/>
        <w:spacing w:line="240" w:lineRule="auto" w:before="54"/>
        <w:ind w:left="515" w:right="0"/>
        <w:jc w:val="left"/>
        <w:rPr>
          <w:b w:val="0"/>
          <w:bCs w:val="0"/>
        </w:rPr>
      </w:pPr>
      <w:r>
        <w:rPr>
          <w:rFonts w:ascii="Times New Roman" w:hAnsi="Times New Roman" w:cs="Times New Roman" w:eastAsia="Times New Roman" w:hint="default"/>
        </w:rPr>
        <w:t>A</w:t>
      </w:r>
      <w:r>
        <w:rPr/>
        <w:t>、联合实验室理论成果收获颇多</w:t>
      </w:r>
      <w:r>
        <w:rPr>
          <w:b w:val="0"/>
          <w:bCs w:val="0"/>
        </w:rPr>
      </w:r>
    </w:p>
    <w:p>
      <w:pPr>
        <w:spacing w:line="240" w:lineRule="auto" w:before="6"/>
        <w:rPr>
          <w:rFonts w:ascii="宋体" w:hAnsi="宋体" w:cs="宋体" w:eastAsia="宋体" w:hint="default"/>
          <w:b/>
          <w:bCs/>
          <w:sz w:val="19"/>
          <w:szCs w:val="19"/>
        </w:rPr>
      </w:pPr>
    </w:p>
    <w:p>
      <w:pPr>
        <w:spacing w:line="4106" w:lineRule="exact"/>
        <w:ind w:left="295"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5922593" cy="2607754"/>
            <wp:effectExtent l="0" t="0" r="0" b="0"/>
            <wp:docPr id="59" name="image66.jpeg" descr=""/>
            <wp:cNvGraphicFramePr>
              <a:graphicFrameLocks noChangeAspect="1"/>
            </wp:cNvGraphicFramePr>
            <a:graphic>
              <a:graphicData uri="http://schemas.openxmlformats.org/drawingml/2006/picture">
                <pic:pic>
                  <pic:nvPicPr>
                    <pic:cNvPr id="60" name="image66.jpeg"/>
                    <pic:cNvPicPr/>
                  </pic:nvPicPr>
                  <pic:blipFill>
                    <a:blip r:embed="rId73" cstate="print"/>
                    <a:stretch>
                      <a:fillRect/>
                    </a:stretch>
                  </pic:blipFill>
                  <pic:spPr>
                    <a:xfrm>
                      <a:off x="0" y="0"/>
                      <a:ext cx="5922593" cy="2607754"/>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5"/>
        <w:rPr>
          <w:rFonts w:ascii="宋体" w:hAnsi="宋体" w:cs="宋体" w:eastAsia="宋体" w:hint="default"/>
          <w:b/>
          <w:bCs/>
          <w:sz w:val="17"/>
          <w:szCs w:val="17"/>
        </w:rPr>
      </w:pPr>
    </w:p>
    <w:p>
      <w:pPr>
        <w:pStyle w:val="BodyText"/>
        <w:spacing w:line="451" w:lineRule="auto"/>
        <w:ind w:right="1028" w:firstLine="360"/>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43"/>
        </w:rPr>
        <w:t> </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t>月，联合实验室联合中国人民大学</w:t>
      </w:r>
      <w:r>
        <w:rPr>
          <w:spacing w:val="-43"/>
        </w:rPr>
        <w:t> </w:t>
      </w:r>
      <w:r>
        <w:rPr>
          <w:rFonts w:ascii="Times New Roman" w:hAnsi="Times New Roman" w:cs="Times New Roman" w:eastAsia="Times New Roman" w:hint="default"/>
        </w:rPr>
        <w:t>DBIIR</w:t>
      </w:r>
      <w:r>
        <w:rPr>
          <w:rFonts w:ascii="Times New Roman" w:hAnsi="Times New Roman" w:cs="Times New Roman" w:eastAsia="Times New Roman" w:hint="default"/>
          <w:spacing w:val="1"/>
        </w:rPr>
        <w:t> </w:t>
      </w:r>
      <w:r>
        <w:rPr/>
        <w:t>实验室，构建并正式发布了目前全网最全的中文语言向量资源， 包含数十种用各领域语料（百度百科、维基百科、人民日报、知乎、微博、文学、金融、古汉语等）训练的字、词、</w:t>
      </w:r>
      <w:r>
        <w:rPr>
          <w:rFonts w:ascii="Times New Roman" w:hAnsi="Times New Roman" w:cs="Times New Roman" w:eastAsia="Times New Roman" w:hint="default"/>
        </w:rPr>
        <w:t>ngram </w:t>
      </w:r>
      <w:r>
        <w:rPr/>
        <w:t>向量，覆盖多种训练设置，并提供了</w:t>
      </w:r>
      <w:r>
        <w:rPr>
          <w:spacing w:val="-46"/>
        </w:rPr>
        <w:t> </w:t>
      </w:r>
      <w:r>
        <w:rPr>
          <w:rFonts w:ascii="Times New Roman" w:hAnsi="Times New Roman" w:cs="Times New Roman" w:eastAsia="Times New Roman" w:hint="default"/>
        </w:rPr>
        <w:t>CA8 </w:t>
      </w:r>
      <w:r>
        <w:rPr/>
        <w:t>评测数据集及评测方法。</w:t>
      </w:r>
    </w:p>
    <w:p>
      <w:pPr>
        <w:pStyle w:val="BodyText"/>
        <w:spacing w:line="451" w:lineRule="auto" w:before="43"/>
        <w:ind w:right="942" w:firstLine="360"/>
        <w:jc w:val="left"/>
      </w:pPr>
      <w:r>
        <w:rPr>
          <w:rFonts w:ascii="Times New Roman" w:hAnsi="Times New Roman" w:cs="Times New Roman" w:eastAsia="Times New Roman" w:hint="default"/>
        </w:rPr>
        <w:t>Chinese Word Vectors </w:t>
      </w:r>
      <w:r>
        <w:rPr/>
        <w:t>项目在</w:t>
      </w:r>
      <w:r>
        <w:rPr>
          <w:spacing w:val="-46"/>
        </w:rPr>
        <w:t> </w:t>
      </w:r>
      <w:r>
        <w:rPr>
          <w:rFonts w:ascii="Times New Roman" w:hAnsi="Times New Roman" w:cs="Times New Roman" w:eastAsia="Times New Roman" w:hint="default"/>
        </w:rPr>
        <w:t>Github</w:t>
      </w:r>
      <w:r>
        <w:rPr>
          <w:rFonts w:ascii="Times New Roman" w:hAnsi="Times New Roman" w:cs="Times New Roman" w:eastAsia="Times New Roman" w:hint="default"/>
          <w:spacing w:val="-1"/>
        </w:rPr>
        <w:t> </w:t>
      </w:r>
      <w:r>
        <w:rPr>
          <w:spacing w:val="-4"/>
        </w:rPr>
        <w:t>开源平台上发布一周后，就已在</w:t>
      </w:r>
      <w:r>
        <w:rPr>
          <w:spacing w:val="-46"/>
        </w:rPr>
        <w:t> </w:t>
      </w:r>
      <w:r>
        <w:rPr>
          <w:rFonts w:ascii="Times New Roman" w:hAnsi="Times New Roman" w:cs="Times New Roman" w:eastAsia="Times New Roman" w:hint="default"/>
        </w:rPr>
        <w:t>Github</w:t>
      </w:r>
      <w:r>
        <w:rPr>
          <w:rFonts w:ascii="Times New Roman" w:hAnsi="Times New Roman" w:cs="Times New Roman" w:eastAsia="Times New Roman" w:hint="default"/>
          <w:spacing w:val="1"/>
        </w:rPr>
        <w:t> </w:t>
      </w:r>
      <w:r>
        <w:rPr/>
        <w:t>上获得</w:t>
      </w:r>
      <w:r>
        <w:rPr>
          <w:spacing w:val="-46"/>
        </w:rPr>
        <w:t> </w:t>
      </w:r>
      <w:r>
        <w:rPr>
          <w:rFonts w:ascii="Times New Roman" w:hAnsi="Times New Roman" w:cs="Times New Roman" w:eastAsia="Times New Roman" w:hint="default"/>
        </w:rPr>
        <w:t>1500</w:t>
      </w:r>
      <w:r>
        <w:rPr>
          <w:rFonts w:ascii="Times New Roman" w:hAnsi="Times New Roman" w:cs="Times New Roman" w:eastAsia="Times New Roman" w:hint="default"/>
          <w:spacing w:val="-1"/>
        </w:rPr>
        <w:t> </w:t>
      </w:r>
      <w:r>
        <w:rPr>
          <w:spacing w:val="-8"/>
        </w:rPr>
        <w:t>余星，以及机器之心、汉语堂、</w:t>
      </w:r>
      <w:r>
        <w:rPr/>
        <w:t> </w:t>
      </w:r>
      <w:r>
        <w:rPr>
          <w:rFonts w:ascii="Times New Roman" w:hAnsi="Times New Roman" w:cs="Times New Roman" w:eastAsia="Times New Roman" w:hint="default"/>
        </w:rPr>
        <w:t>Paper</w:t>
      </w:r>
      <w:r>
        <w:rPr>
          <w:rFonts w:ascii="Times New Roman" w:hAnsi="Times New Roman" w:cs="Times New Roman" w:eastAsia="Times New Roman" w:hint="default"/>
          <w:spacing w:val="6"/>
        </w:rPr>
        <w:t> </w:t>
      </w:r>
      <w:r>
        <w:rPr>
          <w:rFonts w:ascii="Times New Roman" w:hAnsi="Times New Roman" w:cs="Times New Roman" w:eastAsia="Times New Roman" w:hint="default"/>
          <w:spacing w:val="-1"/>
        </w:rPr>
        <w:t>Weekly</w:t>
      </w:r>
      <w:r>
        <w:rPr>
          <w:rFonts w:ascii="Times New Roman" w:hAnsi="Times New Roman" w:cs="Times New Roman" w:eastAsia="Times New Roman" w:hint="default"/>
          <w:spacing w:val="7"/>
        </w:rPr>
        <w:t> </w:t>
      </w:r>
      <w:r>
        <w:rPr>
          <w:spacing w:val="-6"/>
          <w:w w:val="99"/>
        </w:rPr>
        <w:t>等媒体的广泛报道与推荐。该研究的论文《</w:t>
      </w:r>
      <w:r>
        <w:rPr>
          <w:rFonts w:ascii="Times New Roman" w:hAnsi="Times New Roman" w:cs="Times New Roman" w:eastAsia="Times New Roman" w:hint="default"/>
          <w:spacing w:val="-6"/>
          <w:w w:val="99"/>
        </w:rPr>
        <w:t>Analogical</w:t>
      </w:r>
      <w:r>
        <w:rPr>
          <w:rFonts w:ascii="Times New Roman" w:hAnsi="Times New Roman" w:cs="Times New Roman" w:eastAsia="Times New Roman" w:hint="default"/>
          <w:spacing w:val="5"/>
          <w:w w:val="99"/>
        </w:rPr>
        <w:t> </w:t>
      </w:r>
      <w:r>
        <w:rPr>
          <w:rFonts w:ascii="Times New Roman" w:hAnsi="Times New Roman" w:cs="Times New Roman" w:eastAsia="Times New Roman" w:hint="default"/>
          <w:spacing w:val="-1"/>
        </w:rPr>
        <w:t>Reasoning</w:t>
      </w:r>
      <w:r>
        <w:rPr>
          <w:rFonts w:ascii="Times New Roman" w:hAnsi="Times New Roman" w:cs="Times New Roman" w:eastAsia="Times New Roman" w:hint="default"/>
          <w:spacing w:val="6"/>
        </w:rPr>
        <w:t> </w:t>
      </w:r>
      <w:r>
        <w:rPr>
          <w:rFonts w:ascii="Times New Roman" w:hAnsi="Times New Roman" w:cs="Times New Roman" w:eastAsia="Times New Roman" w:hint="default"/>
        </w:rPr>
        <w:t>on</w:t>
      </w:r>
      <w:r>
        <w:rPr>
          <w:rFonts w:ascii="Times New Roman" w:hAnsi="Times New Roman" w:cs="Times New Roman" w:eastAsia="Times New Roman" w:hint="default"/>
          <w:spacing w:val="6"/>
        </w:rPr>
        <w:t> </w:t>
      </w:r>
      <w:r>
        <w:rPr>
          <w:rFonts w:ascii="Times New Roman" w:hAnsi="Times New Roman" w:cs="Times New Roman" w:eastAsia="Times New Roman" w:hint="default"/>
          <w:spacing w:val="-1"/>
          <w:w w:val="99"/>
        </w:rPr>
        <w:t>Chinese</w:t>
      </w:r>
      <w:r>
        <w:rPr>
          <w:rFonts w:ascii="Times New Roman" w:hAnsi="Times New Roman" w:cs="Times New Roman" w:eastAsia="Times New Roman" w:hint="default"/>
          <w:spacing w:val="5"/>
          <w:w w:val="99"/>
        </w:rPr>
        <w:t> </w:t>
      </w:r>
      <w:r>
        <w:rPr>
          <w:rFonts w:ascii="Times New Roman" w:hAnsi="Times New Roman" w:cs="Times New Roman" w:eastAsia="Times New Roman" w:hint="default"/>
          <w:spacing w:val="-1"/>
        </w:rPr>
        <w:t>Morphological</w:t>
      </w:r>
      <w:r>
        <w:rPr>
          <w:rFonts w:ascii="Times New Roman" w:hAnsi="Times New Roman" w:cs="Times New Roman" w:eastAsia="Times New Roman" w:hint="default"/>
          <w:spacing w:val="6"/>
        </w:rPr>
        <w:t> </w:t>
      </w:r>
      <w:r>
        <w:rPr>
          <w:rFonts w:ascii="Times New Roman" w:hAnsi="Times New Roman" w:cs="Times New Roman" w:eastAsia="Times New Roman" w:hint="default"/>
          <w:spacing w:val="-1"/>
        </w:rPr>
        <w:t>and</w:t>
      </w:r>
      <w:r>
        <w:rPr>
          <w:rFonts w:ascii="Times New Roman" w:hAnsi="Times New Roman" w:cs="Times New Roman" w:eastAsia="Times New Roman" w:hint="default"/>
          <w:spacing w:val="6"/>
        </w:rPr>
        <w:t> </w:t>
      </w:r>
      <w:r>
        <w:rPr>
          <w:rFonts w:ascii="Times New Roman" w:hAnsi="Times New Roman" w:cs="Times New Roman" w:eastAsia="Times New Roman" w:hint="default"/>
          <w:spacing w:val="-1"/>
        </w:rPr>
        <w:t>Semantic</w:t>
      </w:r>
      <w:r>
        <w:rPr>
          <w:rFonts w:ascii="Times New Roman" w:hAnsi="Times New Roman" w:cs="Times New Roman" w:eastAsia="Times New Roman" w:hint="default"/>
          <w:spacing w:val="6"/>
        </w:rPr>
        <w:t> </w:t>
      </w:r>
      <w:r>
        <w:rPr>
          <w:rFonts w:ascii="Times New Roman" w:hAnsi="Times New Roman" w:cs="Times New Roman" w:eastAsia="Times New Roman" w:hint="default"/>
        </w:rPr>
        <w:t>Relations</w:t>
      </w:r>
      <w:r>
        <w:rPr/>
        <w:t>》</w:t>
      </w:r>
      <w:r>
        <w:rPr>
          <w:spacing w:val="-87"/>
        </w:rPr>
        <w:t> </w:t>
      </w:r>
      <w:r>
        <w:rPr/>
        <w:t>也获得</w:t>
      </w:r>
      <w:r>
        <w:rPr>
          <w:spacing w:val="-46"/>
        </w:rPr>
        <w:t> </w:t>
      </w:r>
      <w:r>
        <w:rPr>
          <w:rFonts w:ascii="Times New Roman" w:hAnsi="Times New Roman" w:cs="Times New Roman" w:eastAsia="Times New Roman" w:hint="default"/>
        </w:rPr>
        <w:t>ACL 2018</w:t>
      </w:r>
      <w:r>
        <w:rPr>
          <w:rFonts w:ascii="Times New Roman" w:hAnsi="Times New Roman" w:cs="Times New Roman" w:eastAsia="Times New Roman" w:hint="default"/>
          <w:spacing w:val="-1"/>
        </w:rPr>
        <w:t> </w:t>
      </w:r>
      <w:r>
        <w:rPr/>
        <w:t>大会接收。</w:t>
      </w:r>
    </w:p>
    <w:p>
      <w:pPr>
        <w:pStyle w:val="BodyText"/>
        <w:spacing w:line="451" w:lineRule="auto" w:before="43"/>
        <w:ind w:right="1132" w:firstLine="360"/>
        <w:jc w:val="both"/>
      </w:pPr>
      <w:r>
        <w:rPr>
          <w:rFonts w:ascii="Times New Roman" w:hAnsi="Times New Roman" w:cs="Times New Roman" w:eastAsia="Times New Roman" w:hint="default"/>
          <w:spacing w:val="-3"/>
        </w:rPr>
        <w:t>2</w:t>
      </w:r>
      <w:r>
        <w:rPr>
          <w:spacing w:val="-3"/>
        </w:rPr>
        <w:t>）</w:t>
      </w:r>
      <w:r>
        <w:rPr>
          <w:rFonts w:ascii="Times New Roman" w:hAnsi="Times New Roman" w:cs="Times New Roman" w:eastAsia="Times New Roman" w:hint="default"/>
          <w:spacing w:val="-3"/>
        </w:rPr>
        <w:t>2018 </w:t>
      </w:r>
      <w:r>
        <w:rPr/>
        <w:t>年</w:t>
      </w:r>
      <w:r>
        <w:rPr>
          <w:spacing w:val="-48"/>
        </w:rPr>
        <w:t> </w:t>
      </w:r>
      <w:r>
        <w:rPr>
          <w:rFonts w:ascii="Times New Roman" w:hAnsi="Times New Roman" w:cs="Times New Roman" w:eastAsia="Times New Roman" w:hint="default"/>
        </w:rPr>
        <w:t>10</w:t>
      </w:r>
      <w:r>
        <w:rPr>
          <w:rFonts w:ascii="Times New Roman" w:hAnsi="Times New Roman" w:cs="Times New Roman" w:eastAsia="Times New Roman" w:hint="default"/>
          <w:spacing w:val="-2"/>
        </w:rPr>
        <w:t> </w:t>
      </w:r>
      <w:r>
        <w:rPr>
          <w:spacing w:val="-5"/>
        </w:rPr>
        <w:t>月，在第</w:t>
      </w:r>
      <w:r>
        <w:rPr>
          <w:spacing w:val="-48"/>
        </w:rPr>
        <w:t> </w:t>
      </w:r>
      <w:r>
        <w:rPr>
          <w:rFonts w:ascii="Times New Roman" w:hAnsi="Times New Roman" w:cs="Times New Roman" w:eastAsia="Times New Roman" w:hint="default"/>
        </w:rPr>
        <w:t>17</w:t>
      </w:r>
      <w:r>
        <w:rPr>
          <w:rFonts w:ascii="Times New Roman" w:hAnsi="Times New Roman" w:cs="Times New Roman" w:eastAsia="Times New Roman" w:hint="default"/>
          <w:spacing w:val="-3"/>
        </w:rPr>
        <w:t> </w:t>
      </w:r>
      <w:r>
        <w:rPr/>
        <w:t>届中国计算语言学大会（</w:t>
      </w:r>
      <w:r>
        <w:rPr>
          <w:rFonts w:ascii="Times New Roman" w:hAnsi="Times New Roman" w:cs="Times New Roman" w:eastAsia="Times New Roman" w:hint="default"/>
        </w:rPr>
        <w:t>CCL</w:t>
      </w:r>
      <w:r>
        <w:rPr>
          <w:rFonts w:ascii="Times New Roman" w:hAnsi="Times New Roman" w:cs="Times New Roman" w:eastAsia="Times New Roman" w:hint="default"/>
          <w:spacing w:val="-2"/>
        </w:rPr>
        <w:t> </w:t>
      </w:r>
      <w:r>
        <w:rPr>
          <w:rFonts w:ascii="Times New Roman" w:hAnsi="Times New Roman" w:cs="Times New Roman" w:eastAsia="Times New Roman" w:hint="default"/>
          <w:spacing w:val="-3"/>
        </w:rPr>
        <w:t>2018</w:t>
      </w:r>
      <w:r>
        <w:rPr>
          <w:spacing w:val="-3"/>
        </w:rPr>
        <w:t>）暨第</w:t>
      </w:r>
      <w:r>
        <w:rPr>
          <w:spacing w:val="-48"/>
        </w:rPr>
        <w:t> </w:t>
      </w:r>
      <w:r>
        <w:rPr>
          <w:rFonts w:ascii="Times New Roman" w:hAnsi="Times New Roman" w:cs="Times New Roman" w:eastAsia="Times New Roman" w:hint="default"/>
        </w:rPr>
        <w:t>6</w:t>
      </w:r>
      <w:r>
        <w:rPr>
          <w:rFonts w:ascii="Times New Roman" w:hAnsi="Times New Roman" w:cs="Times New Roman" w:eastAsia="Times New Roman" w:hint="default"/>
          <w:spacing w:val="-3"/>
        </w:rPr>
        <w:t> </w:t>
      </w:r>
      <w:r>
        <w:rPr/>
        <w:t>届基于自然标注大数据的自然语言处理国际学术 研讨会（</w:t>
      </w:r>
      <w:r>
        <w:rPr>
          <w:rFonts w:ascii="Times New Roman" w:hAnsi="Times New Roman" w:cs="Times New Roman" w:eastAsia="Times New Roman" w:hint="default"/>
        </w:rPr>
        <w:t>NLP-NABD 2018</w:t>
      </w:r>
      <w:r>
        <w:rPr/>
        <w:t>）上，联合实验室论文《</w:t>
      </w:r>
      <w:r>
        <w:rPr>
          <w:rFonts w:ascii="Times New Roman" w:hAnsi="Times New Roman" w:cs="Times New Roman" w:eastAsia="Times New Roman" w:hint="default"/>
        </w:rPr>
        <w:t>Revisiting correlations between intrinsic and extrinsic evaluations of</w:t>
      </w:r>
      <w:r>
        <w:rPr>
          <w:rFonts w:ascii="Times New Roman" w:hAnsi="Times New Roman" w:cs="Times New Roman" w:eastAsia="Times New Roman" w:hint="default"/>
          <w:spacing w:val="19"/>
        </w:rPr>
        <w:t> </w:t>
      </w:r>
      <w:r>
        <w:rPr>
          <w:rFonts w:ascii="Times New Roman" w:hAnsi="Times New Roman" w:cs="Times New Roman" w:eastAsia="Times New Roman" w:hint="default"/>
        </w:rPr>
        <w:t>word</w:t>
      </w:r>
      <w:r>
        <w:rPr>
          <w:rFonts w:ascii="Times New Roman" w:hAnsi="Times New Roman" w:cs="Times New Roman" w:eastAsia="Times New Roman" w:hint="default"/>
        </w:rPr>
        <w:t> embeddings</w:t>
      </w:r>
      <w:r>
        <w:rPr/>
        <w:t>》获“</w:t>
      </w:r>
      <w:r>
        <w:rPr>
          <w:rFonts w:ascii="Times New Roman" w:hAnsi="Times New Roman" w:cs="Times New Roman" w:eastAsia="Times New Roman" w:hint="default"/>
        </w:rPr>
        <w:t>NLP-NABD 2018</w:t>
      </w:r>
      <w:r>
        <w:rPr>
          <w:rFonts w:ascii="Times New Roman" w:hAnsi="Times New Roman" w:cs="Times New Roman" w:eastAsia="Times New Roman" w:hint="default"/>
          <w:spacing w:val="-4"/>
        </w:rPr>
        <w:t> </w:t>
      </w:r>
      <w:r>
        <w:rPr/>
        <w:t>最佳论文奖”。</w:t>
      </w:r>
    </w:p>
    <w:p>
      <w:pPr>
        <w:pStyle w:val="BodyText"/>
        <w:spacing w:line="451" w:lineRule="auto" w:before="43"/>
        <w:ind w:right="1121" w:firstLine="360"/>
        <w:jc w:val="left"/>
      </w:pPr>
      <w:r>
        <w:rPr>
          <w:rFonts w:ascii="Times New Roman" w:hAnsi="Times New Roman" w:cs="Times New Roman" w:eastAsia="Times New Roman" w:hint="default"/>
          <w:w w:val="95"/>
        </w:rPr>
        <w:t>3</w:t>
      </w:r>
      <w:r>
        <w:rPr>
          <w:w w:val="95"/>
        </w:rPr>
        <w:t>）</w:t>
      </w:r>
      <w:r>
        <w:rPr>
          <w:rFonts w:ascii="宋体" w:hAnsi="宋体" w:cs="宋体" w:eastAsia="宋体" w:hint="default"/>
          <w:b/>
          <w:bCs/>
          <w:w w:val="95"/>
        </w:rPr>
        <w:t>公司人工智能研究院正式设立深度学习实验室</w:t>
      </w:r>
      <w:r>
        <w:rPr>
          <w:w w:val="95"/>
        </w:rPr>
        <w:t>，专注于深度学习算法研究、优化、落地，聚焦深度学习与自然语言</w:t>
      </w:r>
      <w:r>
        <w:rPr>
          <w:spacing w:val="6"/>
          <w:w w:val="95"/>
        </w:rPr>
        <w:t> </w:t>
      </w:r>
      <w:r>
        <w:rPr>
          <w:spacing w:val="6"/>
          <w:w w:val="95"/>
        </w:rPr>
      </w:r>
      <w:r>
        <w:rPr/>
        <w:t>理解 </w:t>
      </w:r>
      <w:r>
        <w:rPr>
          <w:rFonts w:ascii="Times New Roman" w:hAnsi="Times New Roman" w:cs="Times New Roman" w:eastAsia="Times New Roman" w:hint="default"/>
        </w:rPr>
        <w:t>NLP </w:t>
      </w:r>
      <w:r>
        <w:rPr>
          <w:spacing w:val="-4"/>
        </w:rPr>
        <w:t>的结合研究，致力于提高公司人工智能的学术与行业影响力。实验室还聘请业界资深科学家，指导开展算法研究。</w:t>
      </w:r>
    </w:p>
    <w:p>
      <w:pPr>
        <w:pStyle w:val="Heading5"/>
        <w:spacing w:line="240" w:lineRule="auto" w:before="43"/>
        <w:ind w:left="515" w:right="0"/>
        <w:jc w:val="left"/>
        <w:rPr>
          <w:b w:val="0"/>
          <w:bCs w:val="0"/>
        </w:rPr>
      </w:pPr>
      <w:r>
        <w:rPr>
          <w:rFonts w:ascii="Times New Roman" w:hAnsi="Times New Roman" w:cs="Times New Roman" w:eastAsia="Times New Roman" w:hint="default"/>
        </w:rPr>
        <w:t>B</w:t>
      </w:r>
      <w:r>
        <w:rPr/>
        <w:t>、现代技术冲击传统业务，全面赋能探索</w:t>
      </w:r>
      <w:r>
        <w:rPr>
          <w:b w:val="0"/>
          <w:bCs w:val="0"/>
        </w:rPr>
      </w:r>
    </w:p>
    <w:p>
      <w:pPr>
        <w:spacing w:after="0" w:line="240" w:lineRule="auto"/>
        <w:jc w:val="left"/>
        <w:sectPr>
          <w:pgSz w:w="11910" w:h="16840"/>
          <w:pgMar w:header="851" w:footer="1187" w:top="1400" w:bottom="1380" w:left="980" w:right="0"/>
        </w:sectPr>
      </w:pPr>
    </w:p>
    <w:p>
      <w:pPr>
        <w:spacing w:line="240" w:lineRule="auto" w:before="2"/>
        <w:rPr>
          <w:rFonts w:ascii="宋体" w:hAnsi="宋体" w:cs="宋体" w:eastAsia="宋体" w:hint="default"/>
          <w:b/>
          <w:bCs/>
          <w:sz w:val="8"/>
          <w:szCs w:val="8"/>
        </w:rPr>
      </w:pPr>
    </w:p>
    <w:p>
      <w:pPr>
        <w:pStyle w:val="BodyText"/>
        <w:spacing w:line="463" w:lineRule="auto" w:before="44"/>
        <w:ind w:right="1129" w:firstLine="360"/>
        <w:jc w:val="both"/>
      </w:pPr>
      <w:r>
        <w:rPr/>
        <w:t>随着近年来人工智能</w:t>
      </w:r>
      <w:r>
        <w:rPr>
          <w:rFonts w:ascii="Times New Roman" w:hAnsi="Times New Roman" w:cs="Times New Roman" w:eastAsia="Times New Roman" w:hint="default"/>
        </w:rPr>
        <w:t>/</w:t>
      </w:r>
      <w:r>
        <w:rPr/>
        <w:t>大数据、数字经济等新科技和新模式成为经济发展的新动力，冲击着各行各业，公司已进行前瞻 </w:t>
      </w:r>
      <w:r>
        <w:rPr>
          <w:spacing w:val="-2"/>
        </w:rPr>
        <w:t>性布局，坚持科技赋能的总原则，加强大数据、人工智能、虚拟现实等科技应用，提高公司数据治理能力，为组织创新和效</w:t>
      </w:r>
      <w:r>
        <w:rPr>
          <w:spacing w:val="-68"/>
        </w:rPr>
        <w:t> </w:t>
      </w:r>
      <w:r>
        <w:rPr>
          <w:spacing w:val="-68"/>
        </w:rPr>
      </w:r>
      <w:r>
        <w:rPr/>
        <w:t>率提升不断赋能。</w:t>
      </w:r>
    </w:p>
    <w:p>
      <w:pPr>
        <w:pStyle w:val="Heading5"/>
        <w:spacing w:line="240" w:lineRule="auto" w:before="106"/>
        <w:ind w:left="515" w:right="0"/>
        <w:jc w:val="left"/>
        <w:rPr>
          <w:b w:val="0"/>
          <w:bCs w:val="0"/>
        </w:rPr>
      </w:pPr>
      <w:r>
        <w:rPr>
          <w:rFonts w:ascii="Times New Roman" w:hAnsi="Times New Roman" w:cs="Times New Roman" w:eastAsia="Times New Roman" w:hint="default"/>
        </w:rPr>
        <w:t>1</w:t>
      </w:r>
      <w:r>
        <w:rPr/>
        <w:t>）物联网方案中添加智能过滤算法</w:t>
      </w:r>
      <w:r>
        <w:rPr>
          <w:b w:val="0"/>
          <w:bCs w:val="0"/>
        </w:rPr>
      </w:r>
    </w:p>
    <w:p>
      <w:pPr>
        <w:spacing w:line="240" w:lineRule="auto" w:before="9"/>
        <w:rPr>
          <w:rFonts w:ascii="宋体" w:hAnsi="宋体" w:cs="宋体" w:eastAsia="宋体" w:hint="default"/>
          <w:b/>
          <w:bCs/>
          <w:sz w:val="19"/>
          <w:szCs w:val="19"/>
        </w:rPr>
      </w:pPr>
    </w:p>
    <w:p>
      <w:pPr>
        <w:pStyle w:val="BodyText"/>
        <w:spacing w:line="465" w:lineRule="auto"/>
        <w:ind w:right="1132" w:firstLine="360"/>
        <w:jc w:val="both"/>
      </w:pPr>
      <w:r>
        <w:rPr>
          <w:spacing w:val="-7"/>
        </w:rPr>
        <w:t>面向物联网业务，</w:t>
      </w:r>
      <w:r>
        <w:rPr>
          <w:rFonts w:ascii="Times New Roman" w:hAnsi="Times New Roman" w:cs="Times New Roman" w:eastAsia="Times New Roman" w:hint="default"/>
          <w:spacing w:val="-7"/>
        </w:rPr>
        <w:t>2018</w:t>
      </w:r>
      <w:r>
        <w:rPr>
          <w:rFonts w:ascii="Times New Roman" w:hAnsi="Times New Roman" w:cs="Times New Roman" w:eastAsia="Times New Roman" w:hint="default"/>
        </w:rPr>
        <w:t> </w:t>
      </w:r>
      <w:r>
        <w:rPr>
          <w:w w:val="99"/>
        </w:rPr>
        <w:t>年重点推出的</w:t>
      </w:r>
      <w:r>
        <w:rPr>
          <w:rFonts w:ascii="宋体" w:hAnsi="宋体" w:cs="宋体" w:eastAsia="宋体" w:hint="default"/>
          <w:b/>
          <w:bCs/>
          <w:w w:val="99"/>
        </w:rPr>
        <w:t>“智慧墙入侵探测系统解决方案”</w:t>
      </w:r>
      <w:r>
        <w:rPr>
          <w:rFonts w:ascii="Times New Roman" w:hAnsi="Times New Roman" w:cs="Times New Roman" w:eastAsia="Times New Roman" w:hint="default"/>
          <w:b/>
          <w:bCs/>
          <w:w w:val="99"/>
        </w:rPr>
        <w:t>5.0 </w:t>
      </w:r>
      <w:r>
        <w:rPr>
          <w:rFonts w:ascii="宋体" w:hAnsi="宋体" w:cs="宋体" w:eastAsia="宋体" w:hint="default"/>
          <w:b/>
          <w:bCs/>
          <w:spacing w:val="-11"/>
          <w:w w:val="99"/>
        </w:rPr>
        <w:t>版本中，</w:t>
      </w:r>
      <w:r>
        <w:rPr>
          <w:spacing w:val="-11"/>
          <w:w w:val="99"/>
        </w:rPr>
        <w:t>公司将</w:t>
      </w:r>
      <w:r>
        <w:rPr>
          <w:spacing w:val="-32"/>
          <w:w w:val="99"/>
        </w:rPr>
        <w:t> </w:t>
      </w:r>
      <w:r>
        <w:rPr>
          <w:rFonts w:ascii="Times New Roman" w:hAnsi="Times New Roman" w:cs="Times New Roman" w:eastAsia="Times New Roman" w:hint="default"/>
          <w:w w:val="99"/>
        </w:rPr>
        <w:t>AI/</w:t>
      </w:r>
      <w:r>
        <w:rPr>
          <w:w w:val="99"/>
        </w:rPr>
        <w:t>大数据与现有技术融合，</w:t>
      </w:r>
      <w:r>
        <w:rPr/>
        <w:t> </w:t>
      </w:r>
      <w:r>
        <w:rPr>
          <w:spacing w:val="-2"/>
        </w:rPr>
        <w:t>涵盖了“智能过滤算法”，系统具备多种过滤算法组合能力，可基于信号波动特征值的分类算法触发初判，基于端对端的神</w:t>
      </w:r>
      <w:r>
        <w:rPr>
          <w:spacing w:val="-67"/>
        </w:rPr>
        <w:t> </w:t>
      </w:r>
      <w:r>
        <w:rPr>
          <w:spacing w:val="-67"/>
        </w:rPr>
      </w:r>
      <w:r>
        <w:rPr/>
        <w:t>经网络</w:t>
      </w:r>
      <w:r>
        <w:rPr>
          <w:spacing w:val="-46"/>
        </w:rPr>
        <w:t> </w:t>
      </w:r>
      <w:r>
        <w:rPr>
          <w:rFonts w:ascii="Times New Roman" w:hAnsi="Times New Roman" w:cs="Times New Roman" w:eastAsia="Times New Roman" w:hint="default"/>
        </w:rPr>
        <w:t>AI</w:t>
      </w:r>
      <w:r>
        <w:rPr>
          <w:rFonts w:ascii="Times New Roman" w:hAnsi="Times New Roman" w:cs="Times New Roman" w:eastAsia="Times New Roman" w:hint="default"/>
          <w:spacing w:val="-1"/>
        </w:rPr>
        <w:t> </w:t>
      </w:r>
      <w:r>
        <w:rPr/>
        <w:t>算法过滤干扰确认报警，并且能够通过不断学习优化更新样本数据库。</w:t>
      </w:r>
    </w:p>
    <w:p>
      <w:pPr>
        <w:pStyle w:val="Heading5"/>
        <w:spacing w:line="240" w:lineRule="auto" w:before="71"/>
        <w:ind w:left="515" w:right="0"/>
        <w:jc w:val="left"/>
        <w:rPr>
          <w:b w:val="0"/>
          <w:bCs w:val="0"/>
        </w:rPr>
      </w:pPr>
      <w:r>
        <w:rPr>
          <w:rFonts w:ascii="Times New Roman" w:hAnsi="Times New Roman" w:cs="Times New Roman" w:eastAsia="Times New Roman" w:hint="default"/>
        </w:rPr>
        <w:t>2</w:t>
      </w:r>
      <w:r>
        <w:rPr/>
        <w:t>）研发新一代神州泰岳“智能运维</w:t>
      </w:r>
      <w:r>
        <w:rPr>
          <w:spacing w:val="-49"/>
        </w:rPr>
        <w:t> </w:t>
      </w:r>
      <w:r>
        <w:rPr>
          <w:rFonts w:ascii="Times New Roman" w:hAnsi="Times New Roman" w:cs="Times New Roman" w:eastAsia="Times New Roman" w:hint="default"/>
        </w:rPr>
        <w:t>AIOPS</w:t>
      </w:r>
      <w:r>
        <w:rPr/>
        <w:t>”解决方案</w:t>
      </w:r>
      <w:r>
        <w:rPr>
          <w:b w:val="0"/>
          <w:bCs w:val="0"/>
        </w:rPr>
      </w:r>
    </w:p>
    <w:p>
      <w:pPr>
        <w:spacing w:line="240" w:lineRule="auto" w:before="9"/>
        <w:rPr>
          <w:rFonts w:ascii="宋体" w:hAnsi="宋体" w:cs="宋体" w:eastAsia="宋体" w:hint="default"/>
          <w:b/>
          <w:bCs/>
          <w:sz w:val="19"/>
          <w:szCs w:val="19"/>
        </w:rPr>
      </w:pPr>
    </w:p>
    <w:p>
      <w:pPr>
        <w:pStyle w:val="BodyText"/>
        <w:spacing w:line="451" w:lineRule="auto"/>
        <w:ind w:right="1130" w:firstLine="360"/>
        <w:jc w:val="both"/>
      </w:pPr>
      <w:r>
        <w:rPr/>
        <w:t>面向</w:t>
      </w:r>
      <w:r>
        <w:rPr>
          <w:spacing w:val="-45"/>
        </w:rPr>
        <w:t> </w:t>
      </w:r>
      <w:r>
        <w:rPr>
          <w:rFonts w:ascii="Times New Roman" w:hAnsi="Times New Roman" w:cs="Times New Roman" w:eastAsia="Times New Roman" w:hint="default"/>
        </w:rPr>
        <w:t>ICT</w:t>
      </w:r>
      <w:r>
        <w:rPr>
          <w:rFonts w:ascii="Times New Roman" w:hAnsi="Times New Roman" w:cs="Times New Roman" w:eastAsia="Times New Roman" w:hint="default"/>
          <w:spacing w:val="-1"/>
        </w:rPr>
        <w:t> </w:t>
      </w:r>
      <w:r>
        <w:rPr/>
        <w:t>运营业务，基于多年的运维服务经验，结合</w:t>
      </w:r>
      <w:r>
        <w:rPr>
          <w:spacing w:val="-45"/>
        </w:rPr>
        <w:t> </w:t>
      </w:r>
      <w:r>
        <w:rPr>
          <w:rFonts w:ascii="Times New Roman" w:hAnsi="Times New Roman" w:cs="Times New Roman" w:eastAsia="Times New Roman" w:hint="default"/>
        </w:rPr>
        <w:t>AI</w:t>
      </w:r>
      <w:r>
        <w:rPr/>
        <w:t>、云计算、大数据等前沿技术，公司积极参与</w:t>
      </w:r>
      <w:r>
        <w:rPr>
          <w:spacing w:val="-45"/>
        </w:rPr>
        <w:t> </w:t>
      </w:r>
      <w:r>
        <w:rPr>
          <w:rFonts w:ascii="Times New Roman" w:hAnsi="Times New Roman" w:cs="Times New Roman" w:eastAsia="Times New Roman" w:hint="default"/>
        </w:rPr>
        <w:t>ICT</w:t>
      </w:r>
      <w:r>
        <w:rPr>
          <w:rFonts w:ascii="Times New Roman" w:hAnsi="Times New Roman" w:cs="Times New Roman" w:eastAsia="Times New Roman" w:hint="default"/>
          <w:spacing w:val="-1"/>
        </w:rPr>
        <w:t> </w:t>
      </w:r>
      <w:r>
        <w:rPr/>
        <w:t>前沿技术及 技术标准的研究和探索，拓展形成的运维管理新模式、新场景，推出“</w:t>
      </w:r>
      <w:r>
        <w:rPr>
          <w:rFonts w:ascii="宋体" w:hAnsi="宋体" w:cs="宋体" w:eastAsia="宋体" w:hint="default"/>
          <w:b/>
          <w:bCs/>
        </w:rPr>
        <w:t>智能运维</w:t>
      </w:r>
      <w:r>
        <w:rPr>
          <w:rFonts w:ascii="宋体" w:hAnsi="宋体" w:cs="宋体" w:eastAsia="宋体" w:hint="default"/>
          <w:b/>
          <w:bCs/>
          <w:spacing w:val="-48"/>
        </w:rPr>
        <w:t> </w:t>
      </w:r>
      <w:r>
        <w:rPr>
          <w:rFonts w:ascii="Times New Roman" w:hAnsi="Times New Roman" w:cs="Times New Roman" w:eastAsia="Times New Roman" w:hint="default"/>
          <w:b/>
          <w:bCs/>
        </w:rPr>
        <w:t>AIOps</w:t>
      </w:r>
      <w:r>
        <w:rPr>
          <w:rFonts w:ascii="宋体" w:hAnsi="宋体" w:cs="宋体" w:eastAsia="宋体" w:hint="default"/>
          <w:b/>
          <w:bCs/>
        </w:rPr>
        <w:t>”解决方案</w:t>
      </w:r>
      <w:r>
        <w:rPr/>
        <w:t>。</w:t>
      </w:r>
    </w:p>
    <w:p>
      <w:pPr>
        <w:pStyle w:val="BodyText"/>
        <w:spacing w:line="465" w:lineRule="auto" w:before="83"/>
        <w:ind w:right="1131" w:firstLine="360"/>
        <w:jc w:val="both"/>
      </w:pPr>
      <w:r>
        <w:rPr/>
        <w:t>公司的“智能运维</w:t>
      </w:r>
      <w:r>
        <w:rPr>
          <w:spacing w:val="-28"/>
        </w:rPr>
        <w:t> </w:t>
      </w:r>
      <w:r>
        <w:rPr>
          <w:rFonts w:ascii="Times New Roman" w:hAnsi="Times New Roman" w:cs="Times New Roman" w:eastAsia="Times New Roman" w:hint="default"/>
          <w:spacing w:val="-2"/>
        </w:rPr>
        <w:t>AIOps</w:t>
      </w:r>
      <w:r>
        <w:rPr>
          <w:spacing w:val="-2"/>
        </w:rPr>
        <w:t>”解决方案整合了监控采集、配置管理、流程引擎、自动化作业调度、大数据实时流式处理能</w:t>
      </w:r>
      <w:r>
        <w:rPr/>
        <w:t> </w:t>
      </w:r>
      <w:r>
        <w:rPr>
          <w:spacing w:val="-2"/>
        </w:rPr>
        <w:t>力、智慧语义分析、融合通信七大核心组件，形成了自身独特的面向全生产场景的全栈智能化运维管理解决方案，可为企业</w:t>
      </w:r>
      <w:r>
        <w:rPr>
          <w:spacing w:val="-66"/>
        </w:rPr>
        <w:t> </w:t>
      </w:r>
      <w:r>
        <w:rPr>
          <w:spacing w:val="-66"/>
        </w:rPr>
      </w:r>
      <w:r>
        <w:rPr/>
        <w:t>运维转型升级、提升信息化水平提供强有力的技术支撑。</w:t>
      </w:r>
    </w:p>
    <w:p>
      <w:pPr>
        <w:pStyle w:val="Heading5"/>
        <w:spacing w:line="240" w:lineRule="auto" w:before="103"/>
        <w:ind w:left="515" w:right="0"/>
        <w:jc w:val="left"/>
        <w:rPr>
          <w:b w:val="0"/>
          <w:bCs w:val="0"/>
        </w:rPr>
      </w:pPr>
      <w:r>
        <w:rPr>
          <w:rFonts w:ascii="Times New Roman" w:hAnsi="Times New Roman" w:cs="Times New Roman" w:eastAsia="Times New Roman" w:hint="default"/>
        </w:rPr>
        <w:t>3</w:t>
      </w:r>
      <w:r>
        <w:rPr/>
        <w:t>）为游戏玩家构建公平的竞争环境</w:t>
      </w:r>
      <w:r>
        <w:rPr>
          <w:b w:val="0"/>
          <w:bCs w:val="0"/>
        </w:rPr>
      </w:r>
    </w:p>
    <w:p>
      <w:pPr>
        <w:spacing w:line="240" w:lineRule="auto" w:before="9"/>
        <w:rPr>
          <w:rFonts w:ascii="宋体" w:hAnsi="宋体" w:cs="宋体" w:eastAsia="宋体" w:hint="default"/>
          <w:b/>
          <w:bCs/>
          <w:sz w:val="19"/>
          <w:szCs w:val="19"/>
        </w:rPr>
      </w:pPr>
    </w:p>
    <w:p>
      <w:pPr>
        <w:pStyle w:val="BodyText"/>
        <w:spacing w:line="468" w:lineRule="auto"/>
        <w:ind w:right="1131" w:firstLine="360"/>
        <w:jc w:val="both"/>
      </w:pPr>
      <w:r>
        <w:rPr/>
        <w:t>面向手机游戏业务，自主研发了基于机器学习的</w:t>
      </w:r>
      <w:r>
        <w:rPr>
          <w:spacing w:val="-67"/>
        </w:rPr>
        <w:t> </w:t>
      </w:r>
      <w:r>
        <w:rPr>
          <w:rFonts w:ascii="Times New Roman" w:hAnsi="Times New Roman" w:cs="Times New Roman" w:eastAsia="Times New Roman" w:hint="default"/>
        </w:rPr>
        <w:t>Camel</w:t>
      </w:r>
      <w:r>
        <w:rPr>
          <w:rFonts w:ascii="Times New Roman" w:hAnsi="Times New Roman" w:cs="Times New Roman" w:eastAsia="Times New Roman" w:hint="default"/>
          <w:spacing w:val="-22"/>
        </w:rPr>
        <w:t> </w:t>
      </w:r>
      <w:r>
        <w:rPr>
          <w:rFonts w:ascii="Times New Roman" w:hAnsi="Times New Roman" w:cs="Times New Roman" w:eastAsia="Times New Roman" w:hint="default"/>
        </w:rPr>
        <w:t>Shield</w:t>
      </w:r>
      <w:r>
        <w:rPr>
          <w:rFonts w:ascii="Times New Roman" w:hAnsi="Times New Roman" w:cs="Times New Roman" w:eastAsia="Times New Roman" w:hint="default"/>
          <w:spacing w:val="-23"/>
        </w:rPr>
        <w:t> </w:t>
      </w:r>
      <w:r>
        <w:rPr/>
        <w:t>语义过滤系统，通过学习数以万计的游戏内样本语料，自 </w:t>
      </w:r>
      <w:r>
        <w:rPr>
          <w:spacing w:val="-2"/>
        </w:rPr>
        <w:t>动甄别和定位非法资源商人倒卖资源的聊天内容，协助运营人员定位及封禁。该系统基于机器学习，能不断自我完善和增强</w:t>
      </w:r>
      <w:r>
        <w:rPr>
          <w:spacing w:val="-66"/>
        </w:rPr>
        <w:t> </w:t>
      </w:r>
      <w:r>
        <w:rPr>
          <w:spacing w:val="-66"/>
        </w:rPr>
      </w:r>
      <w:r>
        <w:rPr>
          <w:spacing w:val="-2"/>
        </w:rPr>
        <w:t>识别能力，相较传统的字符匹配方式，能适应资源商人不断变化的交易代号、暗语甚至特殊含义的表情符号，让非法交易无</w:t>
      </w:r>
      <w:r>
        <w:rPr>
          <w:spacing w:val="-66"/>
        </w:rPr>
        <w:t> </w:t>
      </w:r>
      <w:r>
        <w:rPr>
          <w:spacing w:val="-66"/>
        </w:rPr>
      </w:r>
      <w:r>
        <w:rPr/>
        <w:t>所遁形。</w:t>
      </w:r>
    </w:p>
    <w:p>
      <w:pPr>
        <w:pStyle w:val="Heading4"/>
        <w:spacing w:line="240" w:lineRule="auto" w:before="89"/>
        <w:ind w:right="0"/>
        <w:jc w:val="left"/>
        <w:rPr>
          <w:b w:val="0"/>
          <w:bCs w:val="0"/>
          <w:i w:val="0"/>
        </w:rPr>
      </w:pPr>
      <w:bookmarkStart w:name="3、行业客户资源优势" w:id="28"/>
      <w:bookmarkEnd w:id="28"/>
      <w:r>
        <w:rPr>
          <w:b w:val="0"/>
          <w:bCs w:val="0"/>
          <w:i w:val="0"/>
        </w:rPr>
      </w:r>
      <w:r>
        <w:rPr>
          <w:rFonts w:ascii="Times New Roman" w:hAnsi="Times New Roman" w:cs="Times New Roman" w:eastAsia="Times New Roman" w:hint="default"/>
          <w:i/>
          <w:sz w:val="18"/>
          <w:szCs w:val="18"/>
        </w:rPr>
      </w:r>
      <w:r>
        <w:rPr>
          <w:rFonts w:ascii="Times New Roman" w:hAnsi="Times New Roman" w:cs="Times New Roman" w:eastAsia="Times New Roman" w:hint="default"/>
          <w:i/>
          <w:sz w:val="18"/>
          <w:szCs w:val="18"/>
          <w:u w:val="single" w:color="000000"/>
        </w:rPr>
        <w:t>3</w:t>
      </w:r>
      <w:r>
        <w:rPr>
          <w:u w:val="single" w:color="000000"/>
        </w:rPr>
        <w:t>、行业客户资源优势</w:t>
      </w:r>
      <w:r>
        <w:rPr/>
      </w:r>
      <w:r>
        <w:rPr>
          <w:b w:val="0"/>
          <w:bCs w:val="0"/>
          <w:i w:val="0"/>
        </w:rPr>
      </w:r>
    </w:p>
    <w:p>
      <w:pPr>
        <w:spacing w:line="240" w:lineRule="auto" w:before="4"/>
        <w:rPr>
          <w:rFonts w:ascii="宋体" w:hAnsi="宋体" w:cs="宋体" w:eastAsia="宋体" w:hint="default"/>
          <w:b/>
          <w:bCs/>
          <w:i/>
          <w:sz w:val="13"/>
          <w:szCs w:val="13"/>
        </w:rPr>
      </w:pPr>
    </w:p>
    <w:p>
      <w:pPr>
        <w:pStyle w:val="BodyText"/>
        <w:spacing w:line="468" w:lineRule="auto" w:before="44"/>
        <w:ind w:right="1131" w:firstLine="360"/>
        <w:jc w:val="both"/>
      </w:pPr>
      <w:r>
        <w:rPr/>
        <w:t>公司在 </w:t>
      </w:r>
      <w:r>
        <w:rPr>
          <w:rFonts w:ascii="Times New Roman" w:hAnsi="Times New Roman" w:cs="Times New Roman" w:eastAsia="Times New Roman" w:hint="default"/>
        </w:rPr>
        <w:t>ICT</w:t>
      </w:r>
      <w:r>
        <w:rPr>
          <w:rFonts w:ascii="Times New Roman" w:hAnsi="Times New Roman" w:cs="Times New Roman" w:eastAsia="Times New Roman" w:hint="default"/>
          <w:spacing w:val="33"/>
        </w:rPr>
        <w:t> </w:t>
      </w:r>
      <w:r>
        <w:rPr/>
        <w:t>运营管理领域近二十年的业务发展过程中积累了一批以电信行业为主，兼顾金融、政府、能源、交通等行 </w:t>
      </w:r>
      <w:r>
        <w:rPr>
          <w:spacing w:val="-2"/>
        </w:rPr>
        <w:t>业中的大中型企业以及政府机构的优质客户资源，主要包括：中国移动、中国联通、中国电信、中国铁塔、歌华有线、人民</w:t>
      </w:r>
      <w:r>
        <w:rPr>
          <w:spacing w:val="-72"/>
        </w:rPr>
        <w:t> </w:t>
      </w:r>
      <w:r>
        <w:rPr>
          <w:spacing w:val="-72"/>
        </w:rPr>
      </w:r>
      <w:r>
        <w:rPr>
          <w:spacing w:val="-2"/>
        </w:rPr>
        <w:t>银行、建设银行、工商银行、中国银行、光大银行、民生银行、中国人寿、新华人寿、上海证券交易所、中国证券登记结算</w:t>
      </w:r>
      <w:r>
        <w:rPr>
          <w:spacing w:val="-69"/>
        </w:rPr>
        <w:t> </w:t>
      </w:r>
      <w:r>
        <w:rPr>
          <w:spacing w:val="-69"/>
        </w:rPr>
      </w:r>
      <w:r>
        <w:rPr/>
        <w:t>公司、中海油等众多客户。公司的产品和服务在上述客户中得到了广泛应用与高度认同，在业内留下了良好的口碑。</w:t>
      </w:r>
    </w:p>
    <w:p>
      <w:pPr>
        <w:pStyle w:val="BodyText"/>
        <w:spacing w:line="463" w:lineRule="auto" w:before="61"/>
        <w:ind w:right="1129" w:firstLine="360"/>
        <w:jc w:val="both"/>
      </w:pPr>
      <w:r>
        <w:rPr/>
        <w:t>随着公司人工智能</w:t>
      </w:r>
      <w:r>
        <w:rPr>
          <w:rFonts w:ascii="Times New Roman" w:hAnsi="Times New Roman" w:cs="Times New Roman" w:eastAsia="Times New Roman" w:hint="default"/>
        </w:rPr>
        <w:t>/</w:t>
      </w:r>
      <w:r>
        <w:rPr/>
        <w:t>大数据、物联网通信等业务板块的积淀，公司也与中核、中广核以及公安、军队、文博类用户进行 </w:t>
      </w:r>
      <w:r>
        <w:rPr>
          <w:spacing w:val="-2"/>
        </w:rPr>
        <w:t>业务合作。跨行业的丰富的客户资源可以保障公司业务持续稳健的发展，并随着技术创新和行业信息化水平提升，为公司不</w:t>
      </w:r>
      <w:r>
        <w:rPr>
          <w:spacing w:val="-66"/>
        </w:rPr>
        <w:t> </w:t>
      </w:r>
      <w:r>
        <w:rPr>
          <w:spacing w:val="-66"/>
        </w:rPr>
      </w:r>
      <w:r>
        <w:rPr/>
        <w:t>断带来新的增长机遇。</w:t>
      </w:r>
    </w:p>
    <w:p>
      <w:pPr>
        <w:pStyle w:val="Heading4"/>
        <w:spacing w:line="240" w:lineRule="auto" w:before="53"/>
        <w:ind w:right="0"/>
        <w:jc w:val="left"/>
        <w:rPr>
          <w:b w:val="0"/>
          <w:bCs w:val="0"/>
          <w:i w:val="0"/>
        </w:rPr>
      </w:pPr>
      <w:bookmarkStart w:name="4、品牌优势" w:id="29"/>
      <w:bookmarkEnd w:id="29"/>
      <w:r>
        <w:rPr>
          <w:b w:val="0"/>
          <w:bCs w:val="0"/>
          <w:i w:val="0"/>
        </w:rPr>
      </w:r>
      <w:r>
        <w:rPr>
          <w:rFonts w:ascii="Times New Roman" w:hAnsi="Times New Roman" w:cs="Times New Roman" w:eastAsia="Times New Roman" w:hint="default"/>
          <w:i/>
          <w:sz w:val="18"/>
          <w:szCs w:val="18"/>
        </w:rPr>
      </w:r>
      <w:r>
        <w:rPr>
          <w:rFonts w:ascii="Times New Roman" w:hAnsi="Times New Roman" w:cs="Times New Roman" w:eastAsia="Times New Roman" w:hint="default"/>
          <w:i/>
          <w:sz w:val="18"/>
          <w:szCs w:val="18"/>
          <w:u w:val="single" w:color="000000"/>
        </w:rPr>
        <w:t>4</w:t>
      </w:r>
      <w:r>
        <w:rPr>
          <w:u w:val="single" w:color="000000"/>
        </w:rPr>
        <w:t>、品牌优势</w:t>
      </w:r>
      <w:r>
        <w:rPr/>
      </w:r>
      <w:r>
        <w:rPr>
          <w:b w:val="0"/>
          <w:bCs w:val="0"/>
          <w:i w:val="0"/>
        </w:rPr>
      </w:r>
    </w:p>
    <w:p>
      <w:pPr>
        <w:spacing w:after="0" w:line="240" w:lineRule="auto"/>
        <w:jc w:val="left"/>
        <w:sectPr>
          <w:pgSz w:w="11910" w:h="16840"/>
          <w:pgMar w:header="851" w:footer="1187" w:top="1400" w:bottom="1380" w:left="980" w:right="0"/>
        </w:sectPr>
      </w:pPr>
    </w:p>
    <w:p>
      <w:pPr>
        <w:spacing w:line="240" w:lineRule="auto" w:before="1"/>
        <w:rPr>
          <w:rFonts w:ascii="宋体" w:hAnsi="宋体" w:cs="宋体" w:eastAsia="宋体" w:hint="default"/>
          <w:b/>
          <w:bCs/>
          <w:i/>
          <w:sz w:val="8"/>
          <w:szCs w:val="8"/>
        </w:rPr>
      </w:pPr>
    </w:p>
    <w:p>
      <w:pPr>
        <w:pStyle w:val="BodyText"/>
        <w:spacing w:line="477" w:lineRule="auto" w:before="44"/>
        <w:ind w:left="1134" w:right="0" w:firstLine="200"/>
        <w:jc w:val="left"/>
      </w:pPr>
      <w:r>
        <w:rPr/>
        <w:t>公司高度重视市场品牌建设，致力于打造信息产业内知名品牌，基于公司数十年来在信息产业内的深耕细作，公司的服 务及产品得到了众多客户认可，公司品牌的知名度和美誉度也不断有所提升。</w:t>
      </w:r>
    </w:p>
    <w:p>
      <w:pPr>
        <w:spacing w:line="240" w:lineRule="auto" w:before="13"/>
        <w:rPr>
          <w:rFonts w:ascii="宋体" w:hAnsi="宋体" w:cs="宋体" w:eastAsia="宋体" w:hint="default"/>
          <w:sz w:val="13"/>
          <w:szCs w:val="13"/>
        </w:rPr>
      </w:pPr>
    </w:p>
    <w:p>
      <w:pPr>
        <w:spacing w:line="12133" w:lineRule="exact"/>
        <w:ind w:left="75" w:right="0" w:firstLine="0"/>
        <w:rPr>
          <w:rFonts w:ascii="宋体" w:hAnsi="宋体" w:cs="宋体" w:eastAsia="宋体" w:hint="default"/>
          <w:sz w:val="20"/>
          <w:szCs w:val="20"/>
        </w:rPr>
      </w:pPr>
      <w:r>
        <w:rPr>
          <w:rFonts w:ascii="宋体" w:hAnsi="宋体" w:cs="宋体" w:eastAsia="宋体" w:hint="default"/>
          <w:position w:val="-242"/>
          <w:sz w:val="20"/>
          <w:szCs w:val="20"/>
        </w:rPr>
        <w:pict>
          <v:group style="width:548.550pt;height:606.65pt;mso-position-horizontal-relative:char;mso-position-vertical-relative:line" coordorigin="0,0" coordsize="10971,12133">
            <v:shape style="position:absolute;left:0;top:0;width:10941;height:6154" type="#_x0000_t75" stroked="false">
              <v:imagedata r:id="rId74" o:title=""/>
            </v:shape>
            <v:shape style="position:absolute;left:30;top:5979;width:10941;height:6154" type="#_x0000_t75" stroked="false">
              <v:imagedata r:id="rId75" o:title=""/>
            </v:shape>
          </v:group>
        </w:pict>
      </w:r>
      <w:r>
        <w:rPr>
          <w:rFonts w:ascii="宋体" w:hAnsi="宋体" w:cs="宋体" w:eastAsia="宋体" w:hint="default"/>
          <w:position w:val="-242"/>
          <w:sz w:val="20"/>
          <w:szCs w:val="20"/>
        </w:rPr>
      </w:r>
    </w:p>
    <w:p>
      <w:pPr>
        <w:spacing w:after="0" w:line="12133" w:lineRule="exact"/>
        <w:rPr>
          <w:rFonts w:ascii="宋体" w:hAnsi="宋体" w:cs="宋体" w:eastAsia="宋体" w:hint="default"/>
          <w:sz w:val="20"/>
          <w:szCs w:val="20"/>
        </w:rPr>
        <w:sectPr>
          <w:pgSz w:w="11910" w:h="16840"/>
          <w:pgMar w:header="851" w:footer="1187" w:top="1400" w:bottom="1380" w:left="0" w:right="0"/>
        </w:sectPr>
      </w:pPr>
    </w:p>
    <w:p>
      <w:pPr>
        <w:spacing w:line="240" w:lineRule="auto" w:before="6"/>
        <w:rPr>
          <w:rFonts w:ascii="宋体" w:hAnsi="宋体" w:cs="宋体" w:eastAsia="宋体" w:hint="default"/>
          <w:sz w:val="13"/>
          <w:szCs w:val="13"/>
        </w:rPr>
      </w:pPr>
    </w:p>
    <w:p>
      <w:pPr>
        <w:pStyle w:val="Heading1"/>
        <w:spacing w:line="240" w:lineRule="auto"/>
        <w:ind w:left="3046" w:right="0"/>
        <w:jc w:val="left"/>
        <w:rPr>
          <w:b w:val="0"/>
          <w:bCs w:val="0"/>
        </w:rPr>
      </w:pPr>
      <w:bookmarkStart w:name="第四节经营情况讨论与分析" w:id="30"/>
      <w:bookmarkEnd w:id="30"/>
      <w:r>
        <w:rPr>
          <w:b w:val="0"/>
          <w:bCs w:val="0"/>
        </w:rPr>
      </w:r>
      <w:bookmarkStart w:name="_bookmark3" w:id="31"/>
      <w:bookmarkEnd w:id="31"/>
      <w:r>
        <w:rPr>
          <w:b w:val="0"/>
          <w:bCs w:val="0"/>
        </w:rPr>
      </w:r>
      <w:r>
        <w:rPr/>
        <w:t>第四节经营情况讨论与分析</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概述" w:id="32"/>
      <w:bookmarkEnd w:id="32"/>
      <w:r>
        <w:rPr>
          <w:b w:val="0"/>
          <w:bCs w:val="0"/>
        </w:rPr>
      </w:r>
      <w:r>
        <w:rPr/>
        <w:t>一、概述</w:t>
      </w:r>
      <w:r>
        <w:rPr>
          <w:b w:val="0"/>
          <w:bCs w:val="0"/>
        </w:rPr>
      </w:r>
    </w:p>
    <w:p>
      <w:pPr>
        <w:spacing w:line="240" w:lineRule="auto" w:before="6"/>
        <w:rPr>
          <w:rFonts w:ascii="宋体" w:hAnsi="宋体" w:cs="宋体" w:eastAsia="宋体" w:hint="default"/>
          <w:b/>
          <w:bCs/>
          <w:sz w:val="32"/>
          <w:szCs w:val="32"/>
        </w:rPr>
      </w:pPr>
    </w:p>
    <w:p>
      <w:pPr>
        <w:pStyle w:val="BodyText"/>
        <w:spacing w:line="451" w:lineRule="auto"/>
        <w:ind w:right="1130" w:firstLine="360"/>
        <w:jc w:val="both"/>
      </w:pPr>
      <w:r>
        <w:rPr>
          <w:rFonts w:ascii="Times New Roman" w:hAnsi="Times New Roman" w:cs="Times New Roman" w:eastAsia="Times New Roman" w:hint="default"/>
        </w:rPr>
        <w:t>2018</w:t>
      </w:r>
      <w:r>
        <w:rPr>
          <w:rFonts w:ascii="Times New Roman" w:hAnsi="Times New Roman" w:cs="Times New Roman" w:eastAsia="Times New Roman" w:hint="default"/>
          <w:spacing w:val="3"/>
        </w:rPr>
        <w:t> </w:t>
      </w:r>
      <w:r>
        <w:rPr/>
        <w:t>年，公司秉承专注专业的精神，以市场为导向、深耕细作、创新拓展，致力于将人工智能</w:t>
      </w:r>
      <w:r>
        <w:rPr>
          <w:rFonts w:ascii="Times New Roman" w:hAnsi="Times New Roman" w:cs="Times New Roman" w:eastAsia="Times New Roman" w:hint="default"/>
        </w:rPr>
        <w:t>/</w:t>
      </w:r>
      <w:r>
        <w:rPr/>
        <w:t>大数据技术、物联网通 讯技术、</w:t>
      </w:r>
      <w:r>
        <w:rPr>
          <w:rFonts w:ascii="Times New Roman" w:hAnsi="Times New Roman" w:cs="Times New Roman" w:eastAsia="Times New Roman" w:hint="default"/>
        </w:rPr>
        <w:t>ICT</w:t>
      </w:r>
      <w:r>
        <w:rPr>
          <w:rFonts w:ascii="Times New Roman" w:hAnsi="Times New Roman" w:cs="Times New Roman" w:eastAsia="Times New Roman" w:hint="default"/>
          <w:spacing w:val="-1"/>
        </w:rPr>
        <w:t> </w:t>
      </w:r>
      <w:r>
        <w:rPr/>
        <w:t>技术进行融合，大力提升行业</w:t>
      </w:r>
      <w:r>
        <w:rPr>
          <w:rFonts w:ascii="Times New Roman" w:hAnsi="Times New Roman" w:cs="Times New Roman" w:eastAsia="Times New Roman" w:hint="default"/>
        </w:rPr>
        <w:t>/</w:t>
      </w:r>
      <w:r>
        <w:rPr/>
        <w:t>企业组织信息化、智能化的质量与效率。</w:t>
      </w:r>
    </w:p>
    <w:p>
      <w:pPr>
        <w:pStyle w:val="BodyText"/>
        <w:spacing w:line="451" w:lineRule="auto" w:before="83"/>
        <w:ind w:right="1130" w:firstLine="360"/>
        <w:jc w:val="both"/>
      </w:pPr>
      <w:r>
        <w:rPr/>
        <w:t>报告期内，公司营业总收入 </w:t>
      </w:r>
      <w:r>
        <w:rPr>
          <w:rFonts w:ascii="Times New Roman" w:hAnsi="Times New Roman" w:cs="Times New Roman" w:eastAsia="Times New Roman" w:hint="default"/>
        </w:rPr>
        <w:t>201,945.57 </w:t>
      </w:r>
      <w:r>
        <w:rPr/>
        <w:t>万元，较上年同期下降 </w:t>
      </w:r>
      <w:r>
        <w:rPr>
          <w:rFonts w:ascii="Times New Roman" w:hAnsi="Times New Roman" w:cs="Times New Roman" w:eastAsia="Times New Roman" w:hint="default"/>
        </w:rPr>
        <w:t>0.35%</w:t>
      </w:r>
      <w:r>
        <w:rPr/>
        <w:t>；实现利润总额 </w:t>
      </w:r>
      <w:r>
        <w:rPr>
          <w:rFonts w:ascii="Times New Roman" w:hAnsi="Times New Roman" w:cs="Times New Roman" w:eastAsia="Times New Roman" w:hint="default"/>
        </w:rPr>
        <w:t>6,854.22</w:t>
      </w:r>
      <w:r>
        <w:rPr>
          <w:rFonts w:ascii="Times New Roman" w:hAnsi="Times New Roman" w:cs="Times New Roman" w:eastAsia="Times New Roman" w:hint="default"/>
          <w:spacing w:val="-13"/>
        </w:rPr>
        <w:t> </w:t>
      </w:r>
      <w:r>
        <w:rPr/>
        <w:t>万元，较上年同期下降 </w:t>
      </w:r>
      <w:r>
        <w:rPr>
          <w:rFonts w:ascii="Times New Roman" w:hAnsi="Times New Roman" w:cs="Times New Roman" w:eastAsia="Times New Roman" w:hint="default"/>
        </w:rPr>
        <w:t>42.48%</w:t>
      </w:r>
      <w:r>
        <w:rPr/>
        <w:t>；归属于上市公司股东净利润 </w:t>
      </w:r>
      <w:r>
        <w:rPr>
          <w:rFonts w:ascii="Times New Roman" w:hAnsi="Times New Roman" w:cs="Times New Roman" w:eastAsia="Times New Roman" w:hint="default"/>
        </w:rPr>
        <w:t>8,024.76 </w:t>
      </w:r>
      <w:r>
        <w:rPr/>
        <w:t>万元，较上年同期下降</w:t>
      </w:r>
      <w:r>
        <w:rPr>
          <w:spacing w:val="-73"/>
        </w:rPr>
        <w:t> </w:t>
      </w:r>
      <w:r>
        <w:rPr>
          <w:rFonts w:ascii="Times New Roman" w:hAnsi="Times New Roman" w:cs="Times New Roman" w:eastAsia="Times New Roman" w:hint="default"/>
        </w:rPr>
        <w:t>32.88%</w:t>
      </w:r>
      <w:r>
        <w:rPr/>
        <w:t>；扣除非经常性损益后的归属于上市公司股东 的净利润为</w:t>
      </w:r>
      <w:r>
        <w:rPr>
          <w:spacing w:val="-46"/>
        </w:rPr>
        <w:t> </w:t>
      </w:r>
      <w:r>
        <w:rPr>
          <w:rFonts w:ascii="Times New Roman" w:hAnsi="Times New Roman" w:cs="Times New Roman" w:eastAsia="Times New Roman" w:hint="default"/>
        </w:rPr>
        <w:t>6,254.76</w:t>
      </w:r>
      <w:r>
        <w:rPr>
          <w:rFonts w:ascii="Times New Roman" w:hAnsi="Times New Roman" w:cs="Times New Roman" w:eastAsia="Times New Roman" w:hint="default"/>
          <w:spacing w:val="-1"/>
        </w:rPr>
        <w:t> </w:t>
      </w:r>
      <w:r>
        <w:rPr/>
        <w:t>万元，较上年同期增长</w:t>
      </w:r>
      <w:r>
        <w:rPr>
          <w:spacing w:val="-46"/>
        </w:rPr>
        <w:t> </w:t>
      </w:r>
      <w:r>
        <w:rPr>
          <w:rFonts w:ascii="Times New Roman" w:hAnsi="Times New Roman" w:cs="Times New Roman" w:eastAsia="Times New Roman" w:hint="default"/>
        </w:rPr>
        <w:t>14.60%</w:t>
      </w:r>
      <w:r>
        <w:rPr/>
        <w:t>。</w:t>
      </w:r>
    </w:p>
    <w:p>
      <w:pPr>
        <w:pStyle w:val="BodyText"/>
        <w:spacing w:line="451" w:lineRule="auto" w:before="82"/>
        <w:ind w:right="1131" w:firstLine="360"/>
        <w:jc w:val="both"/>
      </w:pPr>
      <w:r>
        <w:rPr/>
        <w:t>公司利润总额较去年同期下降</w:t>
      </w:r>
      <w:r>
        <w:rPr>
          <w:spacing w:val="-44"/>
        </w:rPr>
        <w:t> </w:t>
      </w:r>
      <w:r>
        <w:rPr>
          <w:rFonts w:ascii="Times New Roman" w:hAnsi="Times New Roman" w:cs="Times New Roman" w:eastAsia="Times New Roman" w:hint="default"/>
          <w:spacing w:val="-4"/>
        </w:rPr>
        <w:t>42.48%</w:t>
      </w:r>
      <w:r>
        <w:rPr>
          <w:spacing w:val="-4"/>
        </w:rPr>
        <w:t>，主要原因系非经常性损益的因素，</w:t>
      </w:r>
      <w:r>
        <w:rPr>
          <w:rFonts w:ascii="Times New Roman" w:hAnsi="Times New Roman" w:cs="Times New Roman" w:eastAsia="Times New Roman" w:hint="default"/>
          <w:spacing w:val="-4"/>
        </w:rPr>
        <w:t>2018</w:t>
      </w:r>
      <w:r>
        <w:rPr>
          <w:rFonts w:ascii="Times New Roman" w:hAnsi="Times New Roman" w:cs="Times New Roman" w:eastAsia="Times New Roman" w:hint="default"/>
          <w:spacing w:val="1"/>
        </w:rPr>
        <w:t> </w:t>
      </w:r>
      <w:r>
        <w:rPr/>
        <w:t>年度非经常性损益约为</w:t>
      </w:r>
      <w:r>
        <w:rPr>
          <w:spacing w:val="-44"/>
        </w:rPr>
        <w:t> </w:t>
      </w:r>
      <w:r>
        <w:rPr>
          <w:rFonts w:ascii="Times New Roman" w:hAnsi="Times New Roman" w:cs="Times New Roman" w:eastAsia="Times New Roman" w:hint="default"/>
        </w:rPr>
        <w:t>1,770</w:t>
      </w:r>
      <w:r>
        <w:rPr>
          <w:rFonts w:ascii="Times New Roman" w:hAnsi="Times New Roman" w:cs="Times New Roman" w:eastAsia="Times New Roman" w:hint="default"/>
          <w:spacing w:val="1"/>
        </w:rPr>
        <w:t> </w:t>
      </w:r>
      <w:r>
        <w:rPr>
          <w:spacing w:val="-7"/>
        </w:rPr>
        <w:t>万元（</w:t>
      </w:r>
      <w:r>
        <w:rPr>
          <w:rFonts w:ascii="Times New Roman" w:hAnsi="Times New Roman" w:cs="Times New Roman" w:eastAsia="Times New Roman" w:hint="default"/>
          <w:spacing w:val="-7"/>
        </w:rPr>
        <w:t>2017</w:t>
      </w:r>
      <w:r>
        <w:rPr>
          <w:rFonts w:ascii="Times New Roman" w:hAnsi="Times New Roman" w:cs="Times New Roman" w:eastAsia="Times New Roman" w:hint="default"/>
        </w:rPr>
        <w:t> </w:t>
      </w:r>
      <w:r>
        <w:rPr/>
        <w:t>年度同期的非经常性损益为 </w:t>
      </w:r>
      <w:r>
        <w:rPr>
          <w:rFonts w:ascii="Times New Roman" w:hAnsi="Times New Roman" w:cs="Times New Roman" w:eastAsia="Times New Roman" w:hint="default"/>
        </w:rPr>
        <w:t>6,497</w:t>
      </w:r>
      <w:r>
        <w:rPr>
          <w:rFonts w:ascii="Times New Roman" w:hAnsi="Times New Roman" w:cs="Times New Roman" w:eastAsia="Times New Roman" w:hint="default"/>
          <w:spacing w:val="32"/>
        </w:rPr>
        <w:t> </w:t>
      </w:r>
      <w:r>
        <w:rPr>
          <w:spacing w:val="-3"/>
        </w:rPr>
        <w:t>万元，主要系出售部分可供出售金融资产等），扣除非经常性损益后，公司归属于上市公</w:t>
      </w:r>
      <w:r>
        <w:rPr/>
        <w:t> 司股东的净利润较去年同期保持平稳增长。</w:t>
      </w:r>
    </w:p>
    <w:p>
      <w:pPr>
        <w:pStyle w:val="BodyText"/>
        <w:spacing w:line="451" w:lineRule="auto" w:before="112"/>
        <w:ind w:right="1131" w:firstLine="360"/>
        <w:jc w:val="both"/>
      </w:pPr>
      <w:r>
        <w:rPr>
          <w:rFonts w:ascii="Times New Roman" w:hAnsi="Times New Roman" w:cs="Times New Roman" w:eastAsia="Times New Roman" w:hint="default"/>
        </w:rPr>
        <w:t>2018</w:t>
      </w:r>
      <w:r>
        <w:rPr>
          <w:rFonts w:ascii="Times New Roman" w:hAnsi="Times New Roman" w:cs="Times New Roman" w:eastAsia="Times New Roman" w:hint="default"/>
          <w:spacing w:val="7"/>
        </w:rPr>
        <w:t> </w:t>
      </w:r>
      <w:r>
        <w:rPr/>
        <w:t>年度，受宏观经济增速放缓、市场环境变化、大客户项目预算推迟等影响，公司部分项目相对原预期来讲出现了 </w:t>
      </w:r>
      <w:r>
        <w:rPr>
          <w:spacing w:val="-5"/>
        </w:rPr>
        <w:t>较大程度的延缓，虽对公司业绩增长产生一定影响，但是在市场认可、客户积累、技术创新等方面的基础得到了进一步夯实。</w:t>
      </w:r>
    </w:p>
    <w:p>
      <w:pPr>
        <w:spacing w:line="240" w:lineRule="auto" w:before="0"/>
        <w:rPr>
          <w:rFonts w:ascii="宋体" w:hAnsi="宋体" w:cs="宋体" w:eastAsia="宋体" w:hint="default"/>
          <w:sz w:val="18"/>
          <w:szCs w:val="18"/>
        </w:rPr>
      </w:pPr>
    </w:p>
    <w:p>
      <w:pPr>
        <w:pStyle w:val="Heading5"/>
        <w:spacing w:line="240" w:lineRule="auto" w:before="153"/>
        <w:ind w:right="0"/>
        <w:jc w:val="left"/>
        <w:rPr>
          <w:b w:val="0"/>
          <w:bCs w:val="0"/>
        </w:rPr>
      </w:pPr>
      <w:r>
        <w:rPr/>
        <w:t>各核心业务板块发展如下：</w:t>
      </w:r>
      <w:r>
        <w:rPr>
          <w:b w:val="0"/>
          <w:bCs w:val="0"/>
        </w:rPr>
      </w:r>
    </w:p>
    <w:p>
      <w:pPr>
        <w:spacing w:line="240" w:lineRule="auto" w:before="11"/>
        <w:rPr>
          <w:rFonts w:ascii="宋体" w:hAnsi="宋体" w:cs="宋体" w:eastAsia="宋体" w:hint="default"/>
          <w:b/>
          <w:bCs/>
          <w:sz w:val="13"/>
          <w:szCs w:val="13"/>
        </w:rPr>
      </w:pPr>
    </w:p>
    <w:p>
      <w:pPr>
        <w:pStyle w:val="Heading4"/>
        <w:spacing w:line="240" w:lineRule="auto"/>
        <w:ind w:right="0"/>
        <w:jc w:val="left"/>
        <w:rPr>
          <w:b w:val="0"/>
          <w:bCs w:val="0"/>
          <w:i w:val="0"/>
        </w:rPr>
      </w:pPr>
      <w:bookmarkStart w:name="1、物联网通信业务" w:id="33"/>
      <w:bookmarkEnd w:id="33"/>
      <w:r>
        <w:rPr>
          <w:b w:val="0"/>
          <w:bCs w:val="0"/>
          <w:i w:val="0"/>
        </w:rPr>
      </w:r>
      <w:r>
        <w:rPr>
          <w:rFonts w:ascii="Times New Roman" w:hAnsi="Times New Roman" w:cs="Times New Roman" w:eastAsia="Times New Roman" w:hint="default"/>
          <w:i/>
          <w:sz w:val="18"/>
          <w:szCs w:val="18"/>
        </w:rPr>
      </w:r>
      <w:r>
        <w:rPr>
          <w:rFonts w:ascii="Times New Roman" w:hAnsi="Times New Roman" w:cs="Times New Roman" w:eastAsia="Times New Roman" w:hint="default"/>
          <w:i/>
          <w:sz w:val="18"/>
          <w:szCs w:val="18"/>
          <w:u w:val="single" w:color="000000"/>
        </w:rPr>
        <w:t>1</w:t>
      </w:r>
      <w:r>
        <w:rPr>
          <w:u w:val="single" w:color="000000"/>
        </w:rPr>
        <w:t>、物联网通信业务</w:t>
      </w:r>
      <w:r>
        <w:rPr/>
      </w:r>
      <w:r>
        <w:rPr>
          <w:b w:val="0"/>
          <w:bCs w:val="0"/>
          <w:i w:val="0"/>
        </w:rPr>
      </w:r>
    </w:p>
    <w:p>
      <w:pPr>
        <w:spacing w:line="240" w:lineRule="auto" w:before="4"/>
        <w:rPr>
          <w:rFonts w:ascii="宋体" w:hAnsi="宋体" w:cs="宋体" w:eastAsia="宋体" w:hint="default"/>
          <w:b/>
          <w:bCs/>
          <w:i/>
          <w:sz w:val="13"/>
          <w:szCs w:val="13"/>
        </w:rPr>
      </w:pPr>
    </w:p>
    <w:p>
      <w:pPr>
        <w:pStyle w:val="BodyText"/>
        <w:spacing w:line="451" w:lineRule="auto" w:before="44"/>
        <w:ind w:right="1130" w:firstLine="360"/>
        <w:jc w:val="both"/>
      </w:pPr>
      <w:r>
        <w:rPr>
          <w:rFonts w:ascii="Times New Roman" w:hAnsi="Times New Roman" w:cs="Times New Roman" w:eastAsia="Times New Roman" w:hint="default"/>
        </w:rPr>
        <w:t>2018 </w:t>
      </w:r>
      <w:r>
        <w:rPr/>
        <w:t>年，公司大力推进物联网通信技术的演进，</w:t>
      </w:r>
      <w:r>
        <w:rPr>
          <w:rFonts w:ascii="宋体" w:hAnsi="宋体" w:cs="宋体" w:eastAsia="宋体" w:hint="default"/>
          <w:b/>
          <w:bCs/>
        </w:rPr>
        <w:t>业务增长显著。</w:t>
      </w:r>
      <w:r>
        <w:rPr>
          <w:rFonts w:ascii="Times New Roman" w:hAnsi="Times New Roman" w:cs="Times New Roman" w:eastAsia="Times New Roman" w:hint="default"/>
        </w:rPr>
        <w:t>“Nu</w:t>
      </w:r>
      <w:r>
        <w:rPr>
          <w:rFonts w:ascii="Times New Roman" w:hAnsi="Times New Roman" w:cs="Times New Roman" w:eastAsia="Times New Roman" w:hint="default"/>
        </w:rPr>
        <w:t>-WiFi</w:t>
      </w:r>
      <w:r>
        <w:rPr>
          <w:rFonts w:ascii="Times New Roman" w:hAnsi="Times New Roman" w:cs="Times New Roman" w:eastAsia="Times New Roman" w:hint="default"/>
          <w:spacing w:val="11"/>
        </w:rPr>
        <w:t> </w:t>
      </w:r>
      <w:r>
        <w:rPr/>
        <w:t>核电专业无线通信系统</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智慧墙入侵探测 系统</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综合管廊安防通信一体化系统</w:t>
      </w:r>
      <w:r>
        <w:rPr>
          <w:rFonts w:ascii="Times New Roman" w:hAnsi="Times New Roman" w:cs="Times New Roman" w:eastAsia="Times New Roman" w:hint="default"/>
        </w:rPr>
        <w:t>”</w:t>
      </w:r>
      <w:r>
        <w:rPr/>
        <w:t>三大整体解决方案在核岛核电、城市综合管廊信息化、周界安防等领域都有着较好</w:t>
      </w:r>
      <w:r>
        <w:rPr>
          <w:spacing w:val="-58"/>
        </w:rPr>
        <w:t> </w:t>
      </w:r>
      <w:r>
        <w:rPr>
          <w:spacing w:val="-58"/>
        </w:rPr>
      </w:r>
      <w:r>
        <w:rPr/>
        <w:t>的应用实践。在新品研发、市场拓展、生态圈建设等各方面均取得了突出成绩，为后续业务发展打下了良好的基础。</w:t>
      </w:r>
    </w:p>
    <w:p>
      <w:pPr>
        <w:pStyle w:val="Heading5"/>
        <w:spacing w:line="240" w:lineRule="auto" w:before="74"/>
        <w:ind w:left="515" w:right="0"/>
        <w:jc w:val="left"/>
        <w:rPr>
          <w:rFonts w:ascii="Times New Roman" w:hAnsi="Times New Roman" w:cs="Times New Roman" w:eastAsia="Times New Roman" w:hint="default"/>
          <w:b w:val="0"/>
          <w:bCs w:val="0"/>
        </w:rPr>
      </w:pPr>
      <w:r>
        <w:rPr>
          <w:rFonts w:ascii="Times New Roman" w:hAnsi="Times New Roman" w:cs="Times New Roman" w:eastAsia="Times New Roman" w:hint="default"/>
        </w:rPr>
        <w:t>A</w:t>
      </w:r>
      <w:r>
        <w:rPr/>
        <w:t>、发布</w:t>
      </w:r>
      <w:r>
        <w:rPr>
          <w:rFonts w:ascii="Times New Roman" w:hAnsi="Times New Roman" w:cs="Times New Roman" w:eastAsia="Times New Roman" w:hint="default"/>
        </w:rPr>
        <w:t>“</w:t>
      </w:r>
      <w:r>
        <w:rPr/>
        <w:t>智慧墙入侵探测系统</w:t>
      </w:r>
      <w:r>
        <w:rPr>
          <w:rFonts w:ascii="Times New Roman" w:hAnsi="Times New Roman" w:cs="Times New Roman" w:eastAsia="Times New Roman" w:hint="default"/>
        </w:rPr>
        <w:t>5.0”</w:t>
      </w:r>
      <w:r>
        <w:rPr>
          <w:rFonts w:ascii="Times New Roman" w:hAnsi="Times New Roman" w:cs="Times New Roman" w:eastAsia="Times New Roman" w:hint="default"/>
          <w:b w:val="0"/>
          <w:bCs w:val="0"/>
        </w:rPr>
      </w:r>
    </w:p>
    <w:p>
      <w:pPr>
        <w:spacing w:line="240" w:lineRule="auto" w:before="0"/>
        <w:rPr>
          <w:rFonts w:ascii="Times New Roman" w:hAnsi="Times New Roman" w:cs="Times New Roman" w:eastAsia="Times New Roman" w:hint="default"/>
          <w:b/>
          <w:bCs/>
          <w:sz w:val="19"/>
          <w:szCs w:val="19"/>
        </w:rPr>
      </w:pPr>
    </w:p>
    <w:p>
      <w:pPr>
        <w:pStyle w:val="BodyText"/>
        <w:spacing w:line="451" w:lineRule="auto"/>
        <w:ind w:right="1130" w:firstLine="361"/>
        <w:jc w:val="both"/>
      </w:pPr>
      <w:r>
        <w:rPr>
          <w:rFonts w:ascii="宋体" w:hAnsi="宋体" w:cs="宋体" w:eastAsia="宋体" w:hint="default"/>
          <w:b/>
          <w:bCs/>
        </w:rPr>
        <w:t>“智慧墙入侵探测系统</w:t>
      </w:r>
      <w:r>
        <w:rPr>
          <w:rFonts w:ascii="宋体" w:hAnsi="宋体" w:cs="宋体" w:eastAsia="宋体" w:hint="default"/>
          <w:b/>
          <w:bCs/>
          <w:spacing w:val="-50"/>
        </w:rPr>
        <w:t> </w:t>
      </w:r>
      <w:r>
        <w:rPr>
          <w:rFonts w:ascii="Times New Roman" w:hAnsi="Times New Roman" w:cs="Times New Roman" w:eastAsia="Times New Roman" w:hint="default"/>
          <w:b/>
          <w:bCs/>
        </w:rPr>
        <w:t>5.0”</w:t>
      </w:r>
      <w:r>
        <w:rPr/>
        <w:t>系统是公司物联网技术与</w:t>
      </w:r>
      <w:r>
        <w:rPr>
          <w:spacing w:val="-51"/>
        </w:rPr>
        <w:t> </w:t>
      </w:r>
      <w:r>
        <w:rPr>
          <w:rFonts w:ascii="Times New Roman" w:hAnsi="Times New Roman" w:cs="Times New Roman" w:eastAsia="Times New Roman" w:hint="default"/>
        </w:rPr>
        <w:t>AI</w:t>
      </w:r>
      <w:r>
        <w:rPr>
          <w:rFonts w:ascii="Times New Roman" w:hAnsi="Times New Roman" w:cs="Times New Roman" w:eastAsia="Times New Roman" w:hint="default"/>
          <w:spacing w:val="-5"/>
        </w:rPr>
        <w:t> </w:t>
      </w:r>
      <w:r>
        <w:rPr/>
        <w:t>技术的共同成就的全新安防生态链，是具有超强环境适应能力 的全新安防系统，具有极强的</w:t>
      </w:r>
      <w:r>
        <w:rPr>
          <w:spacing w:val="-46"/>
        </w:rPr>
        <w:t> </w:t>
      </w:r>
      <w:r>
        <w:rPr>
          <w:rFonts w:ascii="Times New Roman" w:hAnsi="Times New Roman" w:cs="Times New Roman" w:eastAsia="Times New Roman" w:hint="default"/>
        </w:rPr>
        <w:t>AI</w:t>
      </w:r>
      <w:r>
        <w:rPr>
          <w:rFonts w:ascii="Times New Roman" w:hAnsi="Times New Roman" w:cs="Times New Roman" w:eastAsia="Times New Roman" w:hint="default"/>
          <w:spacing w:val="-1"/>
        </w:rPr>
        <w:t> </w:t>
      </w:r>
      <w:r>
        <w:rPr/>
        <w:t>算法学习迭代能力，结合智慧线原有的分布式阵列探测、多点联合检测、智能数据交互能 力，形成了区别于传统周界的主动式探测预警体系。</w:t>
      </w:r>
    </w:p>
    <w:p>
      <w:pPr>
        <w:pStyle w:val="Heading5"/>
        <w:spacing w:line="240" w:lineRule="auto" w:before="74"/>
        <w:ind w:left="515" w:right="0"/>
        <w:jc w:val="left"/>
        <w:rPr>
          <w:b w:val="0"/>
          <w:bCs w:val="0"/>
        </w:rPr>
      </w:pPr>
      <w:r>
        <w:rPr>
          <w:rFonts w:ascii="Times New Roman" w:hAnsi="Times New Roman" w:cs="Times New Roman" w:eastAsia="Times New Roman" w:hint="default"/>
        </w:rPr>
        <w:t>B</w:t>
      </w:r>
      <w:r>
        <w:rPr/>
        <w:t>、高壁垒行业示范性项目逐步落地</w:t>
      </w:r>
      <w:r>
        <w:rPr>
          <w:b w:val="0"/>
          <w:bCs w:val="0"/>
        </w:rPr>
      </w:r>
    </w:p>
    <w:p>
      <w:pPr>
        <w:spacing w:line="240" w:lineRule="auto" w:before="9"/>
        <w:rPr>
          <w:rFonts w:ascii="宋体" w:hAnsi="宋体" w:cs="宋体" w:eastAsia="宋体" w:hint="default"/>
          <w:b/>
          <w:bCs/>
          <w:sz w:val="16"/>
          <w:szCs w:val="16"/>
        </w:rPr>
      </w:pPr>
    </w:p>
    <w:p>
      <w:pPr>
        <w:pStyle w:val="BodyText"/>
        <w:spacing w:line="451" w:lineRule="auto"/>
        <w:ind w:right="1132" w:firstLine="360"/>
        <w:jc w:val="both"/>
      </w:pPr>
      <w:r>
        <w:rPr>
          <w:rFonts w:ascii="Times New Roman" w:hAnsi="Times New Roman" w:cs="Times New Roman" w:eastAsia="Times New Roman" w:hint="default"/>
        </w:rPr>
        <w:t>1</w:t>
      </w:r>
      <w:r>
        <w:rPr/>
        <w:t>）</w:t>
      </w:r>
      <w:r>
        <w:rPr>
          <w:rFonts w:ascii="宋体" w:hAnsi="宋体" w:cs="宋体" w:eastAsia="宋体" w:hint="default"/>
          <w:b/>
          <w:bCs/>
        </w:rPr>
        <w:t>在核岛核电领域，</w:t>
      </w:r>
      <w:r>
        <w:rPr/>
        <w:t>先后中标并成功实施田湾核电站核岛无线通信网项目、防城港核电一期无线通信系统改造项目， </w:t>
      </w:r>
      <w:r>
        <w:rPr>
          <w:spacing w:val="-1"/>
        </w:rPr>
        <w:t>防城港核电是华龙一号的示范项目单位，是我国三代核电技术的代表，也是英国布拉德维尔</w:t>
      </w:r>
      <w:r>
        <w:rPr>
          <w:rFonts w:ascii="Times New Roman" w:hAnsi="Times New Roman" w:cs="Times New Roman" w:eastAsia="Times New Roman" w:hint="default"/>
          <w:spacing w:val="-1"/>
        </w:rPr>
        <w:t>B</w:t>
      </w:r>
      <w:r>
        <w:rPr>
          <w:spacing w:val="-1"/>
        </w:rPr>
        <w:t>（</w:t>
      </w:r>
      <w:r>
        <w:rPr>
          <w:rFonts w:ascii="Times New Roman" w:hAnsi="Times New Roman" w:cs="Times New Roman" w:eastAsia="Times New Roman" w:hint="default"/>
          <w:spacing w:val="-1"/>
        </w:rPr>
        <w:t>BRB</w:t>
      </w:r>
      <w:r>
        <w:rPr>
          <w:spacing w:val="-1"/>
        </w:rPr>
        <w:t>）项目的参考电站，本</w:t>
      </w:r>
      <w:r>
        <w:rPr>
          <w:spacing w:val="-61"/>
        </w:rPr>
        <w:t> </w:t>
      </w:r>
      <w:r>
        <w:rPr>
          <w:spacing w:val="-61"/>
        </w:rPr>
      </w:r>
      <w:r>
        <w:rPr/>
        <w:t>次项目是防城港核电建设全球智慧核电典范的积极探索，项目实施完成能够在全球范围内起到很好的示范效应。</w:t>
      </w:r>
    </w:p>
    <w:p>
      <w:pPr>
        <w:pStyle w:val="BodyText"/>
        <w:spacing w:line="451" w:lineRule="auto" w:before="74"/>
        <w:ind w:right="1129" w:firstLine="361"/>
        <w:jc w:val="both"/>
        <w:rPr>
          <w:rFonts w:ascii="宋体" w:hAnsi="宋体" w:cs="宋体" w:eastAsia="宋体" w:hint="default"/>
        </w:rPr>
      </w:pPr>
      <w:r>
        <w:rPr>
          <w:rFonts w:ascii="Times New Roman" w:hAnsi="Times New Roman" w:cs="Times New Roman" w:eastAsia="Times New Roman" w:hint="default"/>
          <w:b/>
          <w:bCs/>
        </w:rPr>
        <w:t>2</w:t>
      </w:r>
      <w:r>
        <w:rPr>
          <w:rFonts w:ascii="宋体" w:hAnsi="宋体" w:cs="宋体" w:eastAsia="宋体" w:hint="default"/>
          <w:b/>
          <w:bCs/>
        </w:rPr>
        <w:t>）在周界安防领域，</w:t>
      </w:r>
      <w:r>
        <w:rPr/>
        <w:t>公司</w:t>
      </w:r>
      <w:r>
        <w:rPr>
          <w:rFonts w:ascii="Times New Roman" w:hAnsi="Times New Roman" w:cs="Times New Roman" w:eastAsia="Times New Roman" w:hint="default"/>
        </w:rPr>
        <w:t>“</w:t>
      </w:r>
      <w:r>
        <w:rPr/>
        <w:t>智慧墙入侵探测系统</w:t>
      </w:r>
      <w:r>
        <w:rPr>
          <w:rFonts w:ascii="Times New Roman" w:hAnsi="Times New Roman" w:cs="Times New Roman" w:eastAsia="Times New Roman" w:hint="default"/>
        </w:rPr>
        <w:t>”</w:t>
      </w:r>
      <w:r>
        <w:rPr/>
        <w:t>先后中标了故宫博物院安防项目、中核集团田湾核电站重点区域防入 </w:t>
      </w:r>
      <w:r>
        <w:rPr>
          <w:spacing w:val="-2"/>
        </w:rPr>
        <w:t>侵探测系统、新疆地区多个监狱、独山子石化炼油厂等项目并在中国边防、军事相关领域应用实践效果显著；</w:t>
      </w:r>
      <w:r>
        <w:rPr>
          <w:rFonts w:ascii="宋体" w:hAnsi="宋体" w:cs="宋体" w:eastAsia="宋体" w:hint="default"/>
          <w:b/>
          <w:bCs/>
          <w:spacing w:val="-2"/>
        </w:rPr>
        <w:t>同时，在国内</w:t>
      </w:r>
      <w:r>
        <w:rPr>
          <w:rFonts w:ascii="宋体" w:hAnsi="宋体" w:cs="宋体" w:eastAsia="宋体" w:hint="default"/>
          <w:spacing w:val="-2"/>
        </w:rPr>
      </w:r>
    </w:p>
    <w:p>
      <w:pPr>
        <w:spacing w:after="0" w:line="451" w:lineRule="auto"/>
        <w:jc w:val="both"/>
        <w:rPr>
          <w:rFonts w:ascii="宋体" w:hAnsi="宋体" w:cs="宋体" w:eastAsia="宋体" w:hint="default"/>
        </w:rPr>
        <w:sectPr>
          <w:pgSz w:w="11910" w:h="16840"/>
          <w:pgMar w:header="851" w:footer="1187" w:top="1400" w:bottom="1380" w:left="980" w:right="0"/>
        </w:sectPr>
      </w:pPr>
    </w:p>
    <w:p>
      <w:pPr>
        <w:spacing w:line="240" w:lineRule="auto" w:before="1"/>
        <w:rPr>
          <w:rFonts w:ascii="宋体" w:hAnsi="宋体" w:cs="宋体" w:eastAsia="宋体" w:hint="default"/>
          <w:b/>
          <w:bCs/>
          <w:sz w:val="8"/>
          <w:szCs w:val="8"/>
        </w:rPr>
      </w:pPr>
    </w:p>
    <w:p>
      <w:pPr>
        <w:pStyle w:val="Heading5"/>
        <w:spacing w:line="240" w:lineRule="auto" w:before="44"/>
        <w:ind w:right="0"/>
        <w:jc w:val="left"/>
        <w:rPr>
          <w:b w:val="0"/>
          <w:bCs w:val="0"/>
        </w:rPr>
      </w:pPr>
      <w:r>
        <w:rPr/>
        <w:t>高铁沿线的安防建设的相关测试效果良好。</w:t>
      </w:r>
      <w:r>
        <w:rPr>
          <w:b w:val="0"/>
          <w:bCs w:val="0"/>
        </w:rPr>
      </w:r>
    </w:p>
    <w:p>
      <w:pPr>
        <w:spacing w:line="240" w:lineRule="auto" w:before="10"/>
        <w:rPr>
          <w:rFonts w:ascii="宋体" w:hAnsi="宋体" w:cs="宋体" w:eastAsia="宋体" w:hint="default"/>
          <w:b/>
          <w:bCs/>
          <w:sz w:val="17"/>
          <w:szCs w:val="17"/>
        </w:rPr>
      </w:pPr>
    </w:p>
    <w:p>
      <w:pPr>
        <w:spacing w:line="451" w:lineRule="auto" w:before="0"/>
        <w:ind w:left="154" w:right="0" w:firstLine="361"/>
        <w:jc w:val="left"/>
        <w:rPr>
          <w:rFonts w:ascii="宋体" w:hAnsi="宋体" w:cs="宋体" w:eastAsia="宋体" w:hint="default"/>
          <w:sz w:val="18"/>
          <w:szCs w:val="18"/>
        </w:rPr>
      </w:pPr>
      <w:r>
        <w:rPr>
          <w:rFonts w:ascii="Times New Roman" w:hAnsi="Times New Roman" w:cs="Times New Roman" w:eastAsia="Times New Roman" w:hint="default"/>
          <w:b/>
          <w:bCs/>
          <w:spacing w:val="-5"/>
          <w:w w:val="99"/>
          <w:sz w:val="18"/>
          <w:szCs w:val="18"/>
        </w:rPr>
        <w:t>3</w:t>
      </w:r>
      <w:r>
        <w:rPr>
          <w:rFonts w:ascii="宋体" w:hAnsi="宋体" w:cs="宋体" w:eastAsia="宋体" w:hint="default"/>
          <w:b/>
          <w:bCs/>
          <w:spacing w:val="-5"/>
          <w:w w:val="99"/>
          <w:sz w:val="18"/>
          <w:szCs w:val="18"/>
        </w:rPr>
        <w:t>）在城市综合管廊领域，</w:t>
      </w:r>
      <w:r>
        <w:rPr>
          <w:rFonts w:ascii="宋体" w:hAnsi="宋体" w:cs="宋体" w:eastAsia="宋体" w:hint="default"/>
          <w:spacing w:val="-5"/>
          <w:w w:val="99"/>
          <w:sz w:val="18"/>
          <w:szCs w:val="18"/>
        </w:rPr>
        <w:t>公司自主研发设计的</w:t>
      </w:r>
      <w:r>
        <w:rPr>
          <w:rFonts w:ascii="Times New Roman" w:hAnsi="Times New Roman" w:cs="Times New Roman" w:eastAsia="Times New Roman" w:hint="default"/>
          <w:spacing w:val="-5"/>
          <w:w w:val="99"/>
          <w:sz w:val="18"/>
          <w:szCs w:val="18"/>
        </w:rPr>
        <w:t>“</w:t>
      </w:r>
      <w:r>
        <w:rPr>
          <w:rFonts w:ascii="宋体" w:hAnsi="宋体" w:cs="宋体" w:eastAsia="宋体" w:hint="default"/>
          <w:b/>
          <w:bCs/>
          <w:spacing w:val="-5"/>
          <w:w w:val="99"/>
          <w:sz w:val="18"/>
          <w:szCs w:val="18"/>
        </w:rPr>
        <w:t>基于智慧线的城市综合管廊通信安防一体化系统</w:t>
      </w:r>
      <w:r>
        <w:rPr>
          <w:rFonts w:ascii="Times New Roman" w:hAnsi="Times New Roman" w:cs="Times New Roman" w:eastAsia="Times New Roman" w:hint="default"/>
          <w:spacing w:val="-5"/>
          <w:w w:val="99"/>
          <w:sz w:val="18"/>
          <w:szCs w:val="18"/>
        </w:rPr>
        <w:t>”</w:t>
      </w:r>
      <w:r>
        <w:rPr>
          <w:rFonts w:ascii="宋体" w:hAnsi="宋体" w:cs="宋体" w:eastAsia="宋体" w:hint="default"/>
          <w:spacing w:val="-5"/>
          <w:w w:val="99"/>
          <w:sz w:val="18"/>
          <w:szCs w:val="18"/>
        </w:rPr>
        <w:t>，先后承建了北京市</w:t>
      </w:r>
      <w:r>
        <w:rPr>
          <w:rFonts w:ascii="Times New Roman" w:hAnsi="Times New Roman" w:cs="Times New Roman" w:eastAsia="Times New Roman" w:hint="default"/>
          <w:spacing w:val="-5"/>
          <w:w w:val="99"/>
          <w:sz w:val="18"/>
          <w:szCs w:val="18"/>
        </w:rPr>
        <w:t>“</w:t>
      </w:r>
      <w:r>
        <w:rPr>
          <w:rFonts w:ascii="宋体" w:hAnsi="宋体" w:cs="宋体" w:eastAsia="宋体" w:hint="default"/>
          <w:spacing w:val="-5"/>
          <w:w w:val="99"/>
          <w:sz w:val="18"/>
          <w:szCs w:val="18"/>
        </w:rPr>
        <w:t>智</w:t>
      </w:r>
      <w:r>
        <w:rPr>
          <w:rFonts w:ascii="宋体" w:hAnsi="宋体" w:cs="宋体" w:eastAsia="宋体" w:hint="default"/>
          <w:sz w:val="18"/>
          <w:szCs w:val="18"/>
        </w:rPr>
        <w:t> 慧管廊</w:t>
      </w:r>
      <w:r>
        <w:rPr>
          <w:rFonts w:ascii="Times New Roman" w:hAnsi="Times New Roman" w:cs="Times New Roman" w:eastAsia="Times New Roman" w:hint="default"/>
          <w:sz w:val="18"/>
          <w:szCs w:val="18"/>
        </w:rPr>
        <w:t>”</w:t>
      </w:r>
      <w:r>
        <w:rPr>
          <w:rFonts w:ascii="宋体" w:hAnsi="宋体" w:cs="宋体" w:eastAsia="宋体" w:hint="default"/>
          <w:sz w:val="18"/>
          <w:szCs w:val="18"/>
        </w:rPr>
        <w:t>的样板工程</w:t>
      </w:r>
      <w:r>
        <w:rPr>
          <w:rFonts w:ascii="Times New Roman" w:hAnsi="Times New Roman" w:cs="Times New Roman" w:eastAsia="Times New Roman" w:hint="default"/>
          <w:sz w:val="18"/>
          <w:szCs w:val="18"/>
        </w:rPr>
        <w:t>—</w:t>
      </w:r>
      <w:r>
        <w:rPr>
          <w:rFonts w:ascii="宋体" w:hAnsi="宋体" w:cs="宋体" w:eastAsia="宋体" w:hint="default"/>
          <w:sz w:val="18"/>
          <w:szCs w:val="18"/>
        </w:rPr>
        <w:t>北京首钢建设集团秀池管廊项目及北京通州副中心等多个重要项目的综合管廊通信与安防一体化系统。</w:t>
      </w:r>
    </w:p>
    <w:p>
      <w:pPr>
        <w:spacing w:line="468" w:lineRule="auto" w:before="44"/>
        <w:ind w:left="154" w:right="1130" w:firstLine="361"/>
        <w:jc w:val="both"/>
        <w:rPr>
          <w:rFonts w:ascii="宋体" w:hAnsi="宋体" w:cs="宋体" w:eastAsia="宋体" w:hint="default"/>
          <w:sz w:val="18"/>
          <w:szCs w:val="18"/>
        </w:rPr>
      </w:pPr>
      <w:r>
        <w:rPr>
          <w:rFonts w:ascii="Times New Roman" w:hAnsi="Times New Roman" w:cs="Times New Roman" w:eastAsia="Times New Roman" w:hint="default"/>
          <w:b/>
          <w:bCs/>
          <w:sz w:val="18"/>
          <w:szCs w:val="18"/>
        </w:rPr>
        <w:t>2019</w:t>
      </w:r>
      <w:r>
        <w:rPr>
          <w:rFonts w:ascii="Times New Roman" w:hAnsi="Times New Roman" w:cs="Times New Roman" w:eastAsia="Times New Roman" w:hint="default"/>
          <w:b/>
          <w:bCs/>
          <w:spacing w:val="17"/>
          <w:sz w:val="18"/>
          <w:szCs w:val="18"/>
        </w:rPr>
        <w:t> </w:t>
      </w:r>
      <w:r>
        <w:rPr>
          <w:rFonts w:ascii="宋体" w:hAnsi="宋体" w:cs="宋体" w:eastAsia="宋体" w:hint="default"/>
          <w:b/>
          <w:bCs/>
          <w:sz w:val="18"/>
          <w:szCs w:val="18"/>
        </w:rPr>
        <w:t>年初，参与编写的《城市地下综合管廊运行维护及安全技术标准》正式获得住房和城乡建设部批准并发布公告</w:t>
      </w:r>
      <w:r>
        <w:rPr>
          <w:rFonts w:ascii="宋体" w:hAnsi="宋体" w:cs="宋体" w:eastAsia="宋体" w:hint="default"/>
          <w:sz w:val="18"/>
          <w:szCs w:val="18"/>
        </w:rPr>
        <w:t>， </w:t>
      </w:r>
      <w:r>
        <w:rPr>
          <w:rFonts w:ascii="宋体" w:hAnsi="宋体" w:cs="宋体" w:eastAsia="宋体" w:hint="default"/>
          <w:spacing w:val="-2"/>
          <w:sz w:val="18"/>
          <w:szCs w:val="18"/>
        </w:rPr>
        <w:t>该标准作为国家城市综合管廊建设标准体系的重要组成部分，将为保障我国城市综合管廊的安全稳定运行，提升综合管廊的</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运营管理水平提供重要技术指导。在国家大力推进新型城镇化建设、加强排涝管网、地下综合管廊等建设的驱动下，未来公</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司在城市综合管廊信息化建设领域的市场进展有望加快。</w:t>
      </w:r>
    </w:p>
    <w:p>
      <w:pPr>
        <w:pStyle w:val="Heading5"/>
        <w:spacing w:line="240" w:lineRule="auto" w:before="61"/>
        <w:ind w:left="515" w:right="0"/>
        <w:jc w:val="left"/>
        <w:rPr>
          <w:b w:val="0"/>
          <w:bCs w:val="0"/>
        </w:rPr>
      </w:pPr>
      <w:r>
        <w:rPr>
          <w:rFonts w:ascii="Times New Roman" w:hAnsi="Times New Roman" w:cs="Times New Roman" w:eastAsia="Times New Roman" w:hint="default"/>
        </w:rPr>
        <w:t>C</w:t>
      </w:r>
      <w:r>
        <w:rPr/>
        <w:t>、缔造新模式下的产业链生态圈</w:t>
      </w:r>
      <w:r>
        <w:rPr>
          <w:b w:val="0"/>
          <w:bCs w:val="0"/>
        </w:rPr>
      </w:r>
    </w:p>
    <w:p>
      <w:pPr>
        <w:spacing w:line="240" w:lineRule="auto" w:before="1"/>
        <w:rPr>
          <w:rFonts w:ascii="宋体" w:hAnsi="宋体" w:cs="宋体" w:eastAsia="宋体" w:hint="default"/>
          <w:b/>
          <w:bCs/>
          <w:sz w:val="16"/>
          <w:szCs w:val="16"/>
        </w:rPr>
      </w:pPr>
    </w:p>
    <w:p>
      <w:pPr>
        <w:spacing w:line="5832" w:lineRule="exact"/>
        <w:ind w:left="154" w:right="0" w:firstLine="0"/>
        <w:rPr>
          <w:rFonts w:ascii="宋体" w:hAnsi="宋体" w:cs="宋体" w:eastAsia="宋体" w:hint="default"/>
          <w:sz w:val="20"/>
          <w:szCs w:val="20"/>
        </w:rPr>
      </w:pPr>
      <w:r>
        <w:rPr>
          <w:rFonts w:ascii="宋体" w:hAnsi="宋体" w:cs="宋体" w:eastAsia="宋体" w:hint="default"/>
          <w:position w:val="-116"/>
          <w:sz w:val="20"/>
          <w:szCs w:val="20"/>
        </w:rPr>
        <w:drawing>
          <wp:inline distT="0" distB="0" distL="0" distR="0">
            <wp:extent cx="6103885" cy="3703320"/>
            <wp:effectExtent l="0" t="0" r="0" b="0"/>
            <wp:docPr id="61" name="image69.jpeg" descr=""/>
            <wp:cNvGraphicFramePr>
              <a:graphicFrameLocks noChangeAspect="1"/>
            </wp:cNvGraphicFramePr>
            <a:graphic>
              <a:graphicData uri="http://schemas.openxmlformats.org/drawingml/2006/picture">
                <pic:pic>
                  <pic:nvPicPr>
                    <pic:cNvPr id="62" name="image69.jpeg"/>
                    <pic:cNvPicPr/>
                  </pic:nvPicPr>
                  <pic:blipFill>
                    <a:blip r:embed="rId76" cstate="print"/>
                    <a:stretch>
                      <a:fillRect/>
                    </a:stretch>
                  </pic:blipFill>
                  <pic:spPr>
                    <a:xfrm>
                      <a:off x="0" y="0"/>
                      <a:ext cx="6103885" cy="3703320"/>
                    </a:xfrm>
                    <a:prstGeom prst="rect">
                      <a:avLst/>
                    </a:prstGeom>
                  </pic:spPr>
                </pic:pic>
              </a:graphicData>
            </a:graphic>
          </wp:inline>
        </w:drawing>
      </w:r>
      <w:r>
        <w:rPr>
          <w:rFonts w:ascii="宋体" w:hAnsi="宋体" w:cs="宋体" w:eastAsia="宋体" w:hint="default"/>
          <w:position w:val="-116"/>
          <w:sz w:val="20"/>
          <w:szCs w:val="20"/>
        </w:rPr>
      </w:r>
    </w:p>
    <w:p>
      <w:pPr>
        <w:spacing w:line="240" w:lineRule="auto" w:before="2"/>
        <w:rPr>
          <w:rFonts w:ascii="宋体" w:hAnsi="宋体" w:cs="宋体" w:eastAsia="宋体" w:hint="default"/>
          <w:b/>
          <w:bCs/>
          <w:sz w:val="14"/>
          <w:szCs w:val="14"/>
        </w:rPr>
      </w:pPr>
    </w:p>
    <w:p>
      <w:pPr>
        <w:pStyle w:val="BodyText"/>
        <w:spacing w:line="463" w:lineRule="auto"/>
        <w:ind w:right="1130" w:firstLine="360"/>
        <w:jc w:val="both"/>
      </w:pPr>
      <w:r>
        <w:rPr>
          <w:rFonts w:ascii="Times New Roman" w:hAnsi="Times New Roman" w:cs="Times New Roman" w:eastAsia="Times New Roman" w:hint="default"/>
        </w:rPr>
        <w:t>1</w:t>
      </w:r>
      <w:r>
        <w:rPr/>
        <w:t>）公司与中国广核集团战略合作、联合成立通信与物联网应用实验室，研究针对核电通信与物联网相关技术、合作起 </w:t>
      </w:r>
      <w:r>
        <w:rPr>
          <w:spacing w:val="-2"/>
        </w:rPr>
        <w:t>草核电行业无线通信技术标准并申报与落地、开展核电无线通信及物联网相关智能化应用等方向的深度合作，研发支撑核电</w:t>
      </w:r>
      <w:r>
        <w:rPr>
          <w:spacing w:val="-63"/>
        </w:rPr>
        <w:t> </w:t>
      </w:r>
      <w:r>
        <w:rPr>
          <w:spacing w:val="-63"/>
        </w:rPr>
      </w:r>
      <w:r>
        <w:rPr/>
        <w:t>机组的智能化建设；</w:t>
      </w:r>
    </w:p>
    <w:p>
      <w:pPr>
        <w:pStyle w:val="BodyText"/>
        <w:spacing w:line="463" w:lineRule="auto" w:before="65"/>
        <w:ind w:right="1131" w:firstLine="360"/>
        <w:jc w:val="both"/>
      </w:pPr>
      <w:r>
        <w:rPr>
          <w:rFonts w:ascii="Times New Roman" w:hAnsi="Times New Roman" w:cs="Times New Roman" w:eastAsia="Times New Roman" w:hint="default"/>
        </w:rPr>
        <w:t>2</w:t>
      </w:r>
      <w:r>
        <w:rPr/>
        <w:t>）公司与中国建筑股份有限公司的全资子公司中国建筑发展有限公司，共同出资设立中建智能技术有限公司，共同推 </w:t>
      </w:r>
      <w:r>
        <w:rPr>
          <w:spacing w:val="-2"/>
        </w:rPr>
        <w:t>进城市综合管廊信息化建设。本次合作将引领公司在物联网、云计算、大数据、人工智能和互联网等先进技术与传统建筑行</w:t>
      </w:r>
      <w:r>
        <w:rPr>
          <w:spacing w:val="-66"/>
        </w:rPr>
        <w:t> </w:t>
      </w:r>
      <w:r>
        <w:rPr>
          <w:spacing w:val="-66"/>
        </w:rPr>
      </w:r>
      <w:r>
        <w:rPr/>
        <w:t>业的有效融合，充分提升公司在建筑行业，尤其在综合管廊信息化领域的市场竞争力；</w:t>
      </w:r>
    </w:p>
    <w:p>
      <w:pPr>
        <w:pStyle w:val="BodyText"/>
        <w:spacing w:line="451" w:lineRule="auto" w:before="65"/>
        <w:ind w:right="1129" w:firstLine="360"/>
        <w:jc w:val="both"/>
      </w:pPr>
      <w:r>
        <w:rPr>
          <w:rFonts w:ascii="Times New Roman" w:hAnsi="Times New Roman" w:cs="Times New Roman" w:eastAsia="Times New Roman" w:hint="default"/>
        </w:rPr>
        <w:t>3</w:t>
      </w:r>
      <w:r>
        <w:rPr/>
        <w:t>）为更加有效的推进公司物联网业务的迅速成长，推动公司在物联网领域的整体解决方案能力和市场落地，公司出资 设立北京泰岳宏光科技发展有限公司；</w:t>
      </w:r>
    </w:p>
    <w:p>
      <w:pPr>
        <w:pStyle w:val="BodyText"/>
        <w:spacing w:line="240" w:lineRule="auto" w:before="74"/>
        <w:ind w:left="514" w:right="0"/>
        <w:jc w:val="left"/>
      </w:pPr>
      <w:r>
        <w:rPr>
          <w:rFonts w:ascii="Times New Roman" w:hAnsi="Times New Roman" w:cs="Times New Roman" w:eastAsia="Times New Roman" w:hint="default"/>
        </w:rPr>
        <w:t>4</w:t>
      </w:r>
      <w:r>
        <w:rPr/>
        <w:t>）公司与汉威科技签署战略协议暨成立</w:t>
      </w:r>
      <w:r>
        <w:rPr>
          <w:rFonts w:ascii="Times New Roman" w:hAnsi="Times New Roman" w:cs="Times New Roman" w:eastAsia="Times New Roman" w:hint="default"/>
        </w:rPr>
        <w:t>“</w:t>
      </w:r>
      <w:r>
        <w:rPr/>
        <w:t>工业互联网联合实验室</w:t>
      </w:r>
      <w:r>
        <w:rPr>
          <w:rFonts w:ascii="Times New Roman" w:hAnsi="Times New Roman" w:cs="Times New Roman" w:eastAsia="Times New Roman" w:hint="default"/>
        </w:rPr>
        <w:t>”</w:t>
      </w:r>
      <w:r>
        <w:rPr/>
        <w:t>，共同推出的新型智慧管廊物联传感解决方案</w:t>
      </w:r>
      <w:r>
        <w:rPr>
          <w:rFonts w:ascii="Times New Roman" w:hAnsi="Times New Roman" w:cs="Times New Roman" w:eastAsia="Times New Roman" w:hint="default"/>
        </w:rPr>
        <w:t>——</w:t>
      </w:r>
      <w:r>
        <w:rPr/>
        <w:t>泰</w:t>
      </w:r>
    </w:p>
    <w:p>
      <w:pPr>
        <w:spacing w:after="0" w:line="240" w:lineRule="auto"/>
        <w:jc w:val="left"/>
        <w:sectPr>
          <w:pgSz w:w="11910" w:h="16840"/>
          <w:pgMar w:header="851" w:footer="1187" w:top="1400" w:bottom="1380" w:left="980" w:right="0"/>
        </w:sectPr>
      </w:pPr>
    </w:p>
    <w:p>
      <w:pPr>
        <w:spacing w:line="240" w:lineRule="auto" w:before="1"/>
        <w:rPr>
          <w:rFonts w:ascii="宋体" w:hAnsi="宋体" w:cs="宋体" w:eastAsia="宋体" w:hint="default"/>
          <w:sz w:val="8"/>
          <w:szCs w:val="8"/>
        </w:rPr>
      </w:pPr>
    </w:p>
    <w:p>
      <w:pPr>
        <w:pStyle w:val="BodyText"/>
        <w:spacing w:line="477" w:lineRule="auto" w:before="44"/>
        <w:ind w:right="0"/>
        <w:jc w:val="left"/>
      </w:pPr>
      <w:r>
        <w:rPr>
          <w:spacing w:val="-2"/>
        </w:rPr>
        <w:t>威系列传感器，该系列传感器实现了智慧线与无线传感器的空口对接，超低功耗、高测量精度，具备开机自主定位和无线监</w:t>
      </w:r>
      <w:r>
        <w:rPr>
          <w:spacing w:val="-66"/>
        </w:rPr>
        <w:t> </w:t>
      </w:r>
      <w:r>
        <w:rPr>
          <w:spacing w:val="-66"/>
        </w:rPr>
      </w:r>
      <w:r>
        <w:rPr/>
        <w:t>控能力，可满足管廊、石油化工等多种工业场景的需求，为双方实现互利共赢新格局创下了良好开端。</w:t>
      </w:r>
    </w:p>
    <w:p>
      <w:pPr>
        <w:spacing w:line="451" w:lineRule="auto" w:before="54"/>
        <w:ind w:left="514"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D</w:t>
      </w:r>
      <w:r>
        <w:rPr>
          <w:rFonts w:ascii="宋体" w:hAnsi="宋体" w:cs="宋体" w:eastAsia="宋体" w:hint="default"/>
          <w:b/>
          <w:bCs/>
          <w:sz w:val="18"/>
          <w:szCs w:val="18"/>
        </w:rPr>
        <w:t>、针对特殊市场需求的专业化公司部署</w:t>
      </w:r>
      <w:r>
        <w:rPr>
          <w:rFonts w:ascii="宋体" w:hAnsi="宋体" w:cs="宋体" w:eastAsia="宋体" w:hint="default"/>
          <w:b/>
          <w:bCs/>
          <w:w w:val="99"/>
          <w:sz w:val="18"/>
          <w:szCs w:val="18"/>
        </w:rPr>
        <w:t> </w:t>
      </w:r>
      <w:r>
        <w:rPr>
          <w:rFonts w:ascii="宋体" w:hAnsi="宋体" w:cs="宋体" w:eastAsia="宋体" w:hint="default"/>
          <w:spacing w:val="-2"/>
          <w:sz w:val="18"/>
          <w:szCs w:val="18"/>
        </w:rPr>
        <w:t>为满足新疆地区、西藏地区特殊的市场需求，公司在当地成立专业化公司，推进公司创新业务的战略布局，加速科技成</w:t>
      </w:r>
    </w:p>
    <w:p>
      <w:pPr>
        <w:pStyle w:val="BodyText"/>
        <w:spacing w:line="240" w:lineRule="auto" w:before="74"/>
        <w:ind w:right="0"/>
        <w:jc w:val="left"/>
      </w:pPr>
      <w:r>
        <w:rPr/>
        <w:t>果转化。</w:t>
      </w:r>
    </w:p>
    <w:p>
      <w:pPr>
        <w:spacing w:line="240" w:lineRule="auto" w:before="10"/>
        <w:rPr>
          <w:rFonts w:ascii="宋体" w:hAnsi="宋体" w:cs="宋体" w:eastAsia="宋体" w:hint="default"/>
          <w:sz w:val="17"/>
          <w:szCs w:val="17"/>
        </w:rPr>
      </w:pPr>
    </w:p>
    <w:p>
      <w:pPr>
        <w:spacing w:line="451" w:lineRule="auto" w:before="0"/>
        <w:ind w:left="514" w:right="6072"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E</w:t>
      </w:r>
      <w:r>
        <w:rPr>
          <w:rFonts w:ascii="宋体" w:hAnsi="宋体" w:cs="宋体" w:eastAsia="宋体" w:hint="default"/>
          <w:b/>
          <w:bCs/>
          <w:sz w:val="18"/>
          <w:szCs w:val="18"/>
        </w:rPr>
        <w:t>、技术成果荣获多项殊荣</w:t>
      </w:r>
      <w:r>
        <w:rPr>
          <w:rFonts w:ascii="宋体" w:hAnsi="宋体" w:cs="宋体" w:eastAsia="宋体" w:hint="default"/>
          <w:b/>
          <w:bCs/>
          <w:w w:val="99"/>
          <w:sz w:val="18"/>
          <w:szCs w:val="18"/>
        </w:rPr>
        <w:t> </w:t>
      </w:r>
      <w:r>
        <w:rPr>
          <w:rFonts w:ascii="宋体" w:hAnsi="宋体" w:cs="宋体" w:eastAsia="宋体" w:hint="default"/>
          <w:sz w:val="18"/>
          <w:szCs w:val="18"/>
        </w:rPr>
        <w:t>报告期内，公司在物联网通讯领域斩获众多知名奖项。</w:t>
      </w:r>
    </w:p>
    <w:p>
      <w:pPr>
        <w:spacing w:line="240" w:lineRule="auto" w:before="12"/>
        <w:rPr>
          <w:rFonts w:ascii="宋体" w:hAnsi="宋体" w:cs="宋体" w:eastAsia="宋体" w:hint="default"/>
          <w:sz w:val="12"/>
          <w:szCs w:val="12"/>
        </w:rPr>
      </w:pPr>
    </w:p>
    <w:p>
      <w:pPr>
        <w:spacing w:line="4675" w:lineRule="exact"/>
        <w:ind w:left="409" w:right="0" w:firstLine="0"/>
        <w:rPr>
          <w:rFonts w:ascii="宋体" w:hAnsi="宋体" w:cs="宋体" w:eastAsia="宋体" w:hint="default"/>
          <w:sz w:val="20"/>
          <w:szCs w:val="20"/>
        </w:rPr>
      </w:pPr>
      <w:r>
        <w:rPr>
          <w:rFonts w:ascii="宋体" w:hAnsi="宋体" w:cs="宋体" w:eastAsia="宋体" w:hint="default"/>
          <w:position w:val="-93"/>
          <w:sz w:val="20"/>
          <w:szCs w:val="20"/>
        </w:rPr>
        <w:drawing>
          <wp:inline distT="0" distB="0" distL="0" distR="0">
            <wp:extent cx="5761274" cy="2968752"/>
            <wp:effectExtent l="0" t="0" r="0" b="0"/>
            <wp:docPr id="63" name="image70.jpeg" descr=""/>
            <wp:cNvGraphicFramePr>
              <a:graphicFrameLocks noChangeAspect="1"/>
            </wp:cNvGraphicFramePr>
            <a:graphic>
              <a:graphicData uri="http://schemas.openxmlformats.org/drawingml/2006/picture">
                <pic:pic>
                  <pic:nvPicPr>
                    <pic:cNvPr id="64" name="image70.jpeg"/>
                    <pic:cNvPicPr/>
                  </pic:nvPicPr>
                  <pic:blipFill>
                    <a:blip r:embed="rId77" cstate="print"/>
                    <a:stretch>
                      <a:fillRect/>
                    </a:stretch>
                  </pic:blipFill>
                  <pic:spPr>
                    <a:xfrm>
                      <a:off x="0" y="0"/>
                      <a:ext cx="5761274" cy="2968752"/>
                    </a:xfrm>
                    <a:prstGeom prst="rect">
                      <a:avLst/>
                    </a:prstGeom>
                  </pic:spPr>
                </pic:pic>
              </a:graphicData>
            </a:graphic>
          </wp:inline>
        </w:drawing>
      </w:r>
      <w:r>
        <w:rPr>
          <w:rFonts w:ascii="宋体" w:hAnsi="宋体" w:cs="宋体" w:eastAsia="宋体" w:hint="default"/>
          <w:position w:val="-93"/>
          <w:sz w:val="20"/>
          <w:szCs w:val="20"/>
        </w:rPr>
      </w:r>
    </w:p>
    <w:p>
      <w:pPr>
        <w:spacing w:line="240" w:lineRule="auto" w:before="3"/>
        <w:rPr>
          <w:rFonts w:ascii="宋体" w:hAnsi="宋体" w:cs="宋体" w:eastAsia="宋体" w:hint="default"/>
          <w:sz w:val="17"/>
          <w:szCs w:val="17"/>
        </w:rPr>
      </w:pPr>
    </w:p>
    <w:p>
      <w:pPr>
        <w:pStyle w:val="Heading5"/>
        <w:spacing w:line="240" w:lineRule="auto"/>
        <w:ind w:left="3347" w:right="0"/>
        <w:jc w:val="left"/>
        <w:rPr>
          <w:b w:val="0"/>
          <w:bCs w:val="0"/>
        </w:rPr>
      </w:pPr>
      <w:r>
        <w:rPr/>
        <w:t>（物联网领域部分新获得的荣誉及奖项）</w:t>
      </w:r>
      <w:r>
        <w:rPr>
          <w:b w:val="0"/>
          <w:bCs w:val="0"/>
        </w:rPr>
      </w:r>
    </w:p>
    <w:p>
      <w:pPr>
        <w:spacing w:line="240" w:lineRule="auto" w:before="0"/>
        <w:rPr>
          <w:rFonts w:ascii="宋体" w:hAnsi="宋体" w:cs="宋体" w:eastAsia="宋体" w:hint="default"/>
          <w:b/>
          <w:bCs/>
          <w:sz w:val="18"/>
          <w:szCs w:val="18"/>
        </w:rPr>
      </w:pPr>
    </w:p>
    <w:p>
      <w:pPr>
        <w:spacing w:line="240" w:lineRule="auto" w:before="9"/>
        <w:rPr>
          <w:rFonts w:ascii="宋体" w:hAnsi="宋体" w:cs="宋体" w:eastAsia="宋体" w:hint="default"/>
          <w:b/>
          <w:bCs/>
          <w:sz w:val="22"/>
          <w:szCs w:val="22"/>
        </w:rPr>
      </w:pPr>
    </w:p>
    <w:p>
      <w:pPr>
        <w:pStyle w:val="Heading4"/>
        <w:spacing w:line="240" w:lineRule="auto"/>
        <w:ind w:right="0"/>
        <w:jc w:val="left"/>
        <w:rPr>
          <w:b w:val="0"/>
          <w:bCs w:val="0"/>
          <w:i w:val="0"/>
        </w:rPr>
      </w:pPr>
      <w:bookmarkStart w:name="2、人工智能大数据业务" w:id="34"/>
      <w:bookmarkEnd w:id="34"/>
      <w:r>
        <w:rPr>
          <w:b w:val="0"/>
          <w:bCs w:val="0"/>
          <w:i w:val="0"/>
        </w:rPr>
      </w:r>
      <w:r>
        <w:rPr>
          <w:rFonts w:ascii="Times New Roman" w:hAnsi="Times New Roman" w:cs="Times New Roman" w:eastAsia="Times New Roman" w:hint="default"/>
          <w:i/>
          <w:sz w:val="18"/>
          <w:szCs w:val="18"/>
        </w:rPr>
      </w:r>
      <w:r>
        <w:rPr>
          <w:rFonts w:ascii="Times New Roman" w:hAnsi="Times New Roman" w:cs="Times New Roman" w:eastAsia="Times New Roman" w:hint="default"/>
          <w:i/>
          <w:sz w:val="18"/>
          <w:szCs w:val="18"/>
          <w:u w:val="single" w:color="000000"/>
        </w:rPr>
        <w:t>2</w:t>
      </w:r>
      <w:r>
        <w:rPr>
          <w:u w:val="single" w:color="000000"/>
        </w:rPr>
        <w:t>、人工智能大数据业务</w:t>
      </w:r>
      <w:r>
        <w:rPr/>
      </w:r>
      <w:r>
        <w:rPr>
          <w:b w:val="0"/>
          <w:bCs w:val="0"/>
          <w:i w:val="0"/>
        </w:rPr>
      </w:r>
    </w:p>
    <w:p>
      <w:pPr>
        <w:spacing w:line="240" w:lineRule="auto" w:before="4"/>
        <w:rPr>
          <w:rFonts w:ascii="宋体" w:hAnsi="宋体" w:cs="宋体" w:eastAsia="宋体" w:hint="default"/>
          <w:b/>
          <w:bCs/>
          <w:i/>
          <w:sz w:val="13"/>
          <w:szCs w:val="13"/>
        </w:rPr>
      </w:pPr>
    </w:p>
    <w:p>
      <w:pPr>
        <w:spacing w:line="451" w:lineRule="auto" w:before="44"/>
        <w:ind w:left="154" w:right="1132" w:firstLine="360"/>
        <w:jc w:val="left"/>
        <w:rPr>
          <w:rFonts w:ascii="宋体" w:hAnsi="宋体" w:cs="宋体" w:eastAsia="宋体" w:hint="default"/>
          <w:sz w:val="18"/>
          <w:szCs w:val="18"/>
        </w:rPr>
      </w:pPr>
      <w:r>
        <w:rPr>
          <w:rFonts w:ascii="宋体" w:hAnsi="宋体" w:cs="宋体" w:eastAsia="宋体" w:hint="default"/>
          <w:spacing w:val="-2"/>
          <w:sz w:val="18"/>
          <w:szCs w:val="18"/>
        </w:rPr>
        <w:t>报告期内，公司进一步推进人工智能自然语言处理（</w:t>
      </w:r>
      <w:r>
        <w:rPr>
          <w:rFonts w:ascii="Times New Roman" w:hAnsi="Times New Roman" w:cs="Times New Roman" w:eastAsia="Times New Roman" w:hint="default"/>
          <w:spacing w:val="-2"/>
          <w:sz w:val="18"/>
          <w:szCs w:val="18"/>
        </w:rPr>
        <w:t>NLP</w:t>
      </w:r>
      <w:r>
        <w:rPr>
          <w:rFonts w:ascii="宋体" w:hAnsi="宋体" w:cs="宋体" w:eastAsia="宋体" w:hint="default"/>
          <w:spacing w:val="-2"/>
          <w:sz w:val="18"/>
          <w:szCs w:val="18"/>
        </w:rPr>
        <w:t>）基础研究并完善产品框架体系，进一步深化推进</w:t>
      </w:r>
      <w:r>
        <w:rPr>
          <w:rFonts w:ascii="Times New Roman" w:hAnsi="Times New Roman" w:cs="Times New Roman" w:eastAsia="Times New Roman" w:hint="default"/>
          <w:spacing w:val="-2"/>
          <w:sz w:val="18"/>
          <w:szCs w:val="18"/>
        </w:rPr>
        <w:t>AI</w:t>
      </w:r>
      <w:r>
        <w:rPr>
          <w:rFonts w:ascii="宋体" w:hAnsi="宋体" w:cs="宋体" w:eastAsia="宋体" w:hint="default"/>
          <w:spacing w:val="-2"/>
          <w:sz w:val="18"/>
          <w:szCs w:val="18"/>
        </w:rPr>
        <w:t>大数据产</w:t>
      </w:r>
      <w:r>
        <w:rPr>
          <w:rFonts w:ascii="宋体" w:hAnsi="宋体" w:cs="宋体" w:eastAsia="宋体" w:hint="default"/>
          <w:sz w:val="18"/>
          <w:szCs w:val="18"/>
        </w:rPr>
        <w:t> 品在公安领域的市场布局，</w:t>
      </w:r>
      <w:r>
        <w:rPr>
          <w:rFonts w:ascii="宋体" w:hAnsi="宋体" w:cs="宋体" w:eastAsia="宋体" w:hint="default"/>
          <w:b/>
          <w:bCs/>
          <w:sz w:val="18"/>
          <w:szCs w:val="18"/>
        </w:rPr>
        <w:t>在</w:t>
      </w:r>
      <w:r>
        <w:rPr>
          <w:rFonts w:ascii="Times New Roman" w:hAnsi="Times New Roman" w:cs="Times New Roman" w:eastAsia="Times New Roman" w:hint="default"/>
          <w:b/>
          <w:bCs/>
          <w:sz w:val="18"/>
          <w:szCs w:val="18"/>
        </w:rPr>
        <w:t>AI-NLP</w:t>
      </w:r>
      <w:r>
        <w:rPr>
          <w:rFonts w:ascii="宋体" w:hAnsi="宋体" w:cs="宋体" w:eastAsia="宋体" w:hint="default"/>
          <w:b/>
          <w:bCs/>
          <w:sz w:val="18"/>
          <w:szCs w:val="18"/>
        </w:rPr>
        <w:t>学术研究领域、产业级平台建设和行业场景应用等各方面均有重要斩获</w:t>
      </w:r>
      <w:r>
        <w:rPr>
          <w:rFonts w:ascii="宋体" w:hAnsi="宋体" w:cs="宋体" w:eastAsia="宋体" w:hint="default"/>
          <w:sz w:val="18"/>
          <w:szCs w:val="18"/>
        </w:rPr>
        <w:t>。</w:t>
      </w:r>
    </w:p>
    <w:p>
      <w:pPr>
        <w:pStyle w:val="BodyText"/>
        <w:spacing w:line="451" w:lineRule="auto" w:before="43"/>
        <w:ind w:left="514" w:right="1042" w:firstLine="1"/>
        <w:jc w:val="left"/>
      </w:pPr>
      <w:r>
        <w:rPr>
          <w:rFonts w:ascii="Times New Roman" w:hAnsi="Times New Roman" w:cs="Times New Roman" w:eastAsia="Times New Roman" w:hint="default"/>
          <w:b/>
          <w:bCs/>
        </w:rPr>
        <w:t>A</w:t>
      </w:r>
      <w:r>
        <w:rPr>
          <w:rFonts w:ascii="宋体" w:hAnsi="宋体" w:cs="宋体" w:eastAsia="宋体" w:hint="default"/>
          <w:b/>
          <w:bCs/>
        </w:rPr>
        <w:t>、产品不断升级迭代</w:t>
      </w:r>
      <w:r>
        <w:rPr>
          <w:rFonts w:ascii="宋体" w:hAnsi="宋体" w:cs="宋体" w:eastAsia="宋体" w:hint="default"/>
          <w:b/>
          <w:bCs/>
          <w:w w:val="99"/>
        </w:rPr>
        <w:t> </w:t>
      </w:r>
      <w:r>
        <w:rPr>
          <w:spacing w:val="-3"/>
        </w:rPr>
        <w:t>报告期内，公司基于在公安领域深入积累的需求分析并融合各类已有应用平台功能优势，重磅发布</w:t>
      </w:r>
      <w:r>
        <w:rPr>
          <w:spacing w:val="19"/>
        </w:rPr>
        <w:t> </w:t>
      </w:r>
      <w:r>
        <w:rPr>
          <w:rFonts w:ascii="Times New Roman" w:hAnsi="Times New Roman" w:cs="Times New Roman" w:eastAsia="Times New Roman" w:hint="default"/>
        </w:rPr>
        <w:t>“</w:t>
      </w:r>
      <w:r>
        <w:rPr/>
        <w:t>智脑</w:t>
      </w:r>
      <w:r>
        <w:rPr>
          <w:rFonts w:ascii="Times New Roman" w:hAnsi="Times New Roman" w:cs="Times New Roman" w:eastAsia="Times New Roman" w:hint="default"/>
        </w:rPr>
        <w:t>2.0”</w:t>
      </w:r>
      <w:r>
        <w:rPr/>
        <w:t>系列产品、</w:t>
      </w:r>
    </w:p>
    <w:p>
      <w:pPr>
        <w:pStyle w:val="BodyText"/>
        <w:spacing w:line="451" w:lineRule="auto" w:before="43"/>
        <w:ind w:right="0"/>
        <w:jc w:val="left"/>
      </w:pPr>
      <w:r>
        <w:rPr>
          <w:spacing w:val="-1"/>
        </w:rPr>
        <w:t>面向金融行业的</w:t>
      </w:r>
      <w:r>
        <w:rPr>
          <w:rFonts w:ascii="Times New Roman" w:hAnsi="Times New Roman" w:cs="Times New Roman" w:eastAsia="Times New Roman" w:hint="default"/>
          <w:spacing w:val="-1"/>
        </w:rPr>
        <w:t>“</w:t>
      </w:r>
      <w:r>
        <w:rPr>
          <w:spacing w:val="-1"/>
        </w:rPr>
        <w:t>睿达控</w:t>
      </w:r>
      <w:r>
        <w:rPr>
          <w:rFonts w:ascii="Times New Roman" w:hAnsi="Times New Roman" w:cs="Times New Roman" w:eastAsia="Times New Roman" w:hint="default"/>
          <w:spacing w:val="-1"/>
        </w:rPr>
        <w:t>”SaaS</w:t>
      </w:r>
      <w:r>
        <w:rPr>
          <w:spacing w:val="-1"/>
        </w:rPr>
        <w:t>平台、智能语义产业平台</w:t>
      </w:r>
      <w:r>
        <w:rPr>
          <w:rFonts w:ascii="Times New Roman" w:hAnsi="Times New Roman" w:cs="Times New Roman" w:eastAsia="Times New Roman" w:hint="default"/>
          <w:spacing w:val="-1"/>
        </w:rPr>
        <w:t>“</w:t>
      </w:r>
      <w:r>
        <w:rPr>
          <w:spacing w:val="-1"/>
        </w:rPr>
        <w:t>中文信息（深度）处理开放创新平台</w:t>
      </w:r>
      <w:r>
        <w:rPr>
          <w:rFonts w:ascii="Times New Roman" w:hAnsi="Times New Roman" w:cs="Times New Roman" w:eastAsia="Times New Roman" w:hint="default"/>
          <w:spacing w:val="-1"/>
        </w:rPr>
        <w:t>”</w:t>
      </w:r>
      <w:r>
        <w:rPr>
          <w:spacing w:val="-1"/>
        </w:rPr>
        <w:t>、推出</w:t>
      </w:r>
      <w:r>
        <w:rPr>
          <w:rFonts w:ascii="Times New Roman" w:hAnsi="Times New Roman" w:cs="Times New Roman" w:eastAsia="Times New Roman" w:hint="default"/>
          <w:spacing w:val="-1"/>
        </w:rPr>
        <w:t>“</w:t>
      </w:r>
      <w:r>
        <w:rPr>
          <w:spacing w:val="-1"/>
        </w:rPr>
        <w:t>神州泰岳语义工厂</w:t>
      </w:r>
      <w:r>
        <w:rPr>
          <w:rFonts w:ascii="Times New Roman" w:hAnsi="Times New Roman" w:cs="Times New Roman" w:eastAsia="Times New Roman" w:hint="default"/>
          <w:spacing w:val="-1"/>
        </w:rPr>
        <w:t>”</w:t>
      </w:r>
      <w:r>
        <w:rPr>
          <w:spacing w:val="-1"/>
        </w:rPr>
        <w:t>开</w:t>
      </w:r>
      <w:r>
        <w:rPr>
          <w:spacing w:val="-56"/>
        </w:rPr>
        <w:t> </w:t>
      </w:r>
      <w:r>
        <w:rPr>
          <w:spacing w:val="-2"/>
        </w:rPr>
        <w:t>放基础的</w:t>
      </w:r>
      <w:r>
        <w:rPr>
          <w:rFonts w:ascii="Times New Roman" w:hAnsi="Times New Roman" w:cs="Times New Roman" w:eastAsia="Times New Roman" w:hint="default"/>
          <w:spacing w:val="-2"/>
        </w:rPr>
        <w:t>NLP</w:t>
      </w:r>
      <w:r>
        <w:rPr>
          <w:spacing w:val="-2"/>
        </w:rPr>
        <w:t>技术与场景应用能力，拓展场景、赋能行业。</w:t>
      </w:r>
      <w:r>
        <w:rPr>
          <w:rFonts w:ascii="Times New Roman" w:hAnsi="Times New Roman" w:cs="Times New Roman" w:eastAsia="Times New Roman" w:hint="default"/>
          <w:spacing w:val="-2"/>
        </w:rPr>
        <w:t>2019</w:t>
      </w:r>
      <w:r>
        <w:rPr>
          <w:spacing w:val="-2"/>
        </w:rPr>
        <w:t>年年初，</w:t>
      </w:r>
      <w:r>
        <w:rPr>
          <w:rFonts w:ascii="Times New Roman" w:hAnsi="Times New Roman" w:cs="Times New Roman" w:eastAsia="Times New Roman" w:hint="default"/>
          <w:spacing w:val="-2"/>
        </w:rPr>
        <w:t>“</w:t>
      </w:r>
      <w:r>
        <w:rPr>
          <w:spacing w:val="-2"/>
        </w:rPr>
        <w:t>智脑</w:t>
      </w:r>
      <w:r>
        <w:rPr>
          <w:rFonts w:ascii="Times New Roman" w:hAnsi="Times New Roman" w:cs="Times New Roman" w:eastAsia="Times New Roman" w:hint="default"/>
          <w:spacing w:val="-2"/>
        </w:rPr>
        <w:t>2.0”</w:t>
      </w:r>
      <w:r>
        <w:rPr>
          <w:spacing w:val="-2"/>
        </w:rPr>
        <w:t>和</w:t>
      </w:r>
      <w:r>
        <w:rPr>
          <w:rFonts w:ascii="Times New Roman" w:hAnsi="Times New Roman" w:cs="Times New Roman" w:eastAsia="Times New Roman" w:hint="default"/>
          <w:spacing w:val="-2"/>
        </w:rPr>
        <w:t>“</w:t>
      </w:r>
      <w:r>
        <w:rPr>
          <w:spacing w:val="-2"/>
        </w:rPr>
        <w:t>睿达控</w:t>
      </w:r>
      <w:r>
        <w:rPr>
          <w:rFonts w:ascii="Times New Roman" w:hAnsi="Times New Roman" w:cs="Times New Roman" w:eastAsia="Times New Roman" w:hint="default"/>
          <w:spacing w:val="-2"/>
        </w:rPr>
        <w:t>”</w:t>
      </w:r>
      <w:r>
        <w:rPr>
          <w:spacing w:val="-2"/>
        </w:rPr>
        <w:t>入选由赛迪研究院组织编写的</w:t>
      </w:r>
    </w:p>
    <w:p>
      <w:pPr>
        <w:pStyle w:val="BodyText"/>
        <w:spacing w:line="477" w:lineRule="auto" w:before="44"/>
        <w:ind w:left="514" w:right="0" w:hanging="360"/>
        <w:jc w:val="left"/>
      </w:pPr>
      <w:r>
        <w:rPr>
          <w:spacing w:val="-9"/>
        </w:rPr>
        <w:t>《人工智能实践录》。</w:t>
      </w:r>
      <w:r>
        <w:rPr/>
        <w:t> 公司与北京市公安局、广西公安厅、石家庄市公安局、太原市公安局、贵阳市公安分局等积极开展合作，推出</w:t>
      </w:r>
      <w:r>
        <w:rPr>
          <w:rFonts w:ascii="Times New Roman" w:hAnsi="Times New Roman" w:cs="Times New Roman" w:eastAsia="Times New Roman" w:hint="default"/>
        </w:rPr>
        <w:t>“</w:t>
      </w:r>
      <w:r>
        <w:rPr/>
        <w:t>智脑刑</w:t>
      </w:r>
    </w:p>
    <w:p>
      <w:pPr>
        <w:pStyle w:val="BodyText"/>
        <w:spacing w:line="240" w:lineRule="auto" w:before="21"/>
        <w:ind w:right="0"/>
        <w:jc w:val="left"/>
      </w:pPr>
      <w:r>
        <w:rPr/>
        <w:t>侦案事件智能分析系统</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大数据资源服务共享平台</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扫黑除恶智能研判系统</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刑事侦查专案人工智能平台</w:t>
      </w:r>
      <w:r>
        <w:rPr>
          <w:rFonts w:ascii="Times New Roman" w:hAnsi="Times New Roman" w:cs="Times New Roman" w:eastAsia="Times New Roman" w:hint="default"/>
        </w:rPr>
        <w:t>”</w:t>
      </w:r>
      <w:r>
        <w:rPr/>
        <w:t>等人工智</w:t>
      </w:r>
    </w:p>
    <w:p>
      <w:pPr>
        <w:spacing w:after="0" w:line="240" w:lineRule="auto"/>
        <w:jc w:val="left"/>
        <w:sectPr>
          <w:pgSz w:w="11910" w:h="16840"/>
          <w:pgMar w:header="851" w:footer="1187" w:top="1400" w:bottom="1380" w:left="980" w:right="0"/>
        </w:sectPr>
      </w:pPr>
    </w:p>
    <w:p>
      <w:pPr>
        <w:spacing w:line="240" w:lineRule="auto" w:before="1"/>
        <w:rPr>
          <w:rFonts w:ascii="宋体" w:hAnsi="宋体" w:cs="宋体" w:eastAsia="宋体" w:hint="default"/>
          <w:sz w:val="8"/>
          <w:szCs w:val="8"/>
        </w:rPr>
      </w:pPr>
    </w:p>
    <w:p>
      <w:pPr>
        <w:pStyle w:val="BodyText"/>
        <w:spacing w:line="477" w:lineRule="auto" w:before="44"/>
        <w:ind w:right="1133"/>
        <w:jc w:val="both"/>
      </w:pPr>
      <w:r>
        <w:rPr>
          <w:spacing w:val="-2"/>
        </w:rPr>
        <w:t>能应用创新平台，对于整合警务资源、改造警务流程、创新警务模式、降低警务成本、实现警务效能的最优化起到了推动作</w:t>
      </w:r>
      <w:r>
        <w:rPr>
          <w:spacing w:val="-66"/>
        </w:rPr>
        <w:t> </w:t>
      </w:r>
      <w:r>
        <w:rPr>
          <w:spacing w:val="-66"/>
        </w:rPr>
      </w:r>
      <w:r>
        <w:rPr/>
        <w:t>用。</w:t>
      </w:r>
    </w:p>
    <w:p>
      <w:pPr>
        <w:pStyle w:val="Heading5"/>
        <w:spacing w:line="240" w:lineRule="auto" w:before="95"/>
        <w:ind w:left="636" w:right="0"/>
        <w:jc w:val="left"/>
        <w:rPr>
          <w:b w:val="0"/>
          <w:bCs w:val="0"/>
        </w:rPr>
      </w:pPr>
      <w:r>
        <w:rPr>
          <w:rFonts w:ascii="Times New Roman" w:hAnsi="Times New Roman" w:cs="Times New Roman" w:eastAsia="Times New Roman" w:hint="default"/>
        </w:rPr>
        <w:t>B</w:t>
      </w:r>
      <w:r>
        <w:rPr/>
        <w:t>、行业结盟加快创新应用</w:t>
      </w:r>
      <w:r>
        <w:rPr>
          <w:b w:val="0"/>
          <w:bCs w:val="0"/>
        </w:rPr>
      </w:r>
    </w:p>
    <w:p>
      <w:pPr>
        <w:spacing w:line="240" w:lineRule="auto" w:before="10"/>
        <w:rPr>
          <w:rFonts w:ascii="宋体" w:hAnsi="宋体" w:cs="宋体" w:eastAsia="宋体" w:hint="default"/>
          <w:b/>
          <w:bCs/>
          <w:sz w:val="19"/>
          <w:szCs w:val="19"/>
        </w:rPr>
      </w:pPr>
    </w:p>
    <w:p>
      <w:pPr>
        <w:pStyle w:val="BodyText"/>
        <w:spacing w:line="451" w:lineRule="auto"/>
        <w:ind w:right="1131" w:firstLine="482"/>
        <w:jc w:val="both"/>
      </w:pPr>
      <w:r>
        <w:rPr>
          <w:rFonts w:ascii="Times New Roman" w:hAnsi="Times New Roman" w:cs="Times New Roman" w:eastAsia="Times New Roman" w:hint="default"/>
        </w:rPr>
        <w:t>1</w:t>
      </w:r>
      <w:r>
        <w:rPr/>
        <w:t>）公司与安徽省合肥市政府签署战略协议，共同推进公司智能语义产学研落地平台</w:t>
      </w:r>
      <w:r>
        <w:rPr>
          <w:rFonts w:ascii="Times New Roman" w:hAnsi="Times New Roman" w:cs="Times New Roman" w:eastAsia="Times New Roman" w:hint="default"/>
        </w:rPr>
        <w:t>—</w:t>
      </w:r>
      <w:r>
        <w:rPr/>
        <w:t>中文信息（深度）处理开放创 新平台落地；</w:t>
      </w:r>
    </w:p>
    <w:p>
      <w:pPr>
        <w:spacing w:line="240" w:lineRule="auto" w:before="1"/>
        <w:rPr>
          <w:rFonts w:ascii="宋体" w:hAnsi="宋体" w:cs="宋体" w:eastAsia="宋体" w:hint="default"/>
          <w:sz w:val="4"/>
          <w:szCs w:val="4"/>
        </w:rPr>
      </w:pPr>
    </w:p>
    <w:p>
      <w:pPr>
        <w:spacing w:line="4326" w:lineRule="exact"/>
        <w:ind w:left="393" w:right="0" w:firstLine="0"/>
        <w:rPr>
          <w:rFonts w:ascii="宋体" w:hAnsi="宋体" w:cs="宋体" w:eastAsia="宋体" w:hint="default"/>
          <w:sz w:val="20"/>
          <w:szCs w:val="20"/>
        </w:rPr>
      </w:pPr>
      <w:r>
        <w:rPr>
          <w:rFonts w:ascii="宋体" w:hAnsi="宋体" w:cs="宋体" w:eastAsia="宋体" w:hint="default"/>
          <w:position w:val="-86"/>
          <w:sz w:val="20"/>
          <w:szCs w:val="20"/>
        </w:rPr>
        <w:drawing>
          <wp:inline distT="0" distB="0" distL="0" distR="0">
            <wp:extent cx="5840494" cy="2747200"/>
            <wp:effectExtent l="0" t="0" r="0" b="0"/>
            <wp:docPr id="65" name="image71.jpeg" descr=""/>
            <wp:cNvGraphicFramePr>
              <a:graphicFrameLocks noChangeAspect="1"/>
            </wp:cNvGraphicFramePr>
            <a:graphic>
              <a:graphicData uri="http://schemas.openxmlformats.org/drawingml/2006/picture">
                <pic:pic>
                  <pic:nvPicPr>
                    <pic:cNvPr id="66" name="image71.jpeg"/>
                    <pic:cNvPicPr/>
                  </pic:nvPicPr>
                  <pic:blipFill>
                    <a:blip r:embed="rId78" cstate="print"/>
                    <a:stretch>
                      <a:fillRect/>
                    </a:stretch>
                  </pic:blipFill>
                  <pic:spPr>
                    <a:xfrm>
                      <a:off x="0" y="0"/>
                      <a:ext cx="5840494" cy="2747200"/>
                    </a:xfrm>
                    <a:prstGeom prst="rect">
                      <a:avLst/>
                    </a:prstGeom>
                  </pic:spPr>
                </pic:pic>
              </a:graphicData>
            </a:graphic>
          </wp:inline>
        </w:drawing>
      </w:r>
      <w:r>
        <w:rPr>
          <w:rFonts w:ascii="宋体" w:hAnsi="宋体" w:cs="宋体" w:eastAsia="宋体" w:hint="default"/>
          <w:position w:val="-86"/>
          <w:sz w:val="20"/>
          <w:szCs w:val="20"/>
        </w:rPr>
      </w:r>
    </w:p>
    <w:p>
      <w:pPr>
        <w:spacing w:line="465" w:lineRule="auto" w:before="141"/>
        <w:ind w:left="154" w:right="1130" w:firstLine="482"/>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）与</w:t>
      </w:r>
      <w:r>
        <w:rPr>
          <w:rFonts w:ascii="宋体" w:hAnsi="宋体" w:cs="宋体" w:eastAsia="宋体" w:hint="default"/>
          <w:b/>
          <w:bCs/>
          <w:spacing w:val="-3"/>
          <w:sz w:val="18"/>
          <w:szCs w:val="18"/>
        </w:rPr>
        <w:t>北京锐安科技有限公司（公安部第三研究所控股）战略合作、成立大数据生态联盟，共同开拓公安大数据市场</w:t>
      </w:r>
      <w:r>
        <w:rPr>
          <w:rFonts w:ascii="宋体" w:hAnsi="宋体" w:cs="宋体" w:eastAsia="宋体" w:hint="default"/>
          <w:spacing w:val="-3"/>
          <w:sz w:val="18"/>
          <w:szCs w:val="18"/>
        </w:rPr>
        <w:t>。</w:t>
      </w:r>
      <w:r>
        <w:rPr>
          <w:rFonts w:ascii="宋体" w:hAnsi="宋体" w:cs="宋体" w:eastAsia="宋体" w:hint="default"/>
          <w:sz w:val="18"/>
          <w:szCs w:val="18"/>
        </w:rPr>
        <w:t> </w:t>
      </w:r>
      <w:r>
        <w:rPr>
          <w:rFonts w:ascii="宋体" w:hAnsi="宋体" w:cs="宋体" w:eastAsia="宋体" w:hint="default"/>
          <w:spacing w:val="-2"/>
          <w:sz w:val="18"/>
          <w:szCs w:val="18"/>
        </w:rPr>
        <w:t>锐安科技是公安部第三研究所控股的高新科技企业，将牵头新一代公安系统大数据生态标准规范的顶层设计和体系建设。此</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次战略合作的达成将促进公司在公安领域</w:t>
      </w:r>
      <w:r>
        <w:rPr>
          <w:rFonts w:ascii="Times New Roman" w:hAnsi="Times New Roman" w:cs="Times New Roman" w:eastAsia="Times New Roman" w:hint="default"/>
          <w:sz w:val="18"/>
          <w:szCs w:val="18"/>
        </w:rPr>
        <w:t>AI</w:t>
      </w:r>
      <w:r>
        <w:rPr>
          <w:rFonts w:ascii="宋体" w:hAnsi="宋体" w:cs="宋体" w:eastAsia="宋体" w:hint="default"/>
          <w:sz w:val="18"/>
          <w:szCs w:val="18"/>
        </w:rPr>
        <w:t>场景应用的落地。</w:t>
      </w:r>
    </w:p>
    <w:p>
      <w:pPr>
        <w:pStyle w:val="BodyText"/>
        <w:spacing w:line="487" w:lineRule="auto" w:before="72"/>
        <w:ind w:left="636" w:right="0"/>
        <w:jc w:val="left"/>
      </w:pPr>
      <w:r>
        <w:rPr>
          <w:rFonts w:ascii="Times New Roman" w:hAnsi="Times New Roman" w:cs="Times New Roman" w:eastAsia="Times New Roman" w:hint="default"/>
          <w:b/>
          <w:bCs/>
        </w:rPr>
        <w:t>C</w:t>
      </w:r>
      <w:r>
        <w:rPr>
          <w:rFonts w:ascii="宋体" w:hAnsi="宋体" w:cs="宋体" w:eastAsia="宋体" w:hint="default"/>
          <w:b/>
          <w:bCs/>
        </w:rPr>
        <w:t>、研究理念获业界认可</w:t>
      </w:r>
      <w:r>
        <w:rPr>
          <w:rFonts w:ascii="宋体" w:hAnsi="宋体" w:cs="宋体" w:eastAsia="宋体" w:hint="default"/>
          <w:b/>
          <w:bCs/>
          <w:w w:val="99"/>
        </w:rPr>
        <w:t> </w:t>
      </w:r>
      <w:r>
        <w:rPr/>
        <w:t>报告期内，公司当选新一代人工智能产业技术创新战略联盟自然语言处理</w:t>
      </w:r>
      <w:r>
        <w:rPr>
          <w:rFonts w:ascii="Times New Roman" w:hAnsi="Times New Roman" w:cs="Times New Roman" w:eastAsia="Times New Roman" w:hint="default"/>
        </w:rPr>
        <w:t>(NLP)</w:t>
      </w:r>
      <w:r>
        <w:rPr/>
        <w:t>推进组组长，联合百度、哈工大、达</w:t>
      </w:r>
    </w:p>
    <w:p>
      <w:pPr>
        <w:pStyle w:val="BodyText"/>
        <w:spacing w:line="487" w:lineRule="auto" w:before="14"/>
        <w:ind w:left="636" w:right="0" w:hanging="483"/>
        <w:jc w:val="left"/>
        <w:rPr>
          <w:rFonts w:ascii="Times New Roman" w:hAnsi="Times New Roman" w:cs="Times New Roman" w:eastAsia="Times New Roman" w:hint="default"/>
        </w:rPr>
      </w:pPr>
      <w:r>
        <w:rPr/>
        <w:t>观数据、小牛翻译等知名企业共同推动</w:t>
      </w:r>
      <w:r>
        <w:rPr>
          <w:rFonts w:ascii="Times New Roman" w:hAnsi="Times New Roman" w:cs="Times New Roman" w:eastAsia="Times New Roman" w:hint="default"/>
        </w:rPr>
        <w:t>NLP</w:t>
      </w:r>
      <w:r>
        <w:rPr/>
        <w:t>技术的快速发展。 同时作为发起成员及</w:t>
      </w:r>
      <w:r>
        <w:rPr>
          <w:rFonts w:ascii="Times New Roman" w:hAnsi="Times New Roman" w:cs="Times New Roman" w:eastAsia="Times New Roman" w:hint="default"/>
        </w:rPr>
        <w:t>NLP</w:t>
      </w:r>
      <w:r>
        <w:rPr/>
        <w:t>推进组组长，也将以</w:t>
      </w:r>
      <w:r>
        <w:rPr>
          <w:rFonts w:ascii="Times New Roman" w:hAnsi="Times New Roman" w:cs="Times New Roman" w:eastAsia="Times New Roman" w:hint="default"/>
        </w:rPr>
        <w:t>“</w:t>
      </w:r>
      <w:r>
        <w:rPr/>
        <w:t>神州泰岳中文信息（深度）处理开放创新平台</w:t>
      </w:r>
      <w:r>
        <w:rPr>
          <w:rFonts w:ascii="Times New Roman" w:hAnsi="Times New Roman" w:cs="Times New Roman" w:eastAsia="Times New Roman" w:hint="default"/>
        </w:rPr>
        <w:t>”</w:t>
      </w:r>
      <w:r>
        <w:rPr/>
        <w:t>项目为基础，为</w:t>
      </w:r>
      <w:r>
        <w:rPr>
          <w:rFonts w:ascii="Times New Roman" w:hAnsi="Times New Roman" w:cs="Times New Roman" w:eastAsia="Times New Roman" w:hint="default"/>
        </w:rPr>
        <w:t>OpenI</w:t>
      </w:r>
    </w:p>
    <w:p>
      <w:pPr>
        <w:pStyle w:val="BodyText"/>
        <w:spacing w:line="465" w:lineRule="auto" w:before="13"/>
        <w:ind w:right="1132"/>
        <w:jc w:val="both"/>
      </w:pPr>
      <w:r>
        <w:rPr/>
        <w:t>启智平台的</w:t>
      </w:r>
      <w:r>
        <w:rPr>
          <w:rFonts w:ascii="Times New Roman" w:hAnsi="Times New Roman" w:cs="Times New Roman" w:eastAsia="Times New Roman" w:hint="default"/>
        </w:rPr>
        <w:t>NLP</w:t>
      </w:r>
      <w:r>
        <w:rPr/>
        <w:t>领域建设贡献力量。</w:t>
      </w:r>
      <w:r>
        <w:rPr>
          <w:rFonts w:ascii="Times New Roman" w:hAnsi="Times New Roman" w:cs="Times New Roman" w:eastAsia="Times New Roman" w:hint="default"/>
        </w:rPr>
        <w:t>OpenI</w:t>
      </w:r>
      <w:r>
        <w:rPr/>
        <w:t>启智新一代人工智能开源开放平台，是在国家相关部委的指导下，由新一代人工</w:t>
      </w:r>
      <w:r>
        <w:rPr>
          <w:spacing w:val="-69"/>
        </w:rPr>
        <w:t> </w:t>
      </w:r>
      <w:r>
        <w:rPr>
          <w:spacing w:val="-69"/>
        </w:rPr>
      </w:r>
      <w:r>
        <w:rPr>
          <w:spacing w:val="-2"/>
        </w:rPr>
        <w:t>智能产业技术创新战略联盟组织，产学研用通力协作的新一代人工智能开源开放平台，该平台是国家新一代人工智能实施过</w:t>
      </w:r>
      <w:r>
        <w:rPr>
          <w:spacing w:val="-64"/>
        </w:rPr>
        <w:t> </w:t>
      </w:r>
      <w:r>
        <w:rPr>
          <w:spacing w:val="-64"/>
        </w:rPr>
      </w:r>
      <w:r>
        <w:rPr/>
        <w:t>程中各种研发和产业力量的汇聚平台。</w:t>
      </w:r>
    </w:p>
    <w:p>
      <w:pPr>
        <w:spacing w:after="0" w:line="465" w:lineRule="auto"/>
        <w:jc w:val="both"/>
        <w:sectPr>
          <w:pgSz w:w="11910" w:h="16840"/>
          <w:pgMar w:header="851" w:footer="1187" w:top="1400" w:bottom="1380" w:left="980" w:right="0"/>
        </w:sectPr>
      </w:pPr>
    </w:p>
    <w:p>
      <w:pPr>
        <w:spacing w:line="240" w:lineRule="auto" w:before="7"/>
        <w:rPr>
          <w:rFonts w:ascii="宋体" w:hAnsi="宋体" w:cs="宋体" w:eastAsia="宋体" w:hint="default"/>
          <w:sz w:val="3"/>
          <w:szCs w:val="3"/>
        </w:rPr>
      </w:pPr>
    </w:p>
    <w:p>
      <w:pPr>
        <w:spacing w:line="5550" w:lineRule="exact"/>
        <w:ind w:left="116" w:right="0" w:firstLine="0"/>
        <w:rPr>
          <w:rFonts w:ascii="宋体" w:hAnsi="宋体" w:cs="宋体" w:eastAsia="宋体" w:hint="default"/>
          <w:sz w:val="20"/>
          <w:szCs w:val="20"/>
        </w:rPr>
      </w:pPr>
      <w:r>
        <w:rPr>
          <w:rFonts w:ascii="宋体" w:hAnsi="宋体" w:cs="宋体" w:eastAsia="宋体" w:hint="default"/>
          <w:position w:val="-110"/>
          <w:sz w:val="20"/>
          <w:szCs w:val="20"/>
        </w:rPr>
        <w:drawing>
          <wp:inline distT="0" distB="0" distL="0" distR="0">
            <wp:extent cx="6164613" cy="3524250"/>
            <wp:effectExtent l="0" t="0" r="0" b="0"/>
            <wp:docPr id="67" name="image72.png" descr=""/>
            <wp:cNvGraphicFramePr>
              <a:graphicFrameLocks noChangeAspect="1"/>
            </wp:cNvGraphicFramePr>
            <a:graphic>
              <a:graphicData uri="http://schemas.openxmlformats.org/drawingml/2006/picture">
                <pic:pic>
                  <pic:nvPicPr>
                    <pic:cNvPr id="68" name="image72.png"/>
                    <pic:cNvPicPr/>
                  </pic:nvPicPr>
                  <pic:blipFill>
                    <a:blip r:embed="rId79" cstate="print"/>
                    <a:stretch>
                      <a:fillRect/>
                    </a:stretch>
                  </pic:blipFill>
                  <pic:spPr>
                    <a:xfrm>
                      <a:off x="0" y="0"/>
                      <a:ext cx="6164613" cy="3524250"/>
                    </a:xfrm>
                    <a:prstGeom prst="rect">
                      <a:avLst/>
                    </a:prstGeom>
                  </pic:spPr>
                </pic:pic>
              </a:graphicData>
            </a:graphic>
          </wp:inline>
        </w:drawing>
      </w:r>
      <w:r>
        <w:rPr>
          <w:rFonts w:ascii="宋体" w:hAnsi="宋体" w:cs="宋体" w:eastAsia="宋体" w:hint="default"/>
          <w:position w:val="-110"/>
          <w:sz w:val="20"/>
          <w:szCs w:val="20"/>
        </w:rPr>
      </w:r>
    </w:p>
    <w:p>
      <w:pPr>
        <w:spacing w:line="240" w:lineRule="auto" w:before="9"/>
        <w:rPr>
          <w:rFonts w:ascii="宋体" w:hAnsi="宋体" w:cs="宋体" w:eastAsia="宋体" w:hint="default"/>
          <w:sz w:val="12"/>
          <w:szCs w:val="12"/>
        </w:rPr>
      </w:pPr>
    </w:p>
    <w:p>
      <w:pPr>
        <w:pStyle w:val="Heading5"/>
        <w:spacing w:line="240" w:lineRule="auto" w:before="44"/>
        <w:ind w:left="0" w:right="495"/>
        <w:jc w:val="center"/>
        <w:rPr>
          <w:b w:val="0"/>
          <w:bCs w:val="0"/>
        </w:rPr>
      </w:pPr>
      <w:r>
        <w:rPr/>
        <w:t>（</w:t>
      </w:r>
      <w:r>
        <w:rPr>
          <w:rFonts w:ascii="Times New Roman" w:hAnsi="Times New Roman" w:cs="Times New Roman" w:eastAsia="Times New Roman" w:hint="default"/>
        </w:rPr>
        <w:t>OpenI</w:t>
      </w:r>
      <w:r>
        <w:rPr>
          <w:rFonts w:ascii="Times New Roman" w:hAnsi="Times New Roman" w:cs="Times New Roman" w:eastAsia="Times New Roman" w:hint="default"/>
          <w:spacing w:val="42"/>
        </w:rPr>
        <w:t> </w:t>
      </w:r>
      <w:r>
        <w:rPr/>
        <w:t>启智平台发起成员名单）</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5"/>
          <w:szCs w:val="15"/>
        </w:rPr>
      </w:pPr>
    </w:p>
    <w:p>
      <w:pPr>
        <w:pStyle w:val="Heading5"/>
        <w:spacing w:line="240" w:lineRule="auto" w:before="44"/>
        <w:ind w:left="515" w:right="0"/>
        <w:jc w:val="left"/>
        <w:rPr>
          <w:b w:val="0"/>
          <w:bCs w:val="0"/>
        </w:rPr>
      </w:pPr>
      <w:r>
        <w:rPr>
          <w:rFonts w:ascii="Times New Roman" w:hAnsi="Times New Roman" w:cs="Times New Roman" w:eastAsia="Times New Roman" w:hint="default"/>
        </w:rPr>
        <w:t>D</w:t>
      </w:r>
      <w:r>
        <w:rPr/>
        <w:t>、众多奖项凸显市场认可</w:t>
      </w:r>
      <w:r>
        <w:rPr>
          <w:b w:val="0"/>
          <w:bCs w:val="0"/>
        </w:rPr>
      </w:r>
    </w:p>
    <w:p>
      <w:pPr>
        <w:spacing w:line="240" w:lineRule="auto" w:before="6"/>
        <w:rPr>
          <w:rFonts w:ascii="宋体" w:hAnsi="宋体" w:cs="宋体" w:eastAsia="宋体" w:hint="default"/>
          <w:b/>
          <w:bCs/>
          <w:sz w:val="19"/>
          <w:szCs w:val="19"/>
        </w:rPr>
      </w:pPr>
    </w:p>
    <w:p>
      <w:pPr>
        <w:spacing w:line="5061" w:lineRule="exact"/>
        <w:ind w:left="295" w:right="0" w:firstLine="0"/>
        <w:rPr>
          <w:rFonts w:ascii="宋体" w:hAnsi="宋体" w:cs="宋体" w:eastAsia="宋体" w:hint="default"/>
          <w:sz w:val="20"/>
          <w:szCs w:val="20"/>
        </w:rPr>
      </w:pPr>
      <w:r>
        <w:rPr>
          <w:rFonts w:ascii="宋体" w:hAnsi="宋体" w:cs="宋体" w:eastAsia="宋体" w:hint="default"/>
          <w:position w:val="-100"/>
          <w:sz w:val="20"/>
          <w:szCs w:val="20"/>
        </w:rPr>
        <w:drawing>
          <wp:inline distT="0" distB="0" distL="0" distR="0">
            <wp:extent cx="5950389" cy="3214116"/>
            <wp:effectExtent l="0" t="0" r="0" b="0"/>
            <wp:docPr id="69" name="image73.jpeg" descr=""/>
            <wp:cNvGraphicFramePr>
              <a:graphicFrameLocks noChangeAspect="1"/>
            </wp:cNvGraphicFramePr>
            <a:graphic>
              <a:graphicData uri="http://schemas.openxmlformats.org/drawingml/2006/picture">
                <pic:pic>
                  <pic:nvPicPr>
                    <pic:cNvPr id="70" name="image73.jpeg"/>
                    <pic:cNvPicPr/>
                  </pic:nvPicPr>
                  <pic:blipFill>
                    <a:blip r:embed="rId80" cstate="print"/>
                    <a:stretch>
                      <a:fillRect/>
                    </a:stretch>
                  </pic:blipFill>
                  <pic:spPr>
                    <a:xfrm>
                      <a:off x="0" y="0"/>
                      <a:ext cx="5950389" cy="3214116"/>
                    </a:xfrm>
                    <a:prstGeom prst="rect">
                      <a:avLst/>
                    </a:prstGeom>
                  </pic:spPr>
                </pic:pic>
              </a:graphicData>
            </a:graphic>
          </wp:inline>
        </w:drawing>
      </w:r>
      <w:r>
        <w:rPr>
          <w:rFonts w:ascii="宋体" w:hAnsi="宋体" w:cs="宋体" w:eastAsia="宋体" w:hint="default"/>
          <w:position w:val="-100"/>
          <w:sz w:val="20"/>
          <w:szCs w:val="20"/>
        </w:rPr>
      </w:r>
    </w:p>
    <w:p>
      <w:pPr>
        <w:spacing w:line="240" w:lineRule="auto" w:before="0"/>
        <w:rPr>
          <w:rFonts w:ascii="宋体" w:hAnsi="宋体" w:cs="宋体" w:eastAsia="宋体" w:hint="default"/>
          <w:b/>
          <w:bCs/>
          <w:sz w:val="18"/>
          <w:szCs w:val="18"/>
        </w:rPr>
      </w:pPr>
    </w:p>
    <w:p>
      <w:pPr>
        <w:pStyle w:val="Heading5"/>
        <w:spacing w:line="240" w:lineRule="auto" w:before="127"/>
        <w:ind w:left="0" w:right="617"/>
        <w:jc w:val="center"/>
        <w:rPr>
          <w:b w:val="0"/>
          <w:bCs w:val="0"/>
        </w:rPr>
      </w:pPr>
      <w:r>
        <w:rPr/>
        <w:t>（人工智能部分奖项展示）</w:t>
      </w:r>
      <w:r>
        <w:rPr>
          <w:b w:val="0"/>
          <w:bCs w:val="0"/>
        </w:rPr>
      </w:r>
    </w:p>
    <w:p>
      <w:pPr>
        <w:spacing w:after="0" w:line="240" w:lineRule="auto"/>
        <w:jc w:val="center"/>
        <w:sectPr>
          <w:pgSz w:w="11910" w:h="16840"/>
          <w:pgMar w:header="851" w:footer="1187" w:top="1400" w:bottom="1380" w:left="980" w:right="0"/>
        </w:sectPr>
      </w:pPr>
    </w:p>
    <w:p>
      <w:pPr>
        <w:spacing w:line="240" w:lineRule="auto" w:before="7"/>
        <w:rPr>
          <w:rFonts w:ascii="宋体" w:hAnsi="宋体" w:cs="宋体" w:eastAsia="宋体" w:hint="default"/>
          <w:b/>
          <w:bCs/>
          <w:sz w:val="3"/>
          <w:szCs w:val="3"/>
        </w:rPr>
      </w:pPr>
    </w:p>
    <w:p>
      <w:pPr>
        <w:spacing w:line="20" w:lineRule="exact"/>
        <w:ind w:left="1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before="83"/>
        <w:ind w:left="594" w:right="0"/>
        <w:jc w:val="left"/>
      </w:pPr>
      <w:r>
        <w:rPr/>
        <w:t>报告期内，公司在人工智能大数据领域主要获得的奖项包含：</w:t>
      </w:r>
    </w:p>
    <w:p>
      <w:pPr>
        <w:spacing w:line="240" w:lineRule="auto" w:before="13"/>
        <w:rPr>
          <w:rFonts w:ascii="宋体" w:hAnsi="宋体" w:cs="宋体" w:eastAsia="宋体" w:hint="default"/>
          <w:sz w:val="10"/>
          <w:szCs w:val="10"/>
        </w:rPr>
      </w:pPr>
    </w:p>
    <w:tbl>
      <w:tblPr>
        <w:tblW w:w="0" w:type="auto"/>
        <w:jc w:val="left"/>
        <w:tblInd w:w="111" w:type="dxa"/>
        <w:tblLayout w:type="fixed"/>
        <w:tblCellMar>
          <w:top w:w="0" w:type="dxa"/>
          <w:left w:w="0" w:type="dxa"/>
          <w:bottom w:w="0" w:type="dxa"/>
          <w:right w:w="0" w:type="dxa"/>
        </w:tblCellMar>
        <w:tblLook w:val="01E0"/>
      </w:tblPr>
      <w:tblGrid>
        <w:gridCol w:w="9856"/>
      </w:tblGrid>
      <w:tr>
        <w:trPr>
          <w:trHeight w:val="499" w:hRule="exact"/>
        </w:trPr>
        <w:tc>
          <w:tcPr>
            <w:tcW w:w="9856" w:type="dxa"/>
            <w:tcBorders>
              <w:top w:val="single" w:sz="12" w:space="0" w:color="5B9BD4"/>
              <w:left w:val="single" w:sz="12" w:space="0" w:color="5B9BD4"/>
              <w:bottom w:val="single" w:sz="12" w:space="0" w:color="5B9BD4"/>
              <w:right w:val="single" w:sz="12" w:space="0" w:color="5B9BD4"/>
            </w:tcBorders>
          </w:tcPr>
          <w:p>
            <w:pPr>
              <w:pStyle w:val="TableParagraph"/>
              <w:spacing w:line="240" w:lineRule="auto" w:before="89"/>
              <w:ind w:left="93" w:right="0"/>
              <w:jc w:val="left"/>
              <w:rPr>
                <w:rFonts w:ascii="宋体" w:hAnsi="宋体" w:cs="宋体" w:eastAsia="宋体" w:hint="default"/>
                <w:sz w:val="18"/>
                <w:szCs w:val="18"/>
              </w:rPr>
            </w:pPr>
            <w:r>
              <w:rPr>
                <w:rFonts w:ascii="宋体" w:hAnsi="宋体" w:cs="宋体" w:eastAsia="宋体" w:hint="default"/>
                <w:sz w:val="18"/>
                <w:szCs w:val="18"/>
              </w:rPr>
              <w:t>在</w:t>
            </w:r>
            <w:r>
              <w:rPr>
                <w:rFonts w:ascii="Times New Roman" w:hAnsi="Times New Roman" w:cs="Times New Roman" w:eastAsia="Times New Roman" w:hint="default"/>
                <w:sz w:val="18"/>
                <w:szCs w:val="18"/>
              </w:rPr>
              <w:t>2018</w:t>
            </w:r>
            <w:r>
              <w:rPr>
                <w:rFonts w:ascii="宋体" w:hAnsi="宋体" w:cs="宋体" w:eastAsia="宋体" w:hint="default"/>
                <w:sz w:val="18"/>
                <w:szCs w:val="18"/>
              </w:rPr>
              <w:t>年中国软件大会上荣获“中国软件和信息服务业</w:t>
            </w:r>
            <w:r>
              <w:rPr>
                <w:rFonts w:ascii="Times New Roman" w:hAnsi="Times New Roman" w:cs="Times New Roman" w:eastAsia="Times New Roman" w:hint="default"/>
                <w:sz w:val="18"/>
                <w:szCs w:val="18"/>
              </w:rPr>
              <w:t>•2018</w:t>
            </w:r>
            <w:r>
              <w:rPr>
                <w:rFonts w:ascii="宋体" w:hAnsi="宋体" w:cs="宋体" w:eastAsia="宋体" w:hint="default"/>
                <w:sz w:val="18"/>
                <w:szCs w:val="18"/>
              </w:rPr>
              <w:t>中国人工智能领军企业”称号</w:t>
            </w:r>
          </w:p>
        </w:tc>
      </w:tr>
      <w:tr>
        <w:trPr>
          <w:trHeight w:val="966" w:hRule="exact"/>
        </w:trPr>
        <w:tc>
          <w:tcPr>
            <w:tcW w:w="9856" w:type="dxa"/>
            <w:tcBorders>
              <w:top w:val="single" w:sz="12" w:space="0" w:color="5B9BD4"/>
              <w:left w:val="single" w:sz="12" w:space="0" w:color="5B9BD4"/>
              <w:bottom w:val="single" w:sz="12" w:space="0" w:color="5B9BD4"/>
              <w:right w:val="single" w:sz="12" w:space="0" w:color="5B9BD4"/>
            </w:tcBorders>
            <w:shd w:val="clear" w:color="auto" w:fill="DEEAF6"/>
          </w:tcPr>
          <w:p>
            <w:pPr>
              <w:pStyle w:val="TableParagraph"/>
              <w:spacing w:line="240" w:lineRule="auto" w:before="89"/>
              <w:ind w:left="93" w:right="0"/>
              <w:jc w:val="left"/>
              <w:rPr>
                <w:rFonts w:ascii="宋体" w:hAnsi="宋体" w:cs="宋体" w:eastAsia="宋体" w:hint="default"/>
                <w:sz w:val="18"/>
                <w:szCs w:val="18"/>
              </w:rPr>
            </w:pPr>
            <w:r>
              <w:rPr>
                <w:rFonts w:ascii="宋体" w:hAnsi="宋体" w:cs="宋体" w:eastAsia="宋体" w:hint="default"/>
                <w:sz w:val="18"/>
                <w:szCs w:val="18"/>
              </w:rPr>
              <w:t>“泰岳语义工厂”被评为优秀人工智能（</w:t>
            </w:r>
            <w:r>
              <w:rPr>
                <w:rFonts w:ascii="Times New Roman" w:hAnsi="Times New Roman" w:cs="Times New Roman" w:eastAsia="Times New Roman" w:hint="default"/>
                <w:sz w:val="18"/>
                <w:szCs w:val="18"/>
              </w:rPr>
              <w:t>AI</w:t>
            </w:r>
            <w:r>
              <w:rPr>
                <w:rFonts w:ascii="宋体" w:hAnsi="宋体" w:cs="宋体" w:eastAsia="宋体" w:hint="default"/>
                <w:sz w:val="18"/>
                <w:szCs w:val="18"/>
              </w:rPr>
              <w:t>）产品并获“人工智能算法类产品认定证书”，荣获机器之心</w:t>
            </w:r>
            <w:r>
              <w:rPr>
                <w:rFonts w:ascii="Times New Roman" w:hAnsi="Times New Roman" w:cs="Times New Roman" w:eastAsia="Times New Roman" w:hint="default"/>
                <w:sz w:val="18"/>
                <w:szCs w:val="18"/>
              </w:rPr>
              <w:t>2018</w:t>
            </w:r>
            <w:r>
              <w:rPr>
                <w:rFonts w:ascii="宋体" w:hAnsi="宋体" w:cs="宋体" w:eastAsia="宋体" w:hint="default"/>
                <w:sz w:val="18"/>
                <w:szCs w:val="18"/>
              </w:rPr>
              <w:t>年最具创新</w:t>
            </w: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AI</w:t>
            </w:r>
            <w:r>
              <w:rPr>
                <w:rFonts w:ascii="宋体" w:hAnsi="宋体" w:cs="宋体" w:eastAsia="宋体" w:hint="default"/>
                <w:sz w:val="18"/>
                <w:szCs w:val="18"/>
              </w:rPr>
              <w:t>产品</w:t>
            </w:r>
            <w:r>
              <w:rPr>
                <w:rFonts w:ascii="Times New Roman" w:hAnsi="Times New Roman" w:cs="Times New Roman" w:eastAsia="Times New Roman" w:hint="default"/>
                <w:sz w:val="18"/>
                <w:szCs w:val="18"/>
              </w:rPr>
              <w:t>/</w:t>
            </w:r>
            <w:r>
              <w:rPr>
                <w:rFonts w:ascii="宋体" w:hAnsi="宋体" w:cs="宋体" w:eastAsia="宋体" w:hint="default"/>
                <w:sz w:val="18"/>
                <w:szCs w:val="18"/>
              </w:rPr>
              <w:t>解决方案奖</w:t>
            </w:r>
          </w:p>
        </w:tc>
      </w:tr>
      <w:tr>
        <w:trPr>
          <w:trHeight w:val="499" w:hRule="exact"/>
        </w:trPr>
        <w:tc>
          <w:tcPr>
            <w:tcW w:w="9856" w:type="dxa"/>
            <w:tcBorders>
              <w:top w:val="single" w:sz="12" w:space="0" w:color="5B9BD4"/>
              <w:left w:val="single" w:sz="12" w:space="0" w:color="5B9BD4"/>
              <w:bottom w:val="single" w:sz="12" w:space="0" w:color="5B9BD4"/>
              <w:right w:val="single" w:sz="12" w:space="0" w:color="5B9BD4"/>
            </w:tcBorders>
          </w:tcPr>
          <w:p>
            <w:pPr>
              <w:pStyle w:val="TableParagraph"/>
              <w:spacing w:line="240" w:lineRule="auto" w:before="89"/>
              <w:ind w:left="93" w:right="0"/>
              <w:jc w:val="left"/>
              <w:rPr>
                <w:rFonts w:ascii="宋体" w:hAnsi="宋体" w:cs="宋体" w:eastAsia="宋体" w:hint="default"/>
                <w:sz w:val="18"/>
                <w:szCs w:val="18"/>
              </w:rPr>
            </w:pPr>
            <w:r>
              <w:rPr>
                <w:rFonts w:ascii="宋体" w:hAnsi="宋体" w:cs="宋体" w:eastAsia="宋体" w:hint="default"/>
                <w:sz w:val="18"/>
                <w:szCs w:val="18"/>
              </w:rPr>
              <w:t>公司客户大数据分析平台荣获 </w:t>
            </w:r>
            <w:r>
              <w:rPr>
                <w:rFonts w:ascii="Times New Roman" w:hAnsi="Times New Roman" w:cs="Times New Roman" w:eastAsia="Times New Roman" w:hint="default"/>
                <w:sz w:val="18"/>
                <w:szCs w:val="18"/>
              </w:rPr>
              <w:t>CTI</w:t>
            </w:r>
            <w:r>
              <w:rPr>
                <w:rFonts w:ascii="宋体" w:hAnsi="宋体" w:cs="宋体" w:eastAsia="宋体" w:hint="default"/>
                <w:sz w:val="18"/>
                <w:szCs w:val="18"/>
              </w:rPr>
              <w:t>论坛</w:t>
            </w:r>
            <w:r>
              <w:rPr>
                <w:rFonts w:ascii="Times New Roman" w:hAnsi="Times New Roman" w:cs="Times New Roman" w:eastAsia="Times New Roman" w:hint="default"/>
                <w:sz w:val="18"/>
                <w:szCs w:val="18"/>
              </w:rPr>
              <w:t>2018</w:t>
            </w:r>
            <w:r>
              <w:rPr>
                <w:rFonts w:ascii="宋体" w:hAnsi="宋体" w:cs="宋体" w:eastAsia="宋体" w:hint="default"/>
                <w:sz w:val="18"/>
                <w:szCs w:val="18"/>
              </w:rPr>
              <w:t>年度编辑推荐奖</w:t>
            </w:r>
          </w:p>
        </w:tc>
      </w:tr>
      <w:tr>
        <w:trPr>
          <w:trHeight w:val="497" w:hRule="exact"/>
        </w:trPr>
        <w:tc>
          <w:tcPr>
            <w:tcW w:w="9856" w:type="dxa"/>
            <w:tcBorders>
              <w:top w:val="single" w:sz="12" w:space="0" w:color="5B9BD4"/>
              <w:left w:val="single" w:sz="12" w:space="0" w:color="5B9BD4"/>
              <w:bottom w:val="single" w:sz="12" w:space="0" w:color="5B9BD4"/>
              <w:right w:val="single" w:sz="12" w:space="0" w:color="5B9BD4"/>
            </w:tcBorders>
            <w:shd w:val="clear" w:color="auto" w:fill="DEEAF6"/>
          </w:tcPr>
          <w:p>
            <w:pPr>
              <w:pStyle w:val="TableParagraph"/>
              <w:spacing w:line="240" w:lineRule="auto" w:before="89"/>
              <w:ind w:left="93" w:right="0"/>
              <w:jc w:val="left"/>
              <w:rPr>
                <w:rFonts w:ascii="宋体" w:hAnsi="宋体" w:cs="宋体" w:eastAsia="宋体" w:hint="default"/>
                <w:sz w:val="18"/>
                <w:szCs w:val="18"/>
              </w:rPr>
            </w:pPr>
            <w:r>
              <w:rPr>
                <w:rFonts w:ascii="宋体" w:hAnsi="宋体" w:cs="宋体" w:eastAsia="宋体" w:hint="default"/>
                <w:sz w:val="18"/>
                <w:szCs w:val="18"/>
              </w:rPr>
              <w:t>凭借在</w:t>
            </w:r>
            <w:r>
              <w:rPr>
                <w:rFonts w:ascii="Times New Roman" w:hAnsi="Times New Roman" w:cs="Times New Roman" w:eastAsia="Times New Roman" w:hint="default"/>
                <w:sz w:val="18"/>
                <w:szCs w:val="18"/>
              </w:rPr>
              <w:t>AI+</w:t>
            </w:r>
            <w:r>
              <w:rPr>
                <w:rFonts w:ascii="宋体" w:hAnsi="宋体" w:cs="宋体" w:eastAsia="宋体" w:hint="default"/>
                <w:sz w:val="18"/>
                <w:szCs w:val="18"/>
              </w:rPr>
              <w:t>金融领域的出色表现，摘得雷锋网「</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AI</w:t>
            </w:r>
            <w:r>
              <w:rPr>
                <w:rFonts w:ascii="宋体" w:hAnsi="宋体" w:cs="宋体" w:eastAsia="宋体" w:hint="default"/>
                <w:sz w:val="18"/>
                <w:szCs w:val="18"/>
              </w:rPr>
              <w:t>最佳掘金案例年度榜单」中“最佳智能风控奖”</w:t>
            </w:r>
          </w:p>
        </w:tc>
      </w:tr>
      <w:tr>
        <w:trPr>
          <w:trHeight w:val="967" w:hRule="exact"/>
        </w:trPr>
        <w:tc>
          <w:tcPr>
            <w:tcW w:w="9856" w:type="dxa"/>
            <w:tcBorders>
              <w:top w:val="single" w:sz="12" w:space="0" w:color="5B9BD4"/>
              <w:left w:val="single" w:sz="12" w:space="0" w:color="5B9BD4"/>
              <w:bottom w:val="single" w:sz="12" w:space="0" w:color="5B9BD4"/>
              <w:right w:val="single" w:sz="12" w:space="0" w:color="5B9BD4"/>
            </w:tcBorders>
          </w:tcPr>
          <w:p>
            <w:pPr>
              <w:pStyle w:val="TableParagraph"/>
              <w:spacing w:line="451" w:lineRule="auto" w:before="89"/>
              <w:ind w:left="93" w:right="92"/>
              <w:jc w:val="left"/>
              <w:rPr>
                <w:rFonts w:ascii="宋体" w:hAnsi="宋体" w:cs="宋体" w:eastAsia="宋体" w:hint="default"/>
                <w:sz w:val="18"/>
                <w:szCs w:val="18"/>
              </w:rPr>
            </w:pPr>
            <w:r>
              <w:rPr>
                <w:rFonts w:ascii="宋体" w:hAnsi="宋体" w:cs="宋体" w:eastAsia="宋体" w:hint="default"/>
                <w:spacing w:val="-2"/>
                <w:sz w:val="18"/>
                <w:szCs w:val="18"/>
              </w:rPr>
              <w:t>荣登由中国科学院《互联网周刊》、中国社会科学院信息化研究中心、</w:t>
            </w:r>
            <w:r>
              <w:rPr>
                <w:rFonts w:ascii="Times New Roman" w:hAnsi="Times New Roman" w:cs="Times New Roman" w:eastAsia="Times New Roman" w:hint="default"/>
                <w:spacing w:val="-2"/>
                <w:sz w:val="18"/>
                <w:szCs w:val="18"/>
              </w:rPr>
              <w:t>eNet</w:t>
            </w:r>
            <w:r>
              <w:rPr>
                <w:rFonts w:ascii="宋体" w:hAnsi="宋体" w:cs="宋体" w:eastAsia="宋体" w:hint="default"/>
                <w:spacing w:val="-2"/>
                <w:sz w:val="18"/>
                <w:szCs w:val="18"/>
              </w:rPr>
              <w:t>硅谷动力共同评选的“</w:t>
            </w:r>
            <w:r>
              <w:rPr>
                <w:rFonts w:ascii="Times New Roman" w:hAnsi="Times New Roman" w:cs="Times New Roman" w:eastAsia="Times New Roman" w:hint="default"/>
                <w:spacing w:val="-2"/>
                <w:sz w:val="18"/>
                <w:szCs w:val="18"/>
              </w:rPr>
              <w:t>2018</w:t>
            </w:r>
            <w:r>
              <w:rPr>
                <w:rFonts w:ascii="宋体" w:hAnsi="宋体" w:cs="宋体" w:eastAsia="宋体" w:hint="default"/>
                <w:spacing w:val="-2"/>
                <w:sz w:val="18"/>
                <w:szCs w:val="18"/>
              </w:rPr>
              <w:t>人工智能未来企业排</w:t>
            </w:r>
            <w:r>
              <w:rPr>
                <w:rFonts w:ascii="宋体" w:hAnsi="宋体" w:cs="宋体" w:eastAsia="宋体" w:hint="default"/>
                <w:spacing w:val="-39"/>
                <w:sz w:val="18"/>
                <w:szCs w:val="18"/>
              </w:rPr>
              <w:t> </w:t>
            </w:r>
            <w:r>
              <w:rPr>
                <w:rFonts w:ascii="宋体" w:hAnsi="宋体" w:cs="宋体" w:eastAsia="宋体" w:hint="default"/>
                <w:sz w:val="18"/>
                <w:szCs w:val="18"/>
              </w:rPr>
              <w:t>行榜”，同期上榜的还有百度、腾讯、华为、阿里巴巴等科技巨头</w:t>
            </w:r>
          </w:p>
        </w:tc>
      </w:tr>
      <w:tr>
        <w:trPr>
          <w:trHeight w:val="1433" w:hRule="exact"/>
        </w:trPr>
        <w:tc>
          <w:tcPr>
            <w:tcW w:w="9856" w:type="dxa"/>
            <w:tcBorders>
              <w:top w:val="single" w:sz="12" w:space="0" w:color="5B9BD4"/>
              <w:left w:val="single" w:sz="12" w:space="0" w:color="5B9BD4"/>
              <w:bottom w:val="single" w:sz="12" w:space="0" w:color="5B9BD4"/>
              <w:right w:val="single" w:sz="12" w:space="0" w:color="5B9BD4"/>
            </w:tcBorders>
            <w:shd w:val="clear" w:color="auto" w:fill="DEEAF6"/>
          </w:tcPr>
          <w:p>
            <w:pPr>
              <w:pStyle w:val="TableParagraph"/>
              <w:spacing w:line="240" w:lineRule="auto" w:before="89"/>
              <w:ind w:left="93" w:right="0"/>
              <w:jc w:val="left"/>
              <w:rPr>
                <w:rFonts w:ascii="宋体" w:hAnsi="宋体" w:cs="宋体" w:eastAsia="宋体" w:hint="default"/>
                <w:sz w:val="18"/>
                <w:szCs w:val="18"/>
              </w:rPr>
            </w:pPr>
            <w:r>
              <w:rPr>
                <w:rFonts w:ascii="宋体" w:hAnsi="宋体" w:cs="宋体" w:eastAsia="宋体" w:hint="default"/>
                <w:sz w:val="18"/>
                <w:szCs w:val="18"/>
              </w:rPr>
              <w:t>在由工业和信息化部、上海市人民政府主办，国家工业信息安全发展研究中心、上海市经济和信息化委员会承办的</w:t>
            </w:r>
            <w:r>
              <w:rPr>
                <w:rFonts w:ascii="Times New Roman" w:hAnsi="Times New Roman" w:cs="Times New Roman" w:eastAsia="Times New Roman" w:hint="default"/>
                <w:sz w:val="18"/>
                <w:szCs w:val="18"/>
              </w:rPr>
              <w:t>2018</w:t>
            </w:r>
            <w:r>
              <w:rPr>
                <w:rFonts w:ascii="宋体" w:hAnsi="宋体" w:cs="宋体" w:eastAsia="宋体" w:hint="default"/>
                <w:sz w:val="18"/>
                <w:szCs w:val="18"/>
              </w:rPr>
              <w:t>世界</w:t>
            </w:r>
          </w:p>
          <w:p>
            <w:pPr>
              <w:pStyle w:val="TableParagraph"/>
              <w:spacing w:line="468" w:lineRule="exact" w:before="54"/>
              <w:ind w:left="93" w:right="92"/>
              <w:jc w:val="left"/>
              <w:rPr>
                <w:rFonts w:ascii="宋体" w:hAnsi="宋体" w:cs="宋体" w:eastAsia="宋体" w:hint="default"/>
                <w:sz w:val="18"/>
                <w:szCs w:val="18"/>
              </w:rPr>
            </w:pPr>
            <w:r>
              <w:rPr>
                <w:rFonts w:ascii="宋体" w:hAnsi="宋体" w:cs="宋体" w:eastAsia="宋体" w:hint="default"/>
                <w:spacing w:val="4"/>
                <w:sz w:val="18"/>
                <w:szCs w:val="18"/>
              </w:rPr>
              <w:t>人工智能大会“人工智能与实体经济深度融合发展论坛”上，公司“自然语言处理技术产品研发及产业应用”成功入选</w:t>
            </w:r>
            <w:r>
              <w:rPr>
                <w:rFonts w:ascii="宋体" w:hAnsi="宋体" w:cs="宋体" w:eastAsia="宋体" w:hint="default"/>
                <w:spacing w:val="-53"/>
                <w:sz w:val="18"/>
                <w:szCs w:val="18"/>
              </w:rPr>
              <w:t> </w:t>
            </w:r>
            <w:r>
              <w:rPr>
                <w:rFonts w:ascii="宋体" w:hAnsi="宋体" w:cs="宋体" w:eastAsia="宋体" w:hint="default"/>
                <w:spacing w:val="-53"/>
                <w:sz w:val="18"/>
                <w:szCs w:val="18"/>
              </w:rPr>
            </w: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宋体" w:hAnsi="宋体" w:cs="宋体" w:eastAsia="宋体" w:hint="default"/>
                <w:sz w:val="18"/>
                <w:szCs w:val="18"/>
              </w:rPr>
              <w:t>年人工智能与实体经济深度融合创新项目”</w:t>
            </w:r>
          </w:p>
        </w:tc>
      </w:tr>
      <w:tr>
        <w:trPr>
          <w:trHeight w:val="499" w:hRule="exact"/>
        </w:trPr>
        <w:tc>
          <w:tcPr>
            <w:tcW w:w="9856" w:type="dxa"/>
            <w:tcBorders>
              <w:top w:val="single" w:sz="12" w:space="0" w:color="5B9BD4"/>
              <w:left w:val="single" w:sz="12" w:space="0" w:color="5B9BD4"/>
              <w:bottom w:val="single" w:sz="12" w:space="0" w:color="5B9BD4"/>
              <w:right w:val="single" w:sz="12" w:space="0" w:color="5B9BD4"/>
            </w:tcBorders>
          </w:tcPr>
          <w:p>
            <w:pPr>
              <w:pStyle w:val="TableParagraph"/>
              <w:spacing w:line="240" w:lineRule="auto" w:before="89"/>
              <w:ind w:left="93" w:right="0"/>
              <w:jc w:val="left"/>
              <w:rPr>
                <w:rFonts w:ascii="宋体" w:hAnsi="宋体" w:cs="宋体" w:eastAsia="宋体" w:hint="default"/>
                <w:sz w:val="18"/>
                <w:szCs w:val="18"/>
              </w:rPr>
            </w:pPr>
            <w:r>
              <w:rPr>
                <w:rFonts w:ascii="宋体" w:hAnsi="宋体" w:cs="宋体" w:eastAsia="宋体" w:hint="default"/>
                <w:sz w:val="18"/>
                <w:szCs w:val="18"/>
              </w:rPr>
              <w:t>入围《互联网周刊》和</w:t>
            </w:r>
            <w:r>
              <w:rPr>
                <w:rFonts w:ascii="Times New Roman" w:hAnsi="Times New Roman" w:cs="Times New Roman" w:eastAsia="Times New Roman" w:hint="default"/>
                <w:sz w:val="18"/>
                <w:szCs w:val="18"/>
              </w:rPr>
              <w:t>eNet</w:t>
            </w:r>
            <w:r>
              <w:rPr>
                <w:rFonts w:ascii="宋体" w:hAnsi="宋体" w:cs="宋体" w:eastAsia="宋体" w:hint="default"/>
                <w:sz w:val="18"/>
                <w:szCs w:val="18"/>
              </w:rPr>
              <w:t>研究院评选的“</w:t>
            </w:r>
            <w:r>
              <w:rPr>
                <w:rFonts w:ascii="Times New Roman" w:hAnsi="Times New Roman" w:cs="Times New Roman" w:eastAsia="Times New Roman" w:hint="default"/>
                <w:sz w:val="18"/>
                <w:szCs w:val="18"/>
              </w:rPr>
              <w:t>2018</w:t>
            </w:r>
            <w:r>
              <w:rPr>
                <w:rFonts w:ascii="宋体" w:hAnsi="宋体" w:cs="宋体" w:eastAsia="宋体" w:hint="default"/>
                <w:sz w:val="18"/>
                <w:szCs w:val="18"/>
              </w:rPr>
              <w:t>年度人工智能企业</w:t>
            </w:r>
            <w:r>
              <w:rPr>
                <w:rFonts w:ascii="Times New Roman" w:hAnsi="Times New Roman" w:cs="Times New Roman" w:eastAsia="Times New Roman" w:hint="default"/>
                <w:sz w:val="18"/>
                <w:szCs w:val="18"/>
              </w:rPr>
              <w:t>100</w:t>
            </w:r>
            <w:r>
              <w:rPr>
                <w:rFonts w:ascii="宋体" w:hAnsi="宋体" w:cs="宋体" w:eastAsia="宋体" w:hint="default"/>
                <w:sz w:val="18"/>
                <w:szCs w:val="18"/>
              </w:rPr>
              <w:t>强”</w:t>
            </w:r>
          </w:p>
        </w:tc>
      </w:tr>
      <w:tr>
        <w:trPr>
          <w:trHeight w:val="497" w:hRule="exact"/>
        </w:trPr>
        <w:tc>
          <w:tcPr>
            <w:tcW w:w="9856" w:type="dxa"/>
            <w:tcBorders>
              <w:top w:val="single" w:sz="12" w:space="0" w:color="5B9BD4"/>
              <w:left w:val="single" w:sz="12" w:space="0" w:color="5B9BD4"/>
              <w:bottom w:val="single" w:sz="12" w:space="0" w:color="5B9BD4"/>
              <w:right w:val="single" w:sz="12" w:space="0" w:color="5B9BD4"/>
            </w:tcBorders>
            <w:shd w:val="clear" w:color="auto" w:fill="DEEAF6"/>
          </w:tcPr>
          <w:p>
            <w:pPr>
              <w:pStyle w:val="TableParagraph"/>
              <w:spacing w:line="240" w:lineRule="auto" w:before="89"/>
              <w:ind w:left="93" w:right="0"/>
              <w:jc w:val="left"/>
              <w:rPr>
                <w:rFonts w:ascii="宋体" w:hAnsi="宋体" w:cs="宋体" w:eastAsia="宋体" w:hint="default"/>
                <w:sz w:val="18"/>
                <w:szCs w:val="18"/>
              </w:rPr>
            </w:pPr>
            <w:r>
              <w:rPr>
                <w:rFonts w:ascii="宋体" w:hAnsi="宋体" w:cs="宋体" w:eastAsia="宋体" w:hint="default"/>
                <w:sz w:val="18"/>
                <w:szCs w:val="18"/>
              </w:rPr>
              <w:t>入选由《互联网周刊》和</w:t>
            </w:r>
            <w:r>
              <w:rPr>
                <w:rFonts w:ascii="Times New Roman" w:hAnsi="Times New Roman" w:cs="Times New Roman" w:eastAsia="Times New Roman" w:hint="default"/>
                <w:sz w:val="18"/>
                <w:szCs w:val="18"/>
              </w:rPr>
              <w:t>eNet</w:t>
            </w:r>
            <w:r>
              <w:rPr>
                <w:rFonts w:ascii="宋体" w:hAnsi="宋体" w:cs="宋体" w:eastAsia="宋体" w:hint="default"/>
                <w:sz w:val="18"/>
                <w:szCs w:val="18"/>
              </w:rPr>
              <w:t>研究院联合发布的“数字中国推动者</w:t>
            </w:r>
            <w:r>
              <w:rPr>
                <w:rFonts w:ascii="Times New Roman" w:hAnsi="Times New Roman" w:cs="Times New Roman" w:eastAsia="Times New Roman" w:hint="default"/>
                <w:sz w:val="18"/>
                <w:szCs w:val="18"/>
              </w:rPr>
              <w:t>TOP100</w:t>
            </w:r>
            <w:r>
              <w:rPr>
                <w:rFonts w:ascii="宋体" w:hAnsi="宋体" w:cs="宋体" w:eastAsia="宋体" w:hint="default"/>
                <w:sz w:val="18"/>
                <w:szCs w:val="18"/>
              </w:rPr>
              <w:t>”榜单</w:t>
            </w:r>
          </w:p>
        </w:tc>
      </w:tr>
      <w:tr>
        <w:trPr>
          <w:trHeight w:val="967" w:hRule="exact"/>
        </w:trPr>
        <w:tc>
          <w:tcPr>
            <w:tcW w:w="9856" w:type="dxa"/>
            <w:tcBorders>
              <w:top w:val="single" w:sz="12" w:space="0" w:color="5B9BD4"/>
              <w:left w:val="single" w:sz="12" w:space="0" w:color="5B9BD4"/>
              <w:bottom w:val="single" w:sz="12" w:space="0" w:color="5B9BD4"/>
              <w:right w:val="single" w:sz="12" w:space="0" w:color="5B9BD4"/>
            </w:tcBorders>
          </w:tcPr>
          <w:p>
            <w:pPr>
              <w:pStyle w:val="TableParagraph"/>
              <w:spacing w:line="240" w:lineRule="auto" w:before="89"/>
              <w:ind w:left="93" w:right="0"/>
              <w:jc w:val="left"/>
              <w:rPr>
                <w:rFonts w:ascii="宋体" w:hAnsi="宋体" w:cs="宋体" w:eastAsia="宋体" w:hint="default"/>
                <w:sz w:val="18"/>
                <w:szCs w:val="18"/>
              </w:rPr>
            </w:pPr>
            <w:r>
              <w:rPr>
                <w:rFonts w:ascii="宋体" w:hAnsi="宋体" w:cs="宋体" w:eastAsia="宋体" w:hint="default"/>
                <w:sz w:val="18"/>
                <w:szCs w:val="18"/>
              </w:rPr>
              <w:t>入围由工信部中国电子信息产业发展研究院与中国大数据产业生态联盟共同发布了“中国大数据企业</w:t>
            </w:r>
            <w:r>
              <w:rPr>
                <w:rFonts w:ascii="Times New Roman" w:hAnsi="Times New Roman" w:cs="Times New Roman" w:eastAsia="Times New Roman" w:hint="default"/>
                <w:sz w:val="18"/>
                <w:szCs w:val="18"/>
              </w:rPr>
              <w:t>50</w:t>
            </w:r>
            <w:r>
              <w:rPr>
                <w:rFonts w:ascii="宋体" w:hAnsi="宋体" w:cs="宋体" w:eastAsia="宋体" w:hint="default"/>
                <w:sz w:val="18"/>
                <w:szCs w:val="18"/>
              </w:rPr>
              <w:t>强”榜单，并摘得</w:t>
            </w: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宋体" w:hAnsi="宋体" w:cs="宋体" w:eastAsia="宋体" w:hint="default"/>
                <w:sz w:val="18"/>
                <w:szCs w:val="18"/>
              </w:rPr>
              <w:t>中国大数据企业</w:t>
            </w:r>
            <w:r>
              <w:rPr>
                <w:rFonts w:ascii="Times New Roman" w:hAnsi="Times New Roman" w:cs="Times New Roman" w:eastAsia="Times New Roman" w:hint="default"/>
                <w:sz w:val="18"/>
                <w:szCs w:val="18"/>
              </w:rPr>
              <w:t>50</w:t>
            </w:r>
            <w:r>
              <w:rPr>
                <w:rFonts w:ascii="宋体" w:hAnsi="宋体" w:cs="宋体" w:eastAsia="宋体" w:hint="default"/>
                <w:sz w:val="18"/>
                <w:szCs w:val="18"/>
              </w:rPr>
              <w:t>强”、“</w:t>
            </w:r>
            <w:r>
              <w:rPr>
                <w:rFonts w:ascii="Times New Roman" w:hAnsi="Times New Roman" w:cs="Times New Roman" w:eastAsia="Times New Roman" w:hint="default"/>
                <w:sz w:val="18"/>
                <w:szCs w:val="18"/>
              </w:rPr>
              <w:t>2018</w:t>
            </w:r>
            <w:r>
              <w:rPr>
                <w:rFonts w:ascii="宋体" w:hAnsi="宋体" w:cs="宋体" w:eastAsia="宋体" w:hint="default"/>
                <w:sz w:val="18"/>
                <w:szCs w:val="18"/>
              </w:rPr>
              <w:t>中国大数据</w:t>
            </w:r>
            <w:r>
              <w:rPr>
                <w:rFonts w:ascii="Times New Roman" w:hAnsi="Times New Roman" w:cs="Times New Roman" w:eastAsia="Times New Roman" w:hint="default"/>
                <w:sz w:val="18"/>
                <w:szCs w:val="18"/>
              </w:rPr>
              <w:t>•</w:t>
            </w:r>
            <w:r>
              <w:rPr>
                <w:rFonts w:ascii="宋体" w:hAnsi="宋体" w:cs="宋体" w:eastAsia="宋体" w:hint="default"/>
                <w:sz w:val="18"/>
                <w:szCs w:val="18"/>
              </w:rPr>
              <w:t>数据分析领域最佳创新应用奖”奖项</w:t>
            </w:r>
          </w:p>
        </w:tc>
      </w:tr>
      <w:tr>
        <w:trPr>
          <w:trHeight w:val="966" w:hRule="exact"/>
        </w:trPr>
        <w:tc>
          <w:tcPr>
            <w:tcW w:w="9856" w:type="dxa"/>
            <w:tcBorders>
              <w:top w:val="single" w:sz="12" w:space="0" w:color="5B9BD4"/>
              <w:left w:val="single" w:sz="12" w:space="0" w:color="5B9BD4"/>
              <w:bottom w:val="single" w:sz="12" w:space="0" w:color="5B9BD4"/>
              <w:right w:val="single" w:sz="12" w:space="0" w:color="5B9BD4"/>
            </w:tcBorders>
            <w:shd w:val="clear" w:color="auto" w:fill="DEEAF6"/>
          </w:tcPr>
          <w:p>
            <w:pPr>
              <w:pStyle w:val="TableParagraph"/>
              <w:spacing w:line="240" w:lineRule="auto" w:before="89"/>
              <w:ind w:left="93" w:right="0"/>
              <w:jc w:val="left"/>
              <w:rPr>
                <w:rFonts w:ascii="宋体" w:hAnsi="宋体" w:cs="宋体" w:eastAsia="宋体" w:hint="default"/>
                <w:sz w:val="18"/>
                <w:szCs w:val="18"/>
              </w:rPr>
            </w:pPr>
            <w:r>
              <w:rPr>
                <w:rFonts w:ascii="宋体" w:hAnsi="宋体" w:cs="宋体" w:eastAsia="宋体" w:hint="default"/>
                <w:sz w:val="18"/>
                <w:szCs w:val="18"/>
              </w:rPr>
              <w:t>在第三届 </w:t>
            </w:r>
            <w:r>
              <w:rPr>
                <w:rFonts w:ascii="Times New Roman" w:hAnsi="Times New Roman" w:cs="Times New Roman" w:eastAsia="Times New Roman" w:hint="default"/>
                <w:sz w:val="18"/>
                <w:szCs w:val="18"/>
              </w:rPr>
              <w:t>CCF-GAIR</w:t>
            </w:r>
            <w:r>
              <w:rPr>
                <w:rFonts w:ascii="Times New Roman" w:hAnsi="Times New Roman" w:cs="Times New Roman" w:eastAsia="Times New Roman" w:hint="default"/>
                <w:spacing w:val="7"/>
                <w:sz w:val="18"/>
                <w:szCs w:val="18"/>
              </w:rPr>
              <w:t> </w:t>
            </w:r>
            <w:r>
              <w:rPr>
                <w:rFonts w:ascii="Times New Roman" w:hAnsi="Times New Roman" w:cs="Times New Roman" w:eastAsia="Times New Roman" w:hint="default"/>
                <w:sz w:val="18"/>
                <w:szCs w:val="18"/>
              </w:rPr>
              <w:t>2018</w:t>
            </w:r>
            <w:r>
              <w:rPr>
                <w:rFonts w:ascii="宋体" w:hAnsi="宋体" w:cs="宋体" w:eastAsia="宋体" w:hint="default"/>
                <w:sz w:val="18"/>
                <w:szCs w:val="18"/>
              </w:rPr>
              <w:t>年全球人工智能与机器人峰会上获得“</w:t>
            </w:r>
            <w:r>
              <w:rPr>
                <w:rFonts w:ascii="Times New Roman" w:hAnsi="Times New Roman" w:cs="Times New Roman" w:eastAsia="Times New Roman" w:hint="default"/>
                <w:sz w:val="18"/>
                <w:szCs w:val="18"/>
              </w:rPr>
              <w:t>2018</w:t>
            </w:r>
            <w:r>
              <w:rPr>
                <w:rFonts w:ascii="宋体" w:hAnsi="宋体" w:cs="宋体" w:eastAsia="宋体" w:hint="default"/>
                <w:sz w:val="18"/>
                <w:szCs w:val="18"/>
              </w:rPr>
              <w:t>年度</w:t>
            </w:r>
            <w:r>
              <w:rPr>
                <w:rFonts w:ascii="Times New Roman" w:hAnsi="Times New Roman" w:cs="Times New Roman" w:eastAsia="Times New Roman" w:hint="default"/>
                <w:sz w:val="18"/>
                <w:szCs w:val="18"/>
              </w:rPr>
              <w:t>AI</w:t>
            </w:r>
            <w:r>
              <w:rPr>
                <w:rFonts w:ascii="宋体" w:hAnsi="宋体" w:cs="宋体" w:eastAsia="宋体" w:hint="default"/>
                <w:sz w:val="18"/>
                <w:szCs w:val="18"/>
              </w:rPr>
              <w:t>最佳成长奖”；在</w:t>
            </w:r>
            <w:r>
              <w:rPr>
                <w:rFonts w:ascii="Times New Roman" w:hAnsi="Times New Roman" w:cs="Times New Roman" w:eastAsia="Times New Roman" w:hint="default"/>
                <w:sz w:val="18"/>
                <w:szCs w:val="18"/>
              </w:rPr>
              <w:t>2018</w:t>
            </w:r>
            <w:r>
              <w:rPr>
                <w:rFonts w:ascii="宋体" w:hAnsi="宋体" w:cs="宋体" w:eastAsia="宋体" w:hint="default"/>
                <w:sz w:val="18"/>
                <w:szCs w:val="18"/>
              </w:rPr>
              <w:t>（第八届）中国软件大</w:t>
            </w:r>
          </w:p>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会上获“</w:t>
            </w:r>
            <w:r>
              <w:rPr>
                <w:rFonts w:ascii="Times New Roman" w:hAnsi="Times New Roman" w:cs="Times New Roman" w:eastAsia="Times New Roman" w:hint="default"/>
                <w:sz w:val="18"/>
                <w:szCs w:val="18"/>
              </w:rPr>
              <w:t>2018</w:t>
            </w:r>
            <w:r>
              <w:rPr>
                <w:rFonts w:ascii="宋体" w:hAnsi="宋体" w:cs="宋体" w:eastAsia="宋体" w:hint="default"/>
                <w:sz w:val="18"/>
                <w:szCs w:val="18"/>
              </w:rPr>
              <w:t>中国人工智能领军企业”殊荣</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9"/>
          <w:szCs w:val="19"/>
        </w:rPr>
      </w:pPr>
    </w:p>
    <w:p>
      <w:pPr>
        <w:pStyle w:val="BodyText"/>
        <w:spacing w:line="451" w:lineRule="auto" w:before="44"/>
        <w:ind w:left="234" w:right="0" w:firstLine="361"/>
        <w:jc w:val="left"/>
      </w:pPr>
      <w:r>
        <w:rPr>
          <w:rFonts w:ascii="Times New Roman" w:hAnsi="Times New Roman" w:cs="Times New Roman" w:eastAsia="Times New Roman" w:hint="default"/>
          <w:b/>
          <w:bCs/>
          <w:spacing w:val="-1"/>
        </w:rPr>
        <w:t>E</w:t>
      </w:r>
      <w:r>
        <w:rPr>
          <w:rFonts w:ascii="宋体" w:hAnsi="宋体" w:cs="宋体" w:eastAsia="宋体" w:hint="default"/>
          <w:b/>
          <w:bCs/>
          <w:spacing w:val="-1"/>
        </w:rPr>
        <w:t>、</w:t>
      </w:r>
      <w:r>
        <w:rPr>
          <w:spacing w:val="-1"/>
        </w:rPr>
        <w:t>报告期内，公司携智慧公安、智慧金融等几大方案主题参与中国国际软件博览会、中国国际大数据产业博览会等行</w:t>
      </w:r>
      <w:r>
        <w:rPr/>
        <w:t> 业盛会，向外界展现公司自身研究成果，升级公司品牌知名度。</w:t>
      </w:r>
    </w:p>
    <w:p>
      <w:pPr>
        <w:spacing w:after="0" w:line="451" w:lineRule="auto"/>
        <w:jc w:val="left"/>
        <w:sectPr>
          <w:pgSz w:w="11910" w:h="16840"/>
          <w:pgMar w:header="851" w:footer="1187" w:top="1400" w:bottom="1380" w:left="900" w:right="0"/>
        </w:sectPr>
      </w:pPr>
    </w:p>
    <w:p>
      <w:pPr>
        <w:spacing w:line="240" w:lineRule="auto" w:before="8"/>
        <w:rPr>
          <w:rFonts w:ascii="宋体" w:hAnsi="宋体" w:cs="宋体" w:eastAsia="宋体" w:hint="default"/>
          <w:sz w:val="15"/>
          <w:szCs w:val="15"/>
        </w:rPr>
      </w:pPr>
    </w:p>
    <w:p>
      <w:pPr>
        <w:spacing w:line="4722" w:lineRule="exact"/>
        <w:ind w:left="267" w:right="0" w:firstLine="0"/>
        <w:rPr>
          <w:rFonts w:ascii="宋体" w:hAnsi="宋体" w:cs="宋体" w:eastAsia="宋体" w:hint="default"/>
          <w:sz w:val="20"/>
          <w:szCs w:val="20"/>
        </w:rPr>
      </w:pPr>
      <w:r>
        <w:rPr>
          <w:rFonts w:ascii="宋体" w:hAnsi="宋体" w:cs="宋体" w:eastAsia="宋体" w:hint="default"/>
          <w:position w:val="-93"/>
          <w:sz w:val="20"/>
          <w:szCs w:val="20"/>
        </w:rPr>
        <w:drawing>
          <wp:inline distT="0" distB="0" distL="0" distR="0">
            <wp:extent cx="5997574" cy="2998851"/>
            <wp:effectExtent l="0" t="0" r="0" b="0"/>
            <wp:docPr id="71" name="image74.jpeg" descr=""/>
            <wp:cNvGraphicFramePr>
              <a:graphicFrameLocks noChangeAspect="1"/>
            </wp:cNvGraphicFramePr>
            <a:graphic>
              <a:graphicData uri="http://schemas.openxmlformats.org/drawingml/2006/picture">
                <pic:pic>
                  <pic:nvPicPr>
                    <pic:cNvPr id="72" name="image74.jpeg"/>
                    <pic:cNvPicPr/>
                  </pic:nvPicPr>
                  <pic:blipFill>
                    <a:blip r:embed="rId81" cstate="print"/>
                    <a:stretch>
                      <a:fillRect/>
                    </a:stretch>
                  </pic:blipFill>
                  <pic:spPr>
                    <a:xfrm>
                      <a:off x="0" y="0"/>
                      <a:ext cx="5997574" cy="2998851"/>
                    </a:xfrm>
                    <a:prstGeom prst="rect">
                      <a:avLst/>
                    </a:prstGeom>
                  </pic:spPr>
                </pic:pic>
              </a:graphicData>
            </a:graphic>
          </wp:inline>
        </w:drawing>
      </w:r>
      <w:r>
        <w:rPr>
          <w:rFonts w:ascii="宋体" w:hAnsi="宋体" w:cs="宋体" w:eastAsia="宋体" w:hint="default"/>
          <w:position w:val="-93"/>
          <w:sz w:val="20"/>
          <w:szCs w:val="20"/>
        </w:rPr>
      </w:r>
    </w:p>
    <w:p>
      <w:pPr>
        <w:spacing w:line="240" w:lineRule="auto" w:before="1"/>
        <w:rPr>
          <w:rFonts w:ascii="宋体" w:hAnsi="宋体" w:cs="宋体" w:eastAsia="宋体" w:hint="default"/>
          <w:sz w:val="13"/>
          <w:szCs w:val="13"/>
        </w:rPr>
      </w:pPr>
    </w:p>
    <w:p>
      <w:pPr>
        <w:pStyle w:val="Heading5"/>
        <w:spacing w:line="240" w:lineRule="auto" w:before="44"/>
        <w:ind w:left="3618" w:right="0"/>
        <w:jc w:val="left"/>
        <w:rPr>
          <w:b w:val="0"/>
          <w:bCs w:val="0"/>
        </w:rPr>
      </w:pPr>
      <w:r>
        <w:rPr/>
        <w:t>（中国国际软件博览会相关图片）</w:t>
      </w:r>
      <w:r>
        <w:rPr>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9"/>
          <w:szCs w:val="29"/>
        </w:rPr>
      </w:pPr>
    </w:p>
    <w:p>
      <w:pPr>
        <w:spacing w:before="41"/>
        <w:ind w:left="154" w:right="0" w:firstLine="0"/>
        <w:jc w:val="left"/>
        <w:rPr>
          <w:rFonts w:ascii="宋体" w:hAnsi="宋体" w:cs="宋体" w:eastAsia="宋体" w:hint="default"/>
          <w:sz w:val="19"/>
          <w:szCs w:val="19"/>
        </w:rPr>
      </w:pPr>
      <w:bookmarkStart w:name="3、ICT运营管理领域" w:id="35"/>
      <w:bookmarkEnd w:id="35"/>
      <w:r>
        <w:rPr/>
      </w:r>
      <w:r>
        <w:rPr>
          <w:rFonts w:ascii="Times New Roman" w:hAnsi="Times New Roman" w:cs="Times New Roman" w:eastAsia="Times New Roman" w:hint="default"/>
          <w:b/>
          <w:bCs/>
          <w:i/>
          <w:sz w:val="18"/>
          <w:szCs w:val="18"/>
        </w:rPr>
      </w:r>
      <w:r>
        <w:rPr>
          <w:rFonts w:ascii="Times New Roman" w:hAnsi="Times New Roman" w:cs="Times New Roman" w:eastAsia="Times New Roman" w:hint="default"/>
          <w:b/>
          <w:bCs/>
          <w:i/>
          <w:w w:val="95"/>
          <w:sz w:val="18"/>
          <w:szCs w:val="18"/>
          <w:u w:val="single" w:color="000000"/>
        </w:rPr>
        <w:t>3</w:t>
      </w:r>
      <w:r>
        <w:rPr>
          <w:rFonts w:ascii="宋体" w:hAnsi="宋体" w:cs="宋体" w:eastAsia="宋体" w:hint="default"/>
          <w:b/>
          <w:bCs/>
          <w:i/>
          <w:w w:val="95"/>
          <w:sz w:val="19"/>
          <w:szCs w:val="19"/>
          <w:u w:val="single" w:color="000000"/>
        </w:rPr>
        <w:t>、</w:t>
      </w:r>
      <w:r>
        <w:rPr>
          <w:rFonts w:ascii="Times New Roman" w:hAnsi="Times New Roman" w:cs="Times New Roman" w:eastAsia="Times New Roman" w:hint="default"/>
          <w:b/>
          <w:bCs/>
          <w:i/>
          <w:w w:val="95"/>
          <w:sz w:val="18"/>
          <w:szCs w:val="18"/>
          <w:u w:val="single" w:color="000000"/>
        </w:rPr>
        <w:t>ICT</w:t>
      </w:r>
      <w:r>
        <w:rPr>
          <w:rFonts w:ascii="Times New Roman" w:hAnsi="Times New Roman" w:cs="Times New Roman" w:eastAsia="Times New Roman" w:hint="default"/>
          <w:b/>
          <w:bCs/>
          <w:i/>
          <w:spacing w:val="17"/>
          <w:w w:val="95"/>
          <w:sz w:val="18"/>
          <w:szCs w:val="18"/>
          <w:u w:val="single" w:color="000000"/>
        </w:rPr>
        <w:t> </w:t>
      </w:r>
      <w:r>
        <w:rPr>
          <w:rFonts w:ascii="宋体" w:hAnsi="宋体" w:cs="宋体" w:eastAsia="宋体" w:hint="default"/>
          <w:b/>
          <w:bCs/>
          <w:i/>
          <w:w w:val="95"/>
          <w:sz w:val="19"/>
          <w:szCs w:val="19"/>
          <w:u w:val="single" w:color="000000"/>
        </w:rPr>
        <w:t>运营管理领域</w:t>
      </w:r>
      <w:r>
        <w:rPr>
          <w:rFonts w:ascii="宋体" w:hAnsi="宋体" w:cs="宋体" w:eastAsia="宋体" w:hint="default"/>
          <w:b/>
          <w:bCs/>
          <w:i/>
          <w:w w:val="95"/>
          <w:sz w:val="19"/>
          <w:szCs w:val="19"/>
        </w:rPr>
      </w:r>
      <w:r>
        <w:rPr>
          <w:rFonts w:ascii="宋体" w:hAnsi="宋体" w:cs="宋体" w:eastAsia="宋体" w:hint="default"/>
          <w:sz w:val="19"/>
          <w:szCs w:val="19"/>
        </w:rPr>
      </w:r>
    </w:p>
    <w:p>
      <w:pPr>
        <w:spacing w:line="240" w:lineRule="auto" w:before="6"/>
        <w:rPr>
          <w:rFonts w:ascii="宋体" w:hAnsi="宋体" w:cs="宋体" w:eastAsia="宋体" w:hint="default"/>
          <w:b/>
          <w:bCs/>
          <w:i/>
          <w:sz w:val="16"/>
          <w:szCs w:val="16"/>
        </w:rPr>
      </w:pPr>
    </w:p>
    <w:p>
      <w:pPr>
        <w:pStyle w:val="BodyText"/>
        <w:spacing w:line="451" w:lineRule="auto" w:before="44"/>
        <w:ind w:right="1040" w:firstLine="482"/>
        <w:jc w:val="left"/>
      </w:pPr>
      <w:r>
        <w:rPr/>
        <w:t>公司对</w:t>
      </w:r>
      <w:r>
        <w:rPr>
          <w:rFonts w:ascii="Times New Roman" w:hAnsi="Times New Roman" w:cs="Times New Roman" w:eastAsia="Times New Roman" w:hint="default"/>
        </w:rPr>
        <w:t>ICT</w:t>
      </w:r>
      <w:r>
        <w:rPr/>
        <w:t>业务深耕细作、优化调整，并大规模收缩系统集成业务、加大应收账款的催收力度，密切跟进中国移动、 中国联通、中国电信网络建设内容，作为</w:t>
      </w:r>
      <w:r>
        <w:rPr>
          <w:rFonts w:ascii="宋体" w:hAnsi="宋体" w:cs="宋体" w:eastAsia="宋体" w:hint="default"/>
          <w:b/>
          <w:bCs/>
        </w:rPr>
        <w:t>中国通信标准化协会（</w:t>
      </w:r>
      <w:r>
        <w:rPr>
          <w:rFonts w:ascii="Times New Roman" w:hAnsi="Times New Roman" w:cs="Times New Roman" w:eastAsia="Times New Roman" w:hint="default"/>
          <w:b/>
          <w:bCs/>
        </w:rPr>
        <w:t>CCSA</w:t>
      </w:r>
      <w:r>
        <w:rPr>
          <w:rFonts w:ascii="宋体" w:hAnsi="宋体" w:cs="宋体" w:eastAsia="宋体" w:hint="default"/>
          <w:b/>
          <w:bCs/>
        </w:rPr>
        <w:t>）全权会员</w:t>
      </w:r>
      <w:r>
        <w:rPr/>
        <w:t>，积极参与推进</w:t>
      </w:r>
      <w:r>
        <w:rPr>
          <w:rFonts w:ascii="Times New Roman" w:hAnsi="Times New Roman" w:cs="Times New Roman" w:eastAsia="Times New Roman" w:hint="default"/>
        </w:rPr>
        <w:t>DevOps</w:t>
      </w:r>
      <w:r>
        <w:rPr/>
        <w:t>和</w:t>
      </w:r>
      <w:r>
        <w:rPr>
          <w:rFonts w:ascii="Times New Roman" w:hAnsi="Times New Roman" w:cs="Times New Roman" w:eastAsia="Times New Roman" w:hint="default"/>
        </w:rPr>
        <w:t>AIOps</w:t>
      </w:r>
      <w:r>
        <w:rPr/>
        <w:t>的国家、</w:t>
      </w:r>
      <w:r>
        <w:rPr>
          <w:spacing w:val="-44"/>
        </w:rPr>
        <w:t> </w:t>
      </w:r>
      <w:r>
        <w:rPr/>
        <w:t>国际标准制定工作，推出了新一代神州泰岳“智能运维</w:t>
      </w:r>
      <w:r>
        <w:rPr>
          <w:rFonts w:ascii="Times New Roman" w:hAnsi="Times New Roman" w:cs="Times New Roman" w:eastAsia="Times New Roman" w:hint="default"/>
        </w:rPr>
        <w:t>AIOps</w:t>
      </w:r>
      <w:r>
        <w:rPr/>
        <w:t>”解决方案，报告期内公司荣获</w:t>
      </w:r>
      <w:r>
        <w:rPr>
          <w:rFonts w:ascii="Times New Roman" w:hAnsi="Times New Roman" w:cs="Times New Roman" w:eastAsia="Times New Roman" w:hint="default"/>
        </w:rPr>
        <w:t>“2017</w:t>
      </w:r>
      <w:r>
        <w:rPr>
          <w:rFonts w:ascii="Times New Roman" w:hAnsi="Times New Roman" w:cs="Times New Roman" w:eastAsia="Times New Roman" w:hint="default"/>
        </w:rPr>
        <w:t>-2018</w:t>
      </w:r>
      <w:r>
        <w:rPr/>
        <w:t>中国</w:t>
      </w:r>
      <w:r>
        <w:rPr>
          <w:rFonts w:ascii="Times New Roman" w:hAnsi="Times New Roman" w:cs="Times New Roman" w:eastAsia="Times New Roman" w:hint="default"/>
        </w:rPr>
        <w:t>IT</w:t>
      </w:r>
      <w:r>
        <w:rPr/>
        <w:t>服务管理市</w:t>
      </w:r>
      <w:r>
        <w:rPr>
          <w:spacing w:val="-67"/>
        </w:rPr>
        <w:t> </w:t>
      </w:r>
      <w:r>
        <w:rPr>
          <w:spacing w:val="-67"/>
        </w:rPr>
      </w:r>
      <w:r>
        <w:rPr/>
        <w:t>场占有率第一</w:t>
      </w:r>
      <w:r>
        <w:rPr>
          <w:rFonts w:ascii="Times New Roman" w:hAnsi="Times New Roman" w:cs="Times New Roman" w:eastAsia="Times New Roman" w:hint="default"/>
        </w:rPr>
        <w:t>”</w:t>
      </w:r>
      <w:r>
        <w:rPr/>
        <w:t>殊荣，连续数年蝉联该奖项，</w:t>
      </w:r>
      <w:r>
        <w:rPr>
          <w:rFonts w:ascii="Times New Roman" w:hAnsi="Times New Roman" w:cs="Times New Roman" w:eastAsia="Times New Roman" w:hint="default"/>
        </w:rPr>
        <w:t>ICT</w:t>
      </w:r>
      <w:r>
        <w:rPr/>
        <w:t>业务总体保持平稳。</w:t>
      </w:r>
    </w:p>
    <w:p>
      <w:pPr>
        <w:pStyle w:val="Heading5"/>
        <w:spacing w:line="451" w:lineRule="auto" w:before="83"/>
        <w:ind w:right="0" w:firstLine="482"/>
        <w:jc w:val="left"/>
        <w:rPr>
          <w:rFonts w:ascii="宋体" w:hAnsi="宋体" w:cs="宋体" w:eastAsia="宋体" w:hint="default"/>
          <w:b w:val="0"/>
          <w:bCs w:val="0"/>
        </w:rPr>
      </w:pPr>
      <w:r>
        <w:rPr>
          <w:spacing w:val="-3"/>
          <w:w w:val="99"/>
        </w:rPr>
        <w:t>在人工智能、云计算、大数据、</w:t>
      </w:r>
      <w:r>
        <w:rPr>
          <w:rFonts w:ascii="Times New Roman" w:hAnsi="Times New Roman" w:cs="Times New Roman" w:eastAsia="Times New Roman" w:hint="default"/>
          <w:spacing w:val="-3"/>
          <w:w w:val="99"/>
        </w:rPr>
        <w:t>SDN</w:t>
      </w:r>
      <w:r>
        <w:rPr>
          <w:spacing w:val="-3"/>
          <w:w w:val="99"/>
        </w:rPr>
        <w:t>（软件定义网络）、</w:t>
      </w:r>
      <w:r>
        <w:rPr>
          <w:rFonts w:ascii="Times New Roman" w:hAnsi="Times New Roman" w:cs="Times New Roman" w:eastAsia="Times New Roman" w:hint="default"/>
          <w:spacing w:val="-3"/>
          <w:w w:val="99"/>
        </w:rPr>
        <w:t>NFV</w:t>
      </w:r>
      <w:r>
        <w:rPr>
          <w:spacing w:val="-3"/>
          <w:w w:val="99"/>
        </w:rPr>
        <w:t>（网络虚拟化</w:t>
      </w:r>
      <w:r>
        <w:rPr>
          <w:rFonts w:ascii="Times New Roman" w:hAnsi="Times New Roman" w:cs="Times New Roman" w:eastAsia="Times New Roman" w:hint="default"/>
          <w:spacing w:val="-3"/>
          <w:w w:val="99"/>
        </w:rPr>
        <w:t>)</w:t>
      </w:r>
      <w:r>
        <w:rPr>
          <w:spacing w:val="-3"/>
          <w:w w:val="99"/>
        </w:rPr>
        <w:t>等新架构、新技术的推动下，以及</w:t>
      </w:r>
      <w:r>
        <w:rPr>
          <w:rFonts w:ascii="Times New Roman" w:hAnsi="Times New Roman" w:cs="Times New Roman" w:eastAsia="Times New Roman" w:hint="default"/>
          <w:spacing w:val="-3"/>
          <w:w w:val="99"/>
        </w:rPr>
        <w:t>5G</w:t>
      </w:r>
      <w:r>
        <w:rPr>
          <w:spacing w:val="-3"/>
          <w:w w:val="99"/>
        </w:rPr>
        <w:t>建设</w:t>
      </w:r>
      <w:r>
        <w:rPr>
          <w:spacing w:val="1"/>
          <w:w w:val="99"/>
        </w:rPr>
        <w:t> </w:t>
      </w:r>
      <w:r>
        <w:rPr/>
        <w:t>的推进，电信网络的规模和复杂度不断升级，为公司</w:t>
      </w:r>
      <w:r>
        <w:rPr>
          <w:rFonts w:ascii="Times New Roman" w:hAnsi="Times New Roman" w:cs="Times New Roman" w:eastAsia="Times New Roman" w:hint="default"/>
        </w:rPr>
        <w:t>ICT</w:t>
      </w:r>
      <w:r>
        <w:rPr/>
        <w:t>运营管理业务提供了持续发展的机遇</w:t>
      </w:r>
      <w:r>
        <w:rPr>
          <w:rFonts w:ascii="宋体" w:hAnsi="宋体" w:cs="宋体" w:eastAsia="宋体" w:hint="default"/>
          <w:b w:val="0"/>
          <w:bCs w:val="0"/>
        </w:rPr>
        <w:t>。</w:t>
      </w:r>
    </w:p>
    <w:p>
      <w:pPr>
        <w:spacing w:line="451" w:lineRule="auto" w:before="82"/>
        <w:ind w:left="154" w:right="1128" w:firstLine="378"/>
        <w:jc w:val="both"/>
        <w:rPr>
          <w:rFonts w:ascii="宋体" w:hAnsi="宋体" w:cs="宋体" w:eastAsia="宋体" w:hint="default"/>
          <w:sz w:val="18"/>
          <w:szCs w:val="18"/>
        </w:rPr>
      </w:pPr>
      <w:r>
        <w:rPr>
          <w:rFonts w:ascii="Times New Roman" w:hAnsi="Times New Roman" w:cs="Times New Roman" w:eastAsia="Times New Roman" w:hint="default"/>
          <w:b/>
          <w:bCs/>
          <w:sz w:val="18"/>
          <w:szCs w:val="18"/>
        </w:rPr>
        <w:t>A</w:t>
      </w:r>
      <w:r>
        <w:rPr>
          <w:rFonts w:ascii="宋体" w:hAnsi="宋体" w:cs="宋体" w:eastAsia="宋体" w:hint="default"/>
          <w:b/>
          <w:bCs/>
          <w:sz w:val="18"/>
          <w:szCs w:val="18"/>
        </w:rPr>
        <w:t>、在运维管理业务线</w:t>
      </w:r>
      <w:r>
        <w:rPr>
          <w:rFonts w:ascii="宋体" w:hAnsi="宋体" w:cs="宋体" w:eastAsia="宋体" w:hint="default"/>
          <w:sz w:val="18"/>
          <w:szCs w:val="18"/>
        </w:rPr>
        <w:t>，神州泰岳荣获“</w:t>
      </w:r>
      <w:r>
        <w:rPr>
          <w:rFonts w:ascii="Times New Roman" w:hAnsi="Times New Roman" w:cs="Times New Roman" w:eastAsia="Times New Roman" w:hint="default"/>
          <w:sz w:val="18"/>
          <w:szCs w:val="18"/>
        </w:rPr>
        <w:t>2017-2018</w:t>
      </w:r>
      <w:r>
        <w:rPr>
          <w:rFonts w:ascii="宋体" w:hAnsi="宋体" w:cs="宋体" w:eastAsia="宋体" w:hint="default"/>
          <w:sz w:val="18"/>
          <w:szCs w:val="18"/>
        </w:rPr>
        <w:t>中国</w:t>
      </w:r>
      <w:r>
        <w:rPr>
          <w:rFonts w:ascii="Times New Roman" w:hAnsi="Times New Roman" w:cs="Times New Roman" w:eastAsia="Times New Roman" w:hint="default"/>
          <w:sz w:val="18"/>
          <w:szCs w:val="18"/>
        </w:rPr>
        <w:t>IT</w:t>
      </w:r>
      <w:r>
        <w:rPr>
          <w:rFonts w:ascii="宋体" w:hAnsi="宋体" w:cs="宋体" w:eastAsia="宋体" w:hint="default"/>
          <w:sz w:val="18"/>
          <w:szCs w:val="18"/>
        </w:rPr>
        <w:t>服务管理市场占有率第一”殊荣，并连续数年蝉联该奖项。 近年来，神州泰岳大力推进人工智能、物联网、融合通信与原有</w:t>
      </w:r>
      <w:r>
        <w:rPr>
          <w:rFonts w:ascii="Times New Roman" w:hAnsi="Times New Roman" w:cs="Times New Roman" w:eastAsia="Times New Roman" w:hint="default"/>
          <w:sz w:val="18"/>
          <w:szCs w:val="18"/>
        </w:rPr>
        <w:t>ICT</w:t>
      </w:r>
      <w:r>
        <w:rPr>
          <w:rFonts w:ascii="宋体" w:hAnsi="宋体" w:cs="宋体" w:eastAsia="宋体" w:hint="default"/>
          <w:sz w:val="18"/>
          <w:szCs w:val="18"/>
        </w:rPr>
        <w:t>运营管理业务的整合，全面优化</w:t>
      </w:r>
      <w:r>
        <w:rPr>
          <w:rFonts w:ascii="Times New Roman" w:hAnsi="Times New Roman" w:cs="Times New Roman" w:eastAsia="Times New Roman" w:hint="default"/>
          <w:sz w:val="18"/>
          <w:szCs w:val="18"/>
        </w:rPr>
        <w:t>ICT</w:t>
      </w:r>
      <w:r>
        <w:rPr>
          <w:rFonts w:ascii="宋体" w:hAnsi="宋体" w:cs="宋体" w:eastAsia="宋体" w:hint="default"/>
          <w:sz w:val="18"/>
          <w:szCs w:val="18"/>
        </w:rPr>
        <w:t>领域产品结构，立</w:t>
      </w:r>
      <w:r>
        <w:rPr>
          <w:rFonts w:ascii="宋体" w:hAnsi="宋体" w:cs="宋体" w:eastAsia="宋体" w:hint="default"/>
          <w:spacing w:val="-39"/>
          <w:sz w:val="18"/>
          <w:szCs w:val="18"/>
        </w:rPr>
        <w:t> </w:t>
      </w:r>
      <w:r>
        <w:rPr>
          <w:rFonts w:ascii="宋体" w:hAnsi="宋体" w:cs="宋体" w:eastAsia="宋体" w:hint="default"/>
          <w:spacing w:val="-39"/>
          <w:sz w:val="18"/>
          <w:szCs w:val="18"/>
        </w:rPr>
      </w:r>
      <w:r>
        <w:rPr>
          <w:rFonts w:ascii="宋体" w:hAnsi="宋体" w:cs="宋体" w:eastAsia="宋体" w:hint="default"/>
          <w:sz w:val="18"/>
          <w:szCs w:val="18"/>
        </w:rPr>
        <w:t>足云化、智能化、开源化的技术开发思路，将数百家客户、数十万台设备运维数据凝结为</w:t>
      </w:r>
      <w:r>
        <w:rPr>
          <w:rFonts w:ascii="Times New Roman" w:hAnsi="Times New Roman" w:cs="Times New Roman" w:eastAsia="Times New Roman" w:hint="default"/>
          <w:sz w:val="18"/>
          <w:szCs w:val="18"/>
        </w:rPr>
        <w:t>ultra-AI</w:t>
      </w:r>
      <w:r>
        <w:rPr>
          <w:rFonts w:ascii="宋体" w:hAnsi="宋体" w:cs="宋体" w:eastAsia="宋体" w:hint="default"/>
          <w:sz w:val="18"/>
          <w:szCs w:val="18"/>
        </w:rPr>
        <w:t>模型，打造新环境、新格</w:t>
      </w:r>
      <w:r>
        <w:rPr>
          <w:rFonts w:ascii="宋体" w:hAnsi="宋体" w:cs="宋体" w:eastAsia="宋体" w:hint="default"/>
          <w:spacing w:val="-41"/>
          <w:sz w:val="18"/>
          <w:szCs w:val="18"/>
        </w:rPr>
        <w:t> </w:t>
      </w:r>
      <w:r>
        <w:rPr>
          <w:rFonts w:ascii="宋体" w:hAnsi="宋体" w:cs="宋体" w:eastAsia="宋体" w:hint="default"/>
          <w:sz w:val="18"/>
          <w:szCs w:val="18"/>
        </w:rPr>
        <w:t>局下的综合</w:t>
      </w:r>
      <w:r>
        <w:rPr>
          <w:rFonts w:ascii="Times New Roman" w:hAnsi="Times New Roman" w:cs="Times New Roman" w:eastAsia="Times New Roman" w:hint="default"/>
          <w:sz w:val="18"/>
          <w:szCs w:val="18"/>
        </w:rPr>
        <w:t>ICT</w:t>
      </w:r>
      <w:r>
        <w:rPr>
          <w:rFonts w:ascii="宋体" w:hAnsi="宋体" w:cs="宋体" w:eastAsia="宋体" w:hint="default"/>
          <w:sz w:val="18"/>
          <w:szCs w:val="18"/>
        </w:rPr>
        <w:t>运营管理产品体系，</w:t>
      </w:r>
      <w:r>
        <w:rPr>
          <w:rFonts w:ascii="宋体" w:hAnsi="宋体" w:cs="宋体" w:eastAsia="宋体" w:hint="default"/>
          <w:b/>
          <w:bCs/>
          <w:sz w:val="18"/>
          <w:szCs w:val="18"/>
        </w:rPr>
        <w:t>在已有</w:t>
      </w:r>
      <w:r>
        <w:rPr>
          <w:rFonts w:ascii="Times New Roman" w:hAnsi="Times New Roman" w:cs="Times New Roman" w:eastAsia="Times New Roman" w:hint="default"/>
          <w:b/>
          <w:bCs/>
          <w:sz w:val="18"/>
          <w:szCs w:val="18"/>
        </w:rPr>
        <w:t>DevOps</w:t>
      </w:r>
      <w:r>
        <w:rPr>
          <w:rFonts w:ascii="宋体" w:hAnsi="宋体" w:cs="宋体" w:eastAsia="宋体" w:hint="default"/>
          <w:b/>
          <w:bCs/>
          <w:sz w:val="18"/>
          <w:szCs w:val="18"/>
        </w:rPr>
        <w:t>架构基础上，推出了新一代神州泰岳</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智能运维</w:t>
      </w:r>
      <w:r>
        <w:rPr>
          <w:rFonts w:ascii="Times New Roman" w:hAnsi="Times New Roman" w:cs="Times New Roman" w:eastAsia="Times New Roman" w:hint="default"/>
          <w:b/>
          <w:bCs/>
          <w:sz w:val="18"/>
          <w:szCs w:val="18"/>
        </w:rPr>
        <w:t>AIOps”</w:t>
      </w:r>
      <w:r>
        <w:rPr>
          <w:rFonts w:ascii="宋体" w:hAnsi="宋体" w:cs="宋体" w:eastAsia="宋体" w:hint="default"/>
          <w:b/>
          <w:bCs/>
          <w:sz w:val="18"/>
          <w:szCs w:val="18"/>
        </w:rPr>
        <w:t>解决方案。</w:t>
      </w:r>
      <w:r>
        <w:rPr>
          <w:rFonts w:ascii="宋体" w:hAnsi="宋体" w:cs="宋体" w:eastAsia="宋体" w:hint="default"/>
          <w:sz w:val="18"/>
          <w:szCs w:val="18"/>
        </w:rPr>
      </w:r>
    </w:p>
    <w:p>
      <w:pPr>
        <w:pStyle w:val="BodyText"/>
        <w:spacing w:line="451" w:lineRule="auto" w:before="43"/>
        <w:ind w:right="1071" w:firstLine="360"/>
        <w:jc w:val="both"/>
      </w:pPr>
      <w:r>
        <w:rPr/>
        <w:t>神州泰岳是中国信息通信研究院云计算开源产业联盟</w:t>
      </w:r>
      <w:r>
        <w:rPr>
          <w:rFonts w:ascii="Times New Roman" w:hAnsi="Times New Roman" w:cs="Times New Roman" w:eastAsia="Times New Roman" w:hint="default"/>
        </w:rPr>
        <w:t>(OSCAR </w:t>
      </w:r>
      <w:r>
        <w:rPr/>
        <w:t>联盟</w:t>
      </w:r>
      <w:r>
        <w:rPr>
          <w:rFonts w:ascii="Times New Roman" w:hAnsi="Times New Roman" w:cs="Times New Roman" w:eastAsia="Times New Roman" w:hint="default"/>
        </w:rPr>
        <w:t>)</w:t>
      </w:r>
      <w:r>
        <w:rPr/>
        <w:t>的 </w:t>
      </w:r>
      <w:r>
        <w:rPr>
          <w:rFonts w:ascii="Times New Roman" w:hAnsi="Times New Roman" w:cs="Times New Roman" w:eastAsia="Times New Roman" w:hint="default"/>
        </w:rPr>
        <w:t>DevOps </w:t>
      </w:r>
      <w:r>
        <w:rPr>
          <w:spacing w:val="-3"/>
        </w:rPr>
        <w:t>标准工作组成员单位。</w:t>
      </w:r>
      <w:r>
        <w:rPr>
          <w:rFonts w:ascii="Times New Roman" w:hAnsi="Times New Roman" w:cs="Times New Roman" w:eastAsia="Times New Roman" w:hint="default"/>
          <w:spacing w:val="-3"/>
        </w:rPr>
        <w:t>DevOps</w:t>
      </w:r>
      <w:r>
        <w:rPr>
          <w:rFonts w:ascii="Times New Roman" w:hAnsi="Times New Roman" w:cs="Times New Roman" w:eastAsia="Times New Roman" w:hint="default"/>
          <w:spacing w:val="-2"/>
        </w:rPr>
        <w:t> </w:t>
      </w:r>
      <w:r>
        <w:rPr/>
        <w:t>标准汇聚 </w:t>
      </w:r>
      <w:r>
        <w:rPr>
          <w:spacing w:val="-9"/>
        </w:rPr>
        <w:t>了国内一线互联网、通信、金融企业及专家联合编写而成，是国内外首个</w:t>
      </w:r>
      <w:r>
        <w:rPr>
          <w:spacing w:val="-53"/>
        </w:rPr>
        <w:t> </w:t>
      </w:r>
      <w:r>
        <w:rPr>
          <w:rFonts w:ascii="Times New Roman" w:hAnsi="Times New Roman" w:cs="Times New Roman" w:eastAsia="Times New Roman" w:hint="default"/>
          <w:w w:val="99"/>
        </w:rPr>
        <w:t>DevOps</w:t>
      </w:r>
      <w:r>
        <w:rPr>
          <w:rFonts w:ascii="Times New Roman" w:hAnsi="Times New Roman" w:cs="Times New Roman" w:eastAsia="Times New Roman" w:hint="default"/>
          <w:spacing w:val="-9"/>
          <w:w w:val="99"/>
        </w:rPr>
        <w:t> </w:t>
      </w:r>
      <w:r>
        <w:rPr>
          <w:spacing w:val="-4"/>
          <w:w w:val="99"/>
        </w:rPr>
        <w:t>标准。此标准已在中国通信标准化协会</w:t>
      </w:r>
      <w:r>
        <w:rPr>
          <w:rFonts w:ascii="Times New Roman" w:hAnsi="Times New Roman" w:cs="Times New Roman" w:eastAsia="Times New Roman" w:hint="default"/>
          <w:spacing w:val="-4"/>
          <w:w w:val="99"/>
        </w:rPr>
        <w:t>(CCSA)</w:t>
      </w:r>
      <w:r>
        <w:rPr>
          <w:rFonts w:ascii="Times New Roman" w:hAnsi="Times New Roman" w:cs="Times New Roman" w:eastAsia="Times New Roman" w:hint="default"/>
          <w:spacing w:val="-43"/>
          <w:w w:val="99"/>
        </w:rPr>
        <w:t> </w:t>
      </w:r>
      <w:r>
        <w:rPr>
          <w:rFonts w:ascii="Times New Roman" w:hAnsi="Times New Roman" w:cs="Times New Roman" w:eastAsia="Times New Roman" w:hint="default"/>
          <w:spacing w:val="-43"/>
          <w:w w:val="99"/>
        </w:rPr>
      </w:r>
      <w:r>
        <w:rPr/>
        <w:t>正式立项，并向国际电信联盟</w:t>
      </w:r>
      <w:r>
        <w:rPr>
          <w:rFonts w:ascii="Times New Roman" w:hAnsi="Times New Roman" w:cs="Times New Roman" w:eastAsia="Times New Roman" w:hint="default"/>
        </w:rPr>
        <w:t>(ITU)</w:t>
      </w:r>
      <w:r>
        <w:rPr/>
        <w:t>申请成为国际标准。</w:t>
      </w:r>
    </w:p>
    <w:p>
      <w:pPr>
        <w:spacing w:line="240" w:lineRule="auto" w:before="4"/>
        <w:rPr>
          <w:rFonts w:ascii="宋体" w:hAnsi="宋体" w:cs="宋体" w:eastAsia="宋体" w:hint="default"/>
          <w:sz w:val="15"/>
          <w:szCs w:val="15"/>
        </w:rPr>
      </w:pPr>
    </w:p>
    <w:p>
      <w:pPr>
        <w:spacing w:line="451" w:lineRule="auto" w:before="0"/>
        <w:ind w:left="154" w:right="1130" w:firstLine="375"/>
        <w:jc w:val="both"/>
        <w:rPr>
          <w:rFonts w:ascii="宋体" w:hAnsi="宋体" w:cs="宋体" w:eastAsia="宋体" w:hint="default"/>
          <w:sz w:val="18"/>
          <w:szCs w:val="18"/>
        </w:rPr>
      </w:pPr>
      <w:r>
        <w:rPr>
          <w:rFonts w:ascii="宋体" w:hAnsi="宋体" w:cs="宋体" w:eastAsia="宋体" w:hint="default"/>
          <w:sz w:val="18"/>
          <w:szCs w:val="18"/>
        </w:rPr>
        <w:t>报告期内，</w:t>
      </w:r>
      <w:r>
        <w:rPr>
          <w:rFonts w:ascii="宋体" w:hAnsi="宋体" w:cs="宋体" w:eastAsia="宋体" w:hint="default"/>
          <w:b/>
          <w:bCs/>
          <w:sz w:val="18"/>
          <w:szCs w:val="18"/>
        </w:rPr>
        <w:t>公司成为中国通信标准化协会（</w:t>
      </w:r>
      <w:r>
        <w:rPr>
          <w:rFonts w:ascii="Times New Roman" w:hAnsi="Times New Roman" w:cs="Times New Roman" w:eastAsia="Times New Roman" w:hint="default"/>
          <w:b/>
          <w:bCs/>
          <w:sz w:val="18"/>
          <w:szCs w:val="18"/>
        </w:rPr>
        <w:t>CCSA</w:t>
      </w:r>
      <w:r>
        <w:rPr>
          <w:rFonts w:ascii="宋体" w:hAnsi="宋体" w:cs="宋体" w:eastAsia="宋体" w:hint="default"/>
          <w:b/>
          <w:bCs/>
          <w:sz w:val="18"/>
          <w:szCs w:val="18"/>
        </w:rPr>
        <w:t>）全权会员，积极参与推进</w:t>
      </w:r>
      <w:r>
        <w:rPr>
          <w:rFonts w:ascii="Times New Roman" w:hAnsi="Times New Roman" w:cs="Times New Roman" w:eastAsia="Times New Roman" w:hint="default"/>
          <w:b/>
          <w:bCs/>
          <w:sz w:val="18"/>
          <w:szCs w:val="18"/>
        </w:rPr>
        <w:t>DevOps</w:t>
      </w:r>
      <w:r>
        <w:rPr>
          <w:rFonts w:ascii="宋体" w:hAnsi="宋体" w:cs="宋体" w:eastAsia="宋体" w:hint="default"/>
          <w:b/>
          <w:bCs/>
          <w:sz w:val="18"/>
          <w:szCs w:val="18"/>
        </w:rPr>
        <w:t>和</w:t>
      </w:r>
      <w:r>
        <w:rPr>
          <w:rFonts w:ascii="Times New Roman" w:hAnsi="Times New Roman" w:cs="Times New Roman" w:eastAsia="Times New Roman" w:hint="default"/>
          <w:b/>
          <w:bCs/>
          <w:sz w:val="18"/>
          <w:szCs w:val="18"/>
        </w:rPr>
        <w:t>AIOps</w:t>
      </w:r>
      <w:r>
        <w:rPr>
          <w:rFonts w:ascii="宋体" w:hAnsi="宋体" w:cs="宋体" w:eastAsia="宋体" w:hint="default"/>
          <w:b/>
          <w:bCs/>
          <w:sz w:val="18"/>
          <w:szCs w:val="18"/>
        </w:rPr>
        <w:t>的国家、国际标准制定</w:t>
      </w:r>
      <w:r>
        <w:rPr>
          <w:rFonts w:ascii="宋体" w:hAnsi="宋体" w:cs="宋体" w:eastAsia="宋体" w:hint="default"/>
          <w:b/>
          <w:bCs/>
          <w:w w:val="99"/>
          <w:sz w:val="18"/>
          <w:szCs w:val="18"/>
        </w:rPr>
        <w:t> </w:t>
      </w:r>
      <w:r>
        <w:rPr>
          <w:rFonts w:ascii="宋体" w:hAnsi="宋体" w:cs="宋体" w:eastAsia="宋体" w:hint="default"/>
          <w:b/>
          <w:bCs/>
          <w:spacing w:val="-1"/>
          <w:sz w:val="18"/>
          <w:szCs w:val="18"/>
        </w:rPr>
        <w:t>工作。</w:t>
      </w:r>
      <w:r>
        <w:rPr>
          <w:rFonts w:ascii="宋体" w:hAnsi="宋体" w:cs="宋体" w:eastAsia="宋体" w:hint="default"/>
          <w:spacing w:val="-1"/>
          <w:sz w:val="18"/>
          <w:szCs w:val="18"/>
        </w:rPr>
        <w:t>神州泰岳的</w:t>
      </w:r>
      <w:r>
        <w:rPr>
          <w:rFonts w:ascii="Times New Roman" w:hAnsi="Times New Roman" w:cs="Times New Roman" w:eastAsia="Times New Roman" w:hint="default"/>
          <w:spacing w:val="-1"/>
          <w:sz w:val="18"/>
          <w:szCs w:val="18"/>
        </w:rPr>
        <w:t>AIOps</w:t>
      </w:r>
      <w:r>
        <w:rPr>
          <w:rFonts w:ascii="宋体" w:hAnsi="宋体" w:cs="宋体" w:eastAsia="宋体" w:hint="default"/>
          <w:spacing w:val="-1"/>
          <w:sz w:val="18"/>
          <w:szCs w:val="18"/>
        </w:rPr>
        <w:t>整合了监控采集、配置管理、流程引擎、自动化作业调度、大数据实时流式处理能力、智慧语义分</w:t>
      </w:r>
    </w:p>
    <w:p>
      <w:pPr>
        <w:spacing w:after="0" w:line="451" w:lineRule="auto"/>
        <w:jc w:val="both"/>
        <w:rPr>
          <w:rFonts w:ascii="宋体" w:hAnsi="宋体" w:cs="宋体" w:eastAsia="宋体" w:hint="default"/>
          <w:sz w:val="18"/>
          <w:szCs w:val="18"/>
        </w:rPr>
        <w:sectPr>
          <w:pgSz w:w="11910" w:h="16840"/>
          <w:pgMar w:header="851" w:footer="1187" w:top="1400" w:bottom="1380" w:left="980" w:right="0"/>
        </w:sectPr>
      </w:pPr>
    </w:p>
    <w:p>
      <w:pPr>
        <w:spacing w:line="240" w:lineRule="auto" w:before="1"/>
        <w:rPr>
          <w:rFonts w:ascii="宋体" w:hAnsi="宋体" w:cs="宋体" w:eastAsia="宋体" w:hint="default"/>
          <w:sz w:val="8"/>
          <w:szCs w:val="8"/>
        </w:rPr>
      </w:pPr>
    </w:p>
    <w:p>
      <w:pPr>
        <w:pStyle w:val="BodyText"/>
        <w:spacing w:line="477" w:lineRule="auto" w:before="44"/>
        <w:ind w:right="0"/>
        <w:jc w:val="left"/>
      </w:pPr>
      <w:r>
        <w:rPr>
          <w:spacing w:val="-2"/>
        </w:rPr>
        <w:t>析、融合通信七大核心组件，形成了自身独特的面向全生产场景的全栈智能化运维管理解决方案，可为企业运维转型升级提</w:t>
      </w:r>
      <w:r>
        <w:rPr>
          <w:spacing w:val="-66"/>
        </w:rPr>
        <w:t> </w:t>
      </w:r>
      <w:r>
        <w:rPr>
          <w:spacing w:val="-66"/>
        </w:rPr>
      </w:r>
      <w:r>
        <w:rPr/>
        <w:t>供强有力的技术支撑。</w:t>
      </w:r>
    </w:p>
    <w:p>
      <w:pPr>
        <w:pStyle w:val="BodyText"/>
        <w:spacing w:line="451" w:lineRule="auto" w:before="54"/>
        <w:ind w:right="1131" w:firstLine="361"/>
        <w:jc w:val="both"/>
      </w:pPr>
      <w:r>
        <w:rPr>
          <w:rFonts w:ascii="Times New Roman" w:hAnsi="Times New Roman" w:cs="Times New Roman" w:eastAsia="Times New Roman" w:hint="default"/>
          <w:b/>
          <w:bCs/>
          <w:spacing w:val="-1"/>
        </w:rPr>
        <w:t>B</w:t>
      </w:r>
      <w:r>
        <w:rPr>
          <w:rFonts w:ascii="宋体" w:hAnsi="宋体" w:cs="宋体" w:eastAsia="宋体" w:hint="default"/>
          <w:b/>
          <w:bCs/>
          <w:spacing w:val="-1"/>
        </w:rPr>
        <w:t>、在信息安全业务线</w:t>
      </w:r>
      <w:r>
        <w:rPr>
          <w:spacing w:val="-1"/>
        </w:rPr>
        <w:t>，公司拥有十六年以上的企业安全管理产品研发和项目实施经验，拥有一支精于企业安全管理的</w:t>
      </w:r>
      <w:r>
        <w:rPr/>
        <w:t> 专家团队，是国内领先的企业安全架构设计思想的提出者和践行者。</w:t>
      </w:r>
    </w:p>
    <w:p>
      <w:pPr>
        <w:pStyle w:val="BodyText"/>
        <w:spacing w:line="451" w:lineRule="auto" w:before="74"/>
        <w:ind w:right="1130" w:firstLine="360"/>
        <w:jc w:val="both"/>
      </w:pPr>
      <w:r>
        <w:rPr>
          <w:rFonts w:ascii="Times New Roman" w:hAnsi="Times New Roman" w:cs="Times New Roman" w:eastAsia="Times New Roman" w:hint="default"/>
          <w:spacing w:val="-3"/>
        </w:rPr>
        <w:t>2018</w:t>
      </w:r>
      <w:r>
        <w:rPr>
          <w:spacing w:val="-3"/>
        </w:rPr>
        <w:t>年，公司在安全领域的产品建设一方面继续在优势领域升级公司的各类企业级安全管理解决方案，不断向</w:t>
      </w:r>
      <w:r>
        <w:rPr>
          <w:rFonts w:ascii="Times New Roman" w:hAnsi="Times New Roman" w:cs="Times New Roman" w:eastAsia="Times New Roman" w:hint="default"/>
          <w:spacing w:val="-3"/>
        </w:rPr>
        <w:t>Security</w:t>
      </w:r>
      <w:r>
        <w:rPr>
          <w:rFonts w:ascii="Times New Roman" w:hAnsi="Times New Roman" w:cs="Times New Roman" w:eastAsia="Times New Roman" w:hint="default"/>
          <w:spacing w:val="14"/>
        </w:rPr>
        <w:t> </w:t>
      </w:r>
      <w:r>
        <w:rPr>
          <w:rFonts w:ascii="Times New Roman" w:hAnsi="Times New Roman" w:cs="Times New Roman" w:eastAsia="Times New Roman" w:hint="default"/>
          <w:w w:val="99"/>
        </w:rPr>
        <w:t>as</w:t>
      </w:r>
      <w:r>
        <w:rPr>
          <w:rFonts w:ascii="Times New Roman" w:hAnsi="Times New Roman" w:cs="Times New Roman" w:eastAsia="Times New Roman" w:hint="default"/>
          <w:w w:val="99"/>
        </w:rPr>
        <w:t> </w:t>
      </w:r>
      <w:r>
        <w:rPr>
          <w:rFonts w:ascii="Times New Roman" w:hAnsi="Times New Roman" w:cs="Times New Roman" w:eastAsia="Times New Roman" w:hint="default"/>
        </w:rPr>
        <w:t>a</w:t>
      </w:r>
      <w:r>
        <w:rPr>
          <w:rFonts w:ascii="Times New Roman" w:hAnsi="Times New Roman" w:cs="Times New Roman" w:eastAsia="Times New Roman" w:hint="default"/>
          <w:spacing w:val="-24"/>
        </w:rPr>
        <w:t> </w:t>
      </w:r>
      <w:r>
        <w:rPr>
          <w:rFonts w:ascii="Times New Roman" w:hAnsi="Times New Roman" w:cs="Times New Roman" w:eastAsia="Times New Roman" w:hint="default"/>
        </w:rPr>
        <w:t>Service</w:t>
      </w:r>
      <w:r>
        <w:rPr/>
        <w:t>（安全即服务化）趋势发展，另一方面注重安全专项功能产品建设，打造软硬一体的标准化产品，以便于提升业务 效率、快速交付，广泛开展渠道合作。</w:t>
      </w:r>
    </w:p>
    <w:p>
      <w:pPr>
        <w:pStyle w:val="BodyText"/>
        <w:spacing w:line="470" w:lineRule="auto" w:before="74"/>
        <w:ind w:right="1130" w:firstLine="360"/>
        <w:jc w:val="both"/>
      </w:pPr>
      <w:r>
        <w:rPr>
          <w:spacing w:val="-2"/>
        </w:rPr>
        <w:t>根据信息安全行业发展特征，公司</w:t>
      </w:r>
      <w:r>
        <w:rPr>
          <w:rFonts w:ascii="Times New Roman" w:hAnsi="Times New Roman" w:cs="Times New Roman" w:eastAsia="Times New Roman" w:hint="default"/>
          <w:spacing w:val="-2"/>
        </w:rPr>
        <w:t>2018</w:t>
      </w:r>
      <w:r>
        <w:rPr>
          <w:spacing w:val="-2"/>
        </w:rPr>
        <w:t>年在原有安全产品系统架构上积极拓展五类安全业务：行业定制类安全管理平台</w:t>
      </w:r>
      <w:r>
        <w:rPr/>
        <w:t> </w:t>
      </w:r>
      <w:r>
        <w:rPr>
          <w:spacing w:val="-2"/>
        </w:rPr>
        <w:t>业务、数据采集类标准化产品及其承载的标准化业务、安全监测分析类专项工具、网络安全法强制符合性工具以及工业物联</w:t>
      </w:r>
      <w:r>
        <w:rPr>
          <w:spacing w:val="-66"/>
        </w:rPr>
        <w:t> </w:t>
      </w:r>
      <w:r>
        <w:rPr>
          <w:spacing w:val="-66"/>
        </w:rPr>
      </w:r>
      <w:r>
        <w:rPr>
          <w:spacing w:val="-2"/>
        </w:rPr>
        <w:t>网安全的创新预研产品等。公司紧跟中国移动、中国电信和各大银行等大客户的安全市场扩容需求，同时注重加强与工信部</w:t>
      </w:r>
      <w:r>
        <w:rPr>
          <w:spacing w:val="-66"/>
        </w:rPr>
        <w:t> </w:t>
      </w:r>
      <w:r>
        <w:rPr>
          <w:spacing w:val="-66"/>
        </w:rPr>
      </w:r>
      <w:r>
        <w:rPr>
          <w:spacing w:val="-2"/>
        </w:rPr>
        <w:t>等各级信息安全主管部门的沟通合作，加大国家信息安全领域的跟踪投入力度，积极拓展公安、网信办等领域的信息安全业</w:t>
      </w:r>
      <w:r>
        <w:rPr>
          <w:spacing w:val="-66"/>
        </w:rPr>
        <w:t> </w:t>
      </w:r>
      <w:r>
        <w:rPr>
          <w:spacing w:val="-66"/>
        </w:rPr>
      </w:r>
      <w:r>
        <w:rPr/>
        <w:t>务。在业界有很好的反响。</w:t>
      </w:r>
      <w:r>
        <w:rPr>
          <w:rFonts w:ascii="Times New Roman" w:hAnsi="Times New Roman" w:cs="Times New Roman" w:eastAsia="Times New Roman" w:hint="default"/>
        </w:rPr>
        <w:t>2019</w:t>
      </w:r>
      <w:r>
        <w:rPr/>
        <w:t>年，神州泰岳安全业务将从电信、金融等市场全面走向更广泛的行业用户市场。</w:t>
      </w:r>
    </w:p>
    <w:p>
      <w:pPr>
        <w:spacing w:line="240" w:lineRule="auto" w:before="0"/>
        <w:rPr>
          <w:rFonts w:ascii="宋体" w:hAnsi="宋体" w:cs="宋体" w:eastAsia="宋体" w:hint="default"/>
          <w:sz w:val="18"/>
          <w:szCs w:val="18"/>
        </w:rPr>
      </w:pPr>
    </w:p>
    <w:p>
      <w:pPr>
        <w:spacing w:line="240" w:lineRule="auto" w:before="13"/>
        <w:rPr>
          <w:rFonts w:ascii="宋体" w:hAnsi="宋体" w:cs="宋体" w:eastAsia="宋体" w:hint="default"/>
          <w:sz w:val="18"/>
          <w:szCs w:val="18"/>
        </w:rPr>
      </w:pPr>
    </w:p>
    <w:p>
      <w:pPr>
        <w:pStyle w:val="Heading4"/>
        <w:spacing w:line="240" w:lineRule="auto"/>
        <w:ind w:right="0"/>
        <w:jc w:val="left"/>
        <w:rPr>
          <w:b w:val="0"/>
          <w:bCs w:val="0"/>
          <w:i w:val="0"/>
        </w:rPr>
      </w:pPr>
      <w:bookmarkStart w:name="4、手机游戏领域" w:id="36"/>
      <w:bookmarkEnd w:id="36"/>
      <w:r>
        <w:rPr>
          <w:b w:val="0"/>
          <w:bCs w:val="0"/>
          <w:i w:val="0"/>
        </w:rPr>
      </w:r>
      <w:r>
        <w:rPr>
          <w:rFonts w:ascii="Times New Roman" w:hAnsi="Times New Roman" w:cs="Times New Roman" w:eastAsia="Times New Roman" w:hint="default"/>
          <w:i/>
          <w:sz w:val="18"/>
          <w:szCs w:val="18"/>
        </w:rPr>
      </w:r>
      <w:r>
        <w:rPr>
          <w:rFonts w:ascii="Times New Roman" w:hAnsi="Times New Roman" w:cs="Times New Roman" w:eastAsia="Times New Roman" w:hint="default"/>
          <w:i/>
          <w:sz w:val="18"/>
          <w:szCs w:val="18"/>
          <w:u w:val="single" w:color="000000"/>
        </w:rPr>
        <w:t>4</w:t>
      </w:r>
      <w:r>
        <w:rPr>
          <w:u w:val="single" w:color="000000"/>
        </w:rPr>
        <w:t>、手机游戏领域</w:t>
      </w:r>
      <w:r>
        <w:rPr/>
      </w:r>
      <w:r>
        <w:rPr>
          <w:b w:val="0"/>
          <w:bCs w:val="0"/>
          <w:i w:val="0"/>
        </w:rPr>
      </w:r>
    </w:p>
    <w:p>
      <w:pPr>
        <w:spacing w:line="240" w:lineRule="auto" w:before="4"/>
        <w:rPr>
          <w:rFonts w:ascii="宋体" w:hAnsi="宋体" w:cs="宋体" w:eastAsia="宋体" w:hint="default"/>
          <w:b/>
          <w:bCs/>
          <w:i/>
          <w:sz w:val="13"/>
          <w:szCs w:val="13"/>
        </w:rPr>
      </w:pPr>
    </w:p>
    <w:p>
      <w:pPr>
        <w:pStyle w:val="BodyText"/>
        <w:spacing w:line="451" w:lineRule="auto" w:before="44"/>
        <w:ind w:right="1129" w:firstLine="360"/>
        <w:jc w:val="both"/>
      </w:pPr>
      <w:r>
        <w:rPr>
          <w:rFonts w:ascii="Times New Roman" w:hAnsi="Times New Roman" w:cs="Times New Roman" w:eastAsia="Times New Roman" w:hint="default"/>
          <w:spacing w:val="-2"/>
        </w:rPr>
        <w:t>2018</w:t>
      </w:r>
      <w:r>
        <w:rPr>
          <w:spacing w:val="-2"/>
        </w:rPr>
        <w:t>年，公司深耕细作、不断优化爆款游戏《战火与秩序》的玩法与用户体验，加强市场推广力度，致力于将其打造成</w:t>
      </w:r>
      <w:r>
        <w:rPr/>
        <w:t> 长生命周期的重度类手游产品。该游戏</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4</w:t>
      </w:r>
      <w:r>
        <w:rPr/>
        <w:t>月份上线至今，已获得多次谷歌全球精选游戏首页推荐，报告期内全球流水</w:t>
      </w:r>
      <w:r>
        <w:rPr>
          <w:spacing w:val="-82"/>
        </w:rPr>
        <w:t> </w:t>
      </w:r>
      <w:r>
        <w:rPr>
          <w:spacing w:val="-82"/>
        </w:rPr>
      </w:r>
      <w:r>
        <w:rPr/>
        <w:t>月均</w:t>
      </w:r>
      <w:r>
        <w:rPr>
          <w:rFonts w:ascii="Times New Roman" w:hAnsi="Times New Roman" w:cs="Times New Roman" w:eastAsia="Times New Roman" w:hint="default"/>
        </w:rPr>
        <w:t>1,000</w:t>
      </w:r>
      <w:r>
        <w:rPr/>
        <w:t>万美元以上。</w:t>
      </w:r>
      <w:r>
        <w:rPr>
          <w:color w:val="333333"/>
        </w:rPr>
        <w:t>同时</w:t>
      </w:r>
      <w:r>
        <w:rPr/>
        <w:t>着力进行新款游戏的开发与打磨，积极做好游戏产品储备，为公司游戏业务的可持续发展打下</w:t>
      </w:r>
      <w:r>
        <w:rPr>
          <w:spacing w:val="-47"/>
        </w:rPr>
        <w:t> </w:t>
      </w:r>
      <w:r>
        <w:rPr>
          <w:spacing w:val="-47"/>
        </w:rPr>
      </w:r>
      <w:r>
        <w:rPr/>
        <w:t>良好基础。</w:t>
      </w:r>
    </w:p>
    <w:p>
      <w:pPr>
        <w:spacing w:line="240" w:lineRule="auto" w:before="8"/>
        <w:rPr>
          <w:rFonts w:ascii="宋体" w:hAnsi="宋体" w:cs="宋体" w:eastAsia="宋体" w:hint="default"/>
          <w:sz w:val="17"/>
          <w:szCs w:val="17"/>
        </w:rPr>
      </w:pPr>
    </w:p>
    <w:p>
      <w:pPr>
        <w:pStyle w:val="BodyText"/>
        <w:spacing w:line="451" w:lineRule="auto"/>
        <w:ind w:right="1132" w:firstLine="360"/>
        <w:jc w:val="both"/>
      </w:pPr>
      <w:r>
        <w:rPr>
          <w:spacing w:val="-2"/>
        </w:rPr>
        <w:t>在由七麦数据联合创新工场、清科集团、品途集团联合主办的“</w:t>
      </w:r>
      <w:r>
        <w:rPr>
          <w:rFonts w:ascii="Times New Roman" w:hAnsi="Times New Roman" w:cs="Times New Roman" w:eastAsia="Times New Roman" w:hint="default"/>
          <w:spacing w:val="-2"/>
        </w:rPr>
        <w:t>NextWorld</w:t>
      </w:r>
      <w:r>
        <w:rPr>
          <w:rFonts w:ascii="Times New Roman" w:hAnsi="Times New Roman" w:cs="Times New Roman" w:eastAsia="Times New Roman" w:hint="default"/>
          <w:spacing w:val="44"/>
        </w:rPr>
        <w:t> </w:t>
      </w:r>
      <w:r>
        <w:rPr>
          <w:rFonts w:ascii="Times New Roman" w:hAnsi="Times New Roman" w:cs="Times New Roman" w:eastAsia="Times New Roman" w:hint="default"/>
          <w:spacing w:val="-1"/>
        </w:rPr>
        <w:t>2017</w:t>
      </w:r>
      <w:r>
        <w:rPr>
          <w:spacing w:val="-1"/>
        </w:rPr>
        <w:t>新生态未来峰会暨第二届年度风采奖盛</w:t>
      </w:r>
      <w:r>
        <w:rPr/>
        <w:t> </w:t>
      </w:r>
      <w:r>
        <w:rPr>
          <w:spacing w:val="-3"/>
          <w:w w:val="100"/>
        </w:rPr>
        <w:t>典”上，《战火与秩序》荣获</w:t>
      </w:r>
      <w:r>
        <w:rPr>
          <w:rFonts w:ascii="Times New Roman" w:hAnsi="Times New Roman" w:cs="Times New Roman" w:eastAsia="Times New Roman" w:hint="default"/>
          <w:spacing w:val="-3"/>
          <w:w w:val="100"/>
        </w:rPr>
        <w:t>“</w:t>
      </w:r>
      <w:r>
        <w:rPr>
          <w:spacing w:val="-3"/>
          <w:w w:val="100"/>
        </w:rPr>
        <w:t>年度最具风采</w:t>
      </w:r>
      <w:r>
        <w:rPr>
          <w:rFonts w:ascii="Times New Roman" w:hAnsi="Times New Roman" w:cs="Times New Roman" w:eastAsia="Times New Roman" w:hint="default"/>
          <w:spacing w:val="-3"/>
          <w:w w:val="100"/>
        </w:rPr>
        <w:t>-</w:t>
      </w:r>
      <w:r>
        <w:rPr>
          <w:spacing w:val="-3"/>
          <w:w w:val="100"/>
        </w:rPr>
        <w:t>创享游戏</w:t>
      </w:r>
      <w:r>
        <w:rPr>
          <w:rFonts w:ascii="Times New Roman" w:hAnsi="Times New Roman" w:cs="Times New Roman" w:eastAsia="Times New Roman" w:hint="default"/>
          <w:spacing w:val="-3"/>
          <w:w w:val="100"/>
        </w:rPr>
        <w:t>”</w:t>
      </w:r>
      <w:r>
        <w:rPr>
          <w:spacing w:val="-3"/>
          <w:w w:val="100"/>
        </w:rPr>
        <w:t>大奖。在</w:t>
      </w:r>
      <w:r>
        <w:rPr>
          <w:rFonts w:ascii="Times New Roman" w:hAnsi="Times New Roman" w:cs="Times New Roman" w:eastAsia="Times New Roman" w:hint="default"/>
          <w:spacing w:val="-3"/>
          <w:w w:val="100"/>
        </w:rPr>
        <w:t>App</w:t>
      </w:r>
      <w:r>
        <w:rPr>
          <w:rFonts w:ascii="Times New Roman" w:hAnsi="Times New Roman" w:cs="Times New Roman" w:eastAsia="Times New Roman" w:hint="default"/>
          <w:spacing w:val="27"/>
          <w:w w:val="100"/>
        </w:rPr>
        <w:t> </w:t>
      </w:r>
      <w:r>
        <w:rPr>
          <w:rFonts w:ascii="Times New Roman" w:hAnsi="Times New Roman" w:cs="Times New Roman" w:eastAsia="Times New Roman" w:hint="default"/>
        </w:rPr>
        <w:t>Annie</w:t>
      </w:r>
      <w:r>
        <w:rPr/>
        <w:t>数据平台发布的</w:t>
      </w:r>
      <w:r>
        <w:rPr>
          <w:rFonts w:ascii="Times New Roman" w:hAnsi="Times New Roman" w:cs="Times New Roman" w:eastAsia="Times New Roman" w:hint="default"/>
        </w:rPr>
        <w:t>2018</w:t>
      </w:r>
      <w:r>
        <w:rPr/>
        <w:t>年全年中国发行商出海收入</w:t>
      </w:r>
      <w:r>
        <w:rPr>
          <w:spacing w:val="-87"/>
        </w:rPr>
        <w:t> </w:t>
      </w:r>
      <w:r>
        <w:rPr>
          <w:spacing w:val="-87"/>
        </w:rPr>
      </w:r>
      <w:r>
        <w:rPr/>
        <w:t>榜单中，占据名额。</w:t>
      </w:r>
    </w:p>
    <w:p>
      <w:pPr>
        <w:spacing w:after="0" w:line="451" w:lineRule="auto"/>
        <w:jc w:val="both"/>
        <w:sectPr>
          <w:pgSz w:w="11910" w:h="16840"/>
          <w:pgMar w:header="851" w:footer="1187" w:top="1400" w:bottom="1380" w:left="980" w:right="0"/>
        </w:sectPr>
      </w:pPr>
    </w:p>
    <w:p>
      <w:pPr>
        <w:spacing w:line="240" w:lineRule="auto" w:before="2"/>
        <w:rPr>
          <w:rFonts w:ascii="宋体" w:hAnsi="宋体" w:cs="宋体" w:eastAsia="宋体" w:hint="default"/>
          <w:sz w:val="9"/>
          <w:szCs w:val="9"/>
        </w:rPr>
      </w:pPr>
    </w:p>
    <w:p>
      <w:pPr>
        <w:spacing w:line="5507" w:lineRule="exact"/>
        <w:ind w:left="154" w:right="0" w:firstLine="0"/>
        <w:rPr>
          <w:rFonts w:ascii="宋体" w:hAnsi="宋体" w:cs="宋体" w:eastAsia="宋体" w:hint="default"/>
          <w:sz w:val="20"/>
          <w:szCs w:val="20"/>
        </w:rPr>
      </w:pPr>
      <w:r>
        <w:rPr>
          <w:rFonts w:ascii="宋体" w:hAnsi="宋体" w:cs="宋体" w:eastAsia="宋体" w:hint="default"/>
          <w:position w:val="-109"/>
          <w:sz w:val="20"/>
          <w:szCs w:val="20"/>
        </w:rPr>
        <w:drawing>
          <wp:inline distT="0" distB="0" distL="0" distR="0">
            <wp:extent cx="6271457" cy="3497484"/>
            <wp:effectExtent l="0" t="0" r="0" b="0"/>
            <wp:docPr id="73" name="image75.jpeg" descr=""/>
            <wp:cNvGraphicFramePr>
              <a:graphicFrameLocks noChangeAspect="1"/>
            </wp:cNvGraphicFramePr>
            <a:graphic>
              <a:graphicData uri="http://schemas.openxmlformats.org/drawingml/2006/picture">
                <pic:pic>
                  <pic:nvPicPr>
                    <pic:cNvPr id="74" name="image75.jpeg"/>
                    <pic:cNvPicPr/>
                  </pic:nvPicPr>
                  <pic:blipFill>
                    <a:blip r:embed="rId82" cstate="print"/>
                    <a:stretch>
                      <a:fillRect/>
                    </a:stretch>
                  </pic:blipFill>
                  <pic:spPr>
                    <a:xfrm>
                      <a:off x="0" y="0"/>
                      <a:ext cx="6271457" cy="3497484"/>
                    </a:xfrm>
                    <a:prstGeom prst="rect">
                      <a:avLst/>
                    </a:prstGeom>
                  </pic:spPr>
                </pic:pic>
              </a:graphicData>
            </a:graphic>
          </wp:inline>
        </w:drawing>
      </w:r>
      <w:r>
        <w:rPr>
          <w:rFonts w:ascii="宋体" w:hAnsi="宋体" w:cs="宋体" w:eastAsia="宋体" w:hint="default"/>
          <w:position w:val="-109"/>
          <w:sz w:val="20"/>
          <w:szCs w:val="20"/>
        </w:rPr>
      </w:r>
    </w:p>
    <w:p>
      <w:pPr>
        <w:spacing w:line="415" w:lineRule="auto" w:before="102"/>
        <w:ind w:left="514" w:right="1573" w:firstLine="2461"/>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App Annie</w:t>
      </w:r>
      <w:r>
        <w:rPr>
          <w:rFonts w:ascii="Times New Roman" w:hAnsi="Times New Roman" w:cs="Times New Roman" w:eastAsia="Times New Roman" w:hint="default"/>
          <w:b/>
          <w:bCs/>
          <w:spacing w:val="1"/>
          <w:sz w:val="18"/>
          <w:szCs w:val="18"/>
        </w:rPr>
        <w:t> </w:t>
      </w:r>
      <w:r>
        <w:rPr>
          <w:rFonts w:ascii="宋体" w:hAnsi="宋体" w:cs="宋体" w:eastAsia="宋体" w:hint="default"/>
          <w:b/>
          <w:bCs/>
          <w:sz w:val="18"/>
          <w:szCs w:val="18"/>
        </w:rPr>
        <w:t>每月发布中国发行商出海收入榜单）</w:t>
      </w:r>
      <w:r>
        <w:rPr>
          <w:rFonts w:ascii="宋体" w:hAnsi="宋体" w:cs="宋体" w:eastAsia="宋体" w:hint="default"/>
          <w:b/>
          <w:bCs/>
          <w:w w:val="99"/>
          <w:sz w:val="18"/>
          <w:szCs w:val="18"/>
        </w:rPr>
        <w:t> </w:t>
      </w:r>
      <w:r>
        <w:rPr>
          <w:rFonts w:ascii="宋体" w:hAnsi="宋体" w:cs="宋体" w:eastAsia="宋体" w:hint="default"/>
          <w:sz w:val="18"/>
          <w:szCs w:val="18"/>
        </w:rPr>
        <w:t>公司需遵守《深圳证券交易所创业板行业信息披露指引第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号——上市公司从事互联网游戏业务》的披露要求：</w:t>
      </w:r>
    </w:p>
    <w:p>
      <w:pPr>
        <w:pStyle w:val="BodyText"/>
        <w:spacing w:line="240" w:lineRule="auto" w:before="113"/>
        <w:ind w:left="514" w:right="0"/>
        <w:jc w:val="left"/>
      </w:pPr>
      <w:r>
        <w:rPr/>
        <w:t>报告期内，公司新增运营</w:t>
      </w:r>
      <w:r>
        <w:rPr>
          <w:spacing w:val="-46"/>
        </w:rPr>
        <w:t> </w:t>
      </w:r>
      <w:r>
        <w:rPr>
          <w:rFonts w:ascii="Times New Roman" w:hAnsi="Times New Roman" w:cs="Times New Roman" w:eastAsia="Times New Roman" w:hint="default"/>
        </w:rPr>
        <w:t>3 </w:t>
      </w:r>
      <w:r>
        <w:rPr/>
        <w:t>款游戏；报告期末，共有</w:t>
      </w:r>
      <w:r>
        <w:rPr>
          <w:spacing w:val="-46"/>
        </w:rPr>
        <w:t> </w:t>
      </w:r>
      <w:r>
        <w:rPr>
          <w:rFonts w:ascii="Times New Roman" w:hAnsi="Times New Roman" w:cs="Times New Roman" w:eastAsia="Times New Roman" w:hint="default"/>
        </w:rPr>
        <w:t>6 </w:t>
      </w:r>
      <w:r>
        <w:rPr/>
        <w:t>款在运营的游戏。</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0"/>
          <w:szCs w:val="20"/>
        </w:rPr>
      </w:pPr>
    </w:p>
    <w:p>
      <w:pPr>
        <w:pStyle w:val="Heading2"/>
        <w:spacing w:line="240" w:lineRule="auto"/>
        <w:ind w:right="0"/>
        <w:jc w:val="left"/>
        <w:rPr>
          <w:b w:val="0"/>
          <w:bCs w:val="0"/>
        </w:rPr>
      </w:pPr>
      <w:bookmarkStart w:name="二、主营业务分析" w:id="37"/>
      <w:bookmarkEnd w:id="37"/>
      <w:r>
        <w:rPr>
          <w:b w:val="0"/>
          <w:bCs w:val="0"/>
        </w:rPr>
      </w:r>
      <w:r>
        <w:rPr/>
        <w:t>二、主营业务分析</w:t>
      </w:r>
      <w:r>
        <w:rPr>
          <w:b w:val="0"/>
          <w:bCs w:val="0"/>
        </w:rPr>
      </w:r>
    </w:p>
    <w:p>
      <w:pPr>
        <w:spacing w:line="240" w:lineRule="auto" w:before="9"/>
        <w:rPr>
          <w:rFonts w:ascii="宋体" w:hAnsi="宋体" w:cs="宋体" w:eastAsia="宋体" w:hint="default"/>
          <w:b/>
          <w:bCs/>
          <w:sz w:val="24"/>
          <w:szCs w:val="24"/>
        </w:rPr>
      </w:pPr>
    </w:p>
    <w:p>
      <w:pPr>
        <w:spacing w:line="544" w:lineRule="auto" w:before="0"/>
        <w:ind w:left="154" w:right="6472" w:firstLine="0"/>
        <w:jc w:val="left"/>
        <w:rPr>
          <w:rFonts w:ascii="宋体" w:hAnsi="宋体" w:cs="宋体" w:eastAsia="宋体" w:hint="default"/>
          <w:sz w:val="21"/>
          <w:szCs w:val="21"/>
        </w:rPr>
      </w:pPr>
      <w:bookmarkStart w:name="1、概述" w:id="38"/>
      <w:bookmarkEnd w:id="38"/>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、概述</w:t>
      </w:r>
      <w:r>
        <w:rPr>
          <w:rFonts w:ascii="宋体" w:hAnsi="宋体" w:cs="宋体" w:eastAsia="宋体" w:hint="default"/>
          <w:b/>
          <w:bCs/>
          <w:spacing w:val="1"/>
          <w:w w:val="99"/>
          <w:sz w:val="21"/>
          <w:szCs w:val="21"/>
        </w:rPr>
        <w:t> </w:t>
      </w:r>
      <w:r>
        <w:rPr>
          <w:rFonts w:ascii="宋体" w:hAnsi="宋体" w:cs="宋体" w:eastAsia="宋体" w:hint="default"/>
          <w:sz w:val="18"/>
          <w:szCs w:val="18"/>
        </w:rPr>
        <w:t>参见</w:t>
      </w:r>
      <w:r>
        <w:rPr>
          <w:rFonts w:ascii="Times New Roman" w:hAnsi="Times New Roman" w:cs="Times New Roman" w:eastAsia="Times New Roman" w:hint="default"/>
          <w:sz w:val="18"/>
          <w:szCs w:val="18"/>
        </w:rPr>
        <w:t>“</w:t>
      </w:r>
      <w:r>
        <w:rPr>
          <w:rFonts w:ascii="宋体" w:hAnsi="宋体" w:cs="宋体" w:eastAsia="宋体" w:hint="default"/>
          <w:sz w:val="18"/>
          <w:szCs w:val="18"/>
        </w:rPr>
        <w:t>经营情况讨论与分析</w:t>
      </w:r>
      <w:r>
        <w:rPr>
          <w:rFonts w:ascii="Times New Roman" w:hAnsi="Times New Roman" w:cs="Times New Roman" w:eastAsia="Times New Roman" w:hint="default"/>
          <w:sz w:val="18"/>
          <w:szCs w:val="18"/>
        </w:rPr>
        <w:t>”</w:t>
      </w:r>
      <w:r>
        <w:rPr>
          <w:rFonts w:ascii="宋体" w:hAnsi="宋体" w:cs="宋体" w:eastAsia="宋体" w:hint="default"/>
          <w:sz w:val="18"/>
          <w:szCs w:val="18"/>
        </w:rPr>
        <w:t>中的</w:t>
      </w:r>
      <w:r>
        <w:rPr>
          <w:rFonts w:ascii="Times New Roman" w:hAnsi="Times New Roman" w:cs="Times New Roman" w:eastAsia="Times New Roman" w:hint="default"/>
          <w:sz w:val="18"/>
          <w:szCs w:val="18"/>
        </w:rPr>
        <w:t>“</w:t>
      </w:r>
      <w:r>
        <w:rPr>
          <w:rFonts w:ascii="宋体" w:hAnsi="宋体" w:cs="宋体" w:eastAsia="宋体" w:hint="default"/>
          <w:sz w:val="18"/>
          <w:szCs w:val="18"/>
        </w:rPr>
        <w:t>一、概述</w:t>
      </w:r>
      <w:r>
        <w:rPr>
          <w:rFonts w:ascii="Times New Roman" w:hAnsi="Times New Roman" w:cs="Times New Roman" w:eastAsia="Times New Roman" w:hint="default"/>
          <w:sz w:val="18"/>
          <w:szCs w:val="18"/>
        </w:rPr>
        <w:t>”</w:t>
      </w:r>
      <w:r>
        <w:rPr>
          <w:rFonts w:ascii="宋体" w:hAnsi="宋体" w:cs="宋体" w:eastAsia="宋体" w:hint="default"/>
          <w:sz w:val="18"/>
          <w:szCs w:val="18"/>
        </w:rPr>
        <w:t>相关内容。 </w:t>
      </w:r>
      <w:bookmarkStart w:name="2、收入与成本" w:id="39"/>
      <w:bookmarkEnd w:id="39"/>
      <w:r>
        <w:rPr>
          <w:rFonts w:ascii="宋体" w:hAnsi="宋体" w:cs="宋体" w:eastAsia="宋体" w:hint="default"/>
          <w:sz w:val="18"/>
          <w:szCs w:val="18"/>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、收入与成本</w:t>
      </w:r>
      <w:r>
        <w:rPr>
          <w:rFonts w:ascii="宋体" w:hAnsi="宋体" w:cs="宋体" w:eastAsia="宋体" w:hint="default"/>
          <w:sz w:val="21"/>
          <w:szCs w:val="21"/>
        </w:rPr>
      </w:r>
    </w:p>
    <w:p>
      <w:pPr>
        <w:pStyle w:val="Heading3"/>
        <w:spacing w:line="240" w:lineRule="auto" w:before="28"/>
        <w:ind w:right="0"/>
        <w:jc w:val="left"/>
        <w:rPr>
          <w:b w:val="0"/>
          <w:bCs w:val="0"/>
        </w:rPr>
      </w:pPr>
      <w:bookmarkStart w:name="（1）营业收入构成" w:id="40"/>
      <w:bookmarkEnd w:id="40"/>
      <w:r>
        <w:rPr>
          <w:b w:val="0"/>
          <w:bCs w:val="0"/>
        </w:rPr>
      </w:r>
      <w:r>
        <w:rPr/>
        <w:t>（</w:t>
      </w:r>
      <w:r>
        <w:rPr>
          <w:rFonts w:ascii="Times New Roman" w:hAnsi="Times New Roman" w:cs="Times New Roman" w:eastAsia="Times New Roman" w:hint="default"/>
        </w:rPr>
        <w:t>1</w:t>
      </w:r>
      <w:r>
        <w:rPr/>
        <w:t>）营业收入构成</w:t>
      </w:r>
      <w:r>
        <w:rPr>
          <w:b w:val="0"/>
          <w:bCs w:val="0"/>
        </w:rPr>
      </w:r>
    </w:p>
    <w:p>
      <w:pPr>
        <w:spacing w:line="240" w:lineRule="auto" w:before="6"/>
        <w:rPr>
          <w:rFonts w:ascii="宋体" w:hAnsi="宋体" w:cs="宋体" w:eastAsia="宋体" w:hint="default"/>
          <w:b/>
          <w:bCs/>
          <w:sz w:val="32"/>
          <w:szCs w:val="32"/>
        </w:rPr>
      </w:pPr>
    </w:p>
    <w:p>
      <w:pPr>
        <w:pStyle w:val="Heading5"/>
        <w:spacing w:line="451" w:lineRule="auto"/>
        <w:ind w:right="1545"/>
        <w:jc w:val="left"/>
        <w:rPr>
          <w:b w:val="0"/>
          <w:bCs w:val="0"/>
        </w:rPr>
      </w:pPr>
      <w:r>
        <w:rPr/>
        <w:t>公司是否需遵守《深圳证券交易所创业板行业信息披露指引第</w:t>
      </w:r>
      <w:r>
        <w:rPr>
          <w:spacing w:val="-48"/>
        </w:rPr>
        <w:t> </w:t>
      </w:r>
      <w:r>
        <w:rPr>
          <w:rFonts w:ascii="Times New Roman" w:hAnsi="Times New Roman" w:cs="Times New Roman" w:eastAsia="Times New Roman" w:hint="default"/>
        </w:rPr>
        <w:t>5</w:t>
      </w:r>
      <w:r>
        <w:rPr>
          <w:rFonts w:ascii="Times New Roman" w:hAnsi="Times New Roman" w:cs="Times New Roman" w:eastAsia="Times New Roman" w:hint="default"/>
          <w:spacing w:val="-5"/>
        </w:rPr>
        <w:t> </w:t>
      </w:r>
      <w:r>
        <w:rPr/>
        <w:t>号</w:t>
      </w:r>
      <w:r>
        <w:rPr>
          <w:rFonts w:ascii="Times New Roman" w:hAnsi="Times New Roman" w:cs="Times New Roman" w:eastAsia="Times New Roman" w:hint="default"/>
        </w:rPr>
        <w:t>——</w:t>
      </w:r>
      <w:r>
        <w:rPr/>
        <w:t>上市公司从事互联网游戏业务》的披露要求：</w:t>
      </w:r>
      <w:r>
        <w:rPr>
          <w:w w:val="99"/>
        </w:rPr>
        <w:t> </w:t>
      </w:r>
      <w:r>
        <w:rPr/>
        <w:t>是</w:t>
      </w:r>
      <w:r>
        <w:rPr>
          <w:b w:val="0"/>
          <w:bCs w:val="0"/>
        </w:rPr>
      </w:r>
    </w:p>
    <w:p>
      <w:pPr>
        <w:pStyle w:val="Heading5"/>
        <w:spacing w:line="240" w:lineRule="auto" w:before="74"/>
        <w:ind w:right="0"/>
        <w:jc w:val="left"/>
        <w:rPr>
          <w:b w:val="0"/>
          <w:bCs w:val="0"/>
        </w:rPr>
      </w:pPr>
      <w:r>
        <w:rPr/>
        <w:t>主要游戏基本情况</w:t>
      </w:r>
      <w:r>
        <w:rPr>
          <w:b w:val="0"/>
          <w:bCs w:val="0"/>
        </w:rPr>
      </w:r>
    </w:p>
    <w:p>
      <w:pPr>
        <w:spacing w:line="240" w:lineRule="auto" w:before="12"/>
        <w:rPr>
          <w:rFonts w:ascii="宋体" w:hAnsi="宋体" w:cs="宋体" w:eastAsia="宋体" w:hint="default"/>
          <w:b/>
          <w:bCs/>
          <w:sz w:val="14"/>
          <w:szCs w:val="14"/>
        </w:rPr>
      </w:pPr>
    </w:p>
    <w:p>
      <w:pPr>
        <w:pStyle w:val="BodyText"/>
        <w:spacing w:line="240" w:lineRule="auto"/>
        <w:ind w:left="0" w:right="1130"/>
        <w:jc w:val="right"/>
      </w:pPr>
      <w:r>
        <w:rPr/>
        <w:t>单位：元</w:t>
      </w:r>
    </w:p>
    <w:p>
      <w:pPr>
        <w:spacing w:line="240" w:lineRule="auto" w:before="0"/>
        <w:rPr>
          <w:rFonts w:ascii="宋体" w:hAnsi="宋体" w:cs="宋体" w:eastAsia="宋体" w:hint="default"/>
          <w:sz w:val="8"/>
          <w:szCs w:val="8"/>
        </w:rPr>
      </w:pPr>
    </w:p>
    <w:tbl>
      <w:tblPr>
        <w:tblW w:w="0" w:type="auto"/>
        <w:jc w:val="left"/>
        <w:tblInd w:w="121" w:type="dxa"/>
        <w:tblLayout w:type="fixed"/>
        <w:tblCellMar>
          <w:top w:w="0" w:type="dxa"/>
          <w:left w:w="0" w:type="dxa"/>
          <w:bottom w:w="0" w:type="dxa"/>
          <w:right w:w="0" w:type="dxa"/>
        </w:tblCellMar>
        <w:tblLook w:val="01E0"/>
      </w:tblPr>
      <w:tblGrid>
        <w:gridCol w:w="1100"/>
        <w:gridCol w:w="912"/>
        <w:gridCol w:w="1006"/>
        <w:gridCol w:w="1005"/>
        <w:gridCol w:w="1295"/>
        <w:gridCol w:w="1003"/>
        <w:gridCol w:w="1323"/>
        <w:gridCol w:w="1026"/>
        <w:gridCol w:w="1015"/>
      </w:tblGrid>
      <w:tr>
        <w:trPr>
          <w:trHeight w:val="1338" w:hRule="exact"/>
        </w:trPr>
        <w:tc>
          <w:tcPr>
            <w:tcW w:w="1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84" w:right="0"/>
              <w:jc w:val="left"/>
              <w:rPr>
                <w:rFonts w:ascii="宋体" w:hAnsi="宋体" w:cs="宋体" w:eastAsia="宋体" w:hint="default"/>
                <w:sz w:val="18"/>
                <w:szCs w:val="18"/>
              </w:rPr>
            </w:pPr>
            <w:r>
              <w:rPr>
                <w:rFonts w:ascii="宋体" w:hAnsi="宋体" w:cs="宋体" w:eastAsia="宋体" w:hint="default"/>
                <w:sz w:val="18"/>
                <w:szCs w:val="18"/>
              </w:rPr>
              <w:t>游戏名称</w:t>
            </w:r>
          </w:p>
        </w:tc>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91" w:right="0"/>
              <w:jc w:val="left"/>
              <w:rPr>
                <w:rFonts w:ascii="宋体" w:hAnsi="宋体" w:cs="宋体" w:eastAsia="宋体" w:hint="default"/>
                <w:sz w:val="18"/>
                <w:szCs w:val="18"/>
              </w:rPr>
            </w:pPr>
            <w:r>
              <w:rPr>
                <w:rFonts w:ascii="宋体" w:hAnsi="宋体" w:cs="宋体" w:eastAsia="宋体" w:hint="default"/>
                <w:sz w:val="18"/>
                <w:szCs w:val="18"/>
              </w:rPr>
              <w:t>游戏类型</w:t>
            </w:r>
          </w:p>
        </w:tc>
        <w:tc>
          <w:tcPr>
            <w:tcW w:w="10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38" w:right="0"/>
              <w:jc w:val="left"/>
              <w:rPr>
                <w:rFonts w:ascii="宋体" w:hAnsi="宋体" w:cs="宋体" w:eastAsia="宋体" w:hint="default"/>
                <w:sz w:val="18"/>
                <w:szCs w:val="18"/>
              </w:rPr>
            </w:pPr>
            <w:r>
              <w:rPr>
                <w:rFonts w:ascii="宋体" w:hAnsi="宋体" w:cs="宋体" w:eastAsia="宋体" w:hint="default"/>
                <w:sz w:val="18"/>
                <w:szCs w:val="18"/>
              </w:rPr>
              <w:t>运营模式</w:t>
            </w:r>
          </w:p>
        </w:tc>
        <w:tc>
          <w:tcPr>
            <w:tcW w:w="10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36" w:right="0"/>
              <w:jc w:val="left"/>
              <w:rPr>
                <w:rFonts w:ascii="宋体" w:hAnsi="宋体" w:cs="宋体" w:eastAsia="宋体" w:hint="default"/>
                <w:sz w:val="18"/>
                <w:szCs w:val="18"/>
              </w:rPr>
            </w:pPr>
            <w:r>
              <w:rPr>
                <w:rFonts w:ascii="宋体" w:hAnsi="宋体" w:cs="宋体" w:eastAsia="宋体" w:hint="default"/>
                <w:sz w:val="18"/>
                <w:szCs w:val="18"/>
              </w:rPr>
              <w:t>收费方式</w:t>
            </w:r>
          </w:p>
        </w:tc>
        <w:tc>
          <w:tcPr>
            <w:tcW w:w="1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0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46" w:right="44"/>
              <w:jc w:val="center"/>
              <w:rPr>
                <w:rFonts w:ascii="宋体" w:hAnsi="宋体" w:cs="宋体" w:eastAsia="宋体" w:hint="default"/>
                <w:sz w:val="18"/>
                <w:szCs w:val="18"/>
              </w:rPr>
            </w:pPr>
            <w:r>
              <w:rPr>
                <w:rFonts w:ascii="宋体" w:hAnsi="宋体" w:cs="宋体" w:eastAsia="宋体" w:hint="default"/>
                <w:sz w:val="18"/>
                <w:szCs w:val="18"/>
              </w:rPr>
              <w:t>收入占游戏 业务收入的 比例</w:t>
            </w:r>
          </w:p>
        </w:tc>
        <w:tc>
          <w:tcPr>
            <w:tcW w:w="13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16" w:right="0"/>
              <w:jc w:val="left"/>
              <w:rPr>
                <w:rFonts w:ascii="宋体" w:hAnsi="宋体" w:cs="宋体" w:eastAsia="宋体" w:hint="default"/>
                <w:sz w:val="18"/>
                <w:szCs w:val="18"/>
              </w:rPr>
            </w:pPr>
            <w:r>
              <w:rPr>
                <w:rFonts w:ascii="宋体" w:hAnsi="宋体" w:cs="宋体" w:eastAsia="宋体" w:hint="default"/>
                <w:sz w:val="18"/>
                <w:szCs w:val="18"/>
              </w:rPr>
              <w:t>推广营销费用</w:t>
            </w:r>
          </w:p>
        </w:tc>
        <w:tc>
          <w:tcPr>
            <w:tcW w:w="10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57" w:right="56"/>
              <w:jc w:val="both"/>
              <w:rPr>
                <w:rFonts w:ascii="宋体" w:hAnsi="宋体" w:cs="宋体" w:eastAsia="宋体" w:hint="default"/>
                <w:sz w:val="18"/>
                <w:szCs w:val="18"/>
              </w:rPr>
            </w:pPr>
            <w:r>
              <w:rPr>
                <w:rFonts w:ascii="宋体" w:hAnsi="宋体" w:cs="宋体" w:eastAsia="宋体" w:hint="default"/>
                <w:sz w:val="18"/>
                <w:szCs w:val="18"/>
              </w:rPr>
              <w:t>推广营销费 用占游戏推 广营销费用 总额的比例</w:t>
            </w:r>
          </w:p>
        </w:tc>
        <w:tc>
          <w:tcPr>
            <w:tcW w:w="10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57" w:right="45"/>
              <w:jc w:val="center"/>
              <w:rPr>
                <w:rFonts w:ascii="宋体" w:hAnsi="宋体" w:cs="宋体" w:eastAsia="宋体" w:hint="default"/>
                <w:sz w:val="18"/>
                <w:szCs w:val="18"/>
              </w:rPr>
            </w:pPr>
            <w:r>
              <w:rPr>
                <w:rFonts w:ascii="宋体" w:hAnsi="宋体" w:cs="宋体" w:eastAsia="宋体" w:hint="default"/>
                <w:sz w:val="18"/>
                <w:szCs w:val="18"/>
              </w:rPr>
              <w:t>推广营销费 用占主要游 戏收入总额 的比例</w:t>
            </w:r>
          </w:p>
        </w:tc>
      </w:tr>
    </w:tbl>
    <w:p>
      <w:pPr>
        <w:spacing w:after="0" w:line="316" w:lineRule="auto"/>
        <w:jc w:val="center"/>
        <w:rPr>
          <w:rFonts w:ascii="宋体" w:hAnsi="宋体" w:cs="宋体" w:eastAsia="宋体" w:hint="default"/>
          <w:sz w:val="18"/>
          <w:szCs w:val="18"/>
        </w:rPr>
        <w:sectPr>
          <w:pgSz w:w="11910" w:h="16840"/>
          <w:pgMar w:header="851" w:footer="1187" w:top="1400" w:bottom="1380" w:left="980" w:right="0"/>
        </w:sectPr>
      </w:pPr>
    </w:p>
    <w:p>
      <w:pPr>
        <w:spacing w:line="240" w:lineRule="auto" w:before="3"/>
        <w:rPr>
          <w:rFonts w:ascii="宋体" w:hAnsi="宋体" w:cs="宋体" w:eastAsia="宋体" w:hint="default"/>
          <w:sz w:val="3"/>
          <w:szCs w:val="3"/>
        </w:rPr>
      </w:pPr>
    </w:p>
    <w:tbl>
      <w:tblPr>
        <w:tblW w:w="0" w:type="auto"/>
        <w:jc w:val="left"/>
        <w:tblInd w:w="361" w:type="dxa"/>
        <w:tblLayout w:type="fixed"/>
        <w:tblCellMar>
          <w:top w:w="0" w:type="dxa"/>
          <w:left w:w="0" w:type="dxa"/>
          <w:bottom w:w="0" w:type="dxa"/>
          <w:right w:w="0" w:type="dxa"/>
        </w:tblCellMar>
        <w:tblLook w:val="01E0"/>
      </w:tblPr>
      <w:tblGrid>
        <w:gridCol w:w="1100"/>
        <w:gridCol w:w="912"/>
        <w:gridCol w:w="1006"/>
        <w:gridCol w:w="1005"/>
        <w:gridCol w:w="1295"/>
        <w:gridCol w:w="1003"/>
        <w:gridCol w:w="1323"/>
        <w:gridCol w:w="1026"/>
        <w:gridCol w:w="1026"/>
      </w:tblGrid>
      <w:tr>
        <w:trPr>
          <w:trHeight w:val="1039" w:hRule="exact"/>
        </w:trPr>
        <w:tc>
          <w:tcPr>
            <w:tcW w:w="1100" w:type="dxa"/>
            <w:tcBorders>
              <w:top w:val="single" w:sz="10" w:space="0" w:color="000000"/>
              <w:left w:val="single" w:sz="4" w:space="0" w:color="000000"/>
              <w:bottom w:val="single" w:sz="4" w:space="0" w:color="000000"/>
              <w:right w:val="single" w:sz="4" w:space="0" w:color="000000"/>
            </w:tcBorders>
          </w:tcPr>
          <w:p>
            <w:pPr>
              <w:pStyle w:val="TableParagraph"/>
              <w:spacing w:line="307" w:lineRule="auto" w:before="97"/>
              <w:ind w:left="64" w:right="63" w:hanging="2"/>
              <w:jc w:val="center"/>
              <w:rPr>
                <w:rFonts w:ascii="宋体" w:hAnsi="宋体" w:cs="宋体" w:eastAsia="宋体" w:hint="default"/>
                <w:sz w:val="18"/>
                <w:szCs w:val="18"/>
              </w:rPr>
            </w:pPr>
            <w:r>
              <w:rPr>
                <w:rFonts w:ascii="Times New Roman" w:hAnsi="Times New Roman" w:cs="Times New Roman" w:eastAsia="Times New Roman" w:hint="default"/>
                <w:spacing w:val="-6"/>
                <w:sz w:val="18"/>
                <w:szCs w:val="18"/>
              </w:rPr>
              <w:t>War</w:t>
            </w:r>
            <w:r>
              <w:rPr>
                <w:rFonts w:ascii="Times New Roman" w:hAnsi="Times New Roman" w:cs="Times New Roman" w:eastAsia="Times New Roman" w:hint="default"/>
                <w:sz w:val="18"/>
                <w:szCs w:val="18"/>
              </w:rPr>
              <w:t> and</w:t>
            </w:r>
            <w:r>
              <w:rPr>
                <w:rFonts w:ascii="Times New Roman" w:hAnsi="Times New Roman" w:cs="Times New Roman" w:eastAsia="Times New Roman" w:hint="default"/>
                <w:sz w:val="18"/>
                <w:szCs w:val="18"/>
              </w:rPr>
              <w:t> Order</w:t>
            </w:r>
            <w:r>
              <w:rPr>
                <w:rFonts w:ascii="宋体" w:hAnsi="宋体" w:cs="宋体" w:eastAsia="宋体" w:hint="default"/>
                <w:sz w:val="18"/>
                <w:szCs w:val="18"/>
              </w:rPr>
              <w:t>（战火 与秩序）</w:t>
            </w:r>
          </w:p>
        </w:tc>
        <w:tc>
          <w:tcPr>
            <w:tcW w:w="91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left="271" w:right="0"/>
              <w:jc w:val="left"/>
              <w:rPr>
                <w:rFonts w:ascii="宋体" w:hAnsi="宋体" w:cs="宋体" w:eastAsia="宋体" w:hint="default"/>
                <w:sz w:val="18"/>
                <w:szCs w:val="18"/>
              </w:rPr>
            </w:pPr>
            <w:r>
              <w:rPr>
                <w:rFonts w:ascii="宋体" w:hAnsi="宋体" w:cs="宋体" w:eastAsia="宋体" w:hint="default"/>
                <w:sz w:val="18"/>
                <w:szCs w:val="18"/>
              </w:rPr>
              <w:t>策略</w:t>
            </w:r>
          </w:p>
        </w:tc>
        <w:tc>
          <w:tcPr>
            <w:tcW w:w="100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left="228" w:right="0"/>
              <w:jc w:val="left"/>
              <w:rPr>
                <w:rFonts w:ascii="宋体" w:hAnsi="宋体" w:cs="宋体" w:eastAsia="宋体" w:hint="default"/>
                <w:sz w:val="18"/>
                <w:szCs w:val="18"/>
              </w:rPr>
            </w:pPr>
            <w:r>
              <w:rPr>
                <w:rFonts w:ascii="宋体" w:hAnsi="宋体" w:cs="宋体" w:eastAsia="宋体" w:hint="default"/>
                <w:sz w:val="18"/>
                <w:szCs w:val="18"/>
              </w:rPr>
              <w:t>自运营</w:t>
            </w:r>
          </w:p>
        </w:tc>
        <w:tc>
          <w:tcPr>
            <w:tcW w:w="1005"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left="136" w:right="0"/>
              <w:jc w:val="left"/>
              <w:rPr>
                <w:rFonts w:ascii="宋体" w:hAnsi="宋体" w:cs="宋体" w:eastAsia="宋体" w:hint="default"/>
                <w:sz w:val="18"/>
                <w:szCs w:val="18"/>
              </w:rPr>
            </w:pPr>
            <w:r>
              <w:rPr>
                <w:rFonts w:ascii="宋体" w:hAnsi="宋体" w:cs="宋体" w:eastAsia="宋体" w:hint="default"/>
                <w:sz w:val="18"/>
                <w:szCs w:val="18"/>
              </w:rPr>
              <w:t>道具收费</w:t>
            </w:r>
          </w:p>
        </w:tc>
        <w:tc>
          <w:tcPr>
            <w:tcW w:w="1295"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37" w:right="0"/>
              <w:jc w:val="left"/>
              <w:rPr>
                <w:rFonts w:ascii="Times New Roman" w:hAnsi="Times New Roman" w:cs="Times New Roman" w:eastAsia="Times New Roman" w:hint="default"/>
                <w:sz w:val="18"/>
                <w:szCs w:val="18"/>
              </w:rPr>
            </w:pPr>
            <w:r>
              <w:rPr>
                <w:rFonts w:ascii="Times New Roman"/>
                <w:sz w:val="18"/>
              </w:rPr>
              <w:t>558,479,275.65</w:t>
            </w:r>
          </w:p>
        </w:tc>
        <w:tc>
          <w:tcPr>
            <w:tcW w:w="100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416" w:right="0"/>
              <w:jc w:val="left"/>
              <w:rPr>
                <w:rFonts w:ascii="Times New Roman" w:hAnsi="Times New Roman" w:cs="Times New Roman" w:eastAsia="Times New Roman" w:hint="default"/>
                <w:sz w:val="18"/>
                <w:szCs w:val="18"/>
              </w:rPr>
            </w:pPr>
            <w:r>
              <w:rPr>
                <w:rFonts w:ascii="Times New Roman"/>
                <w:sz w:val="18"/>
              </w:rPr>
              <w:t>91.03%</w:t>
            </w:r>
          </w:p>
        </w:tc>
        <w:tc>
          <w:tcPr>
            <w:tcW w:w="132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65" w:right="0"/>
              <w:jc w:val="left"/>
              <w:rPr>
                <w:rFonts w:ascii="Times New Roman" w:hAnsi="Times New Roman" w:cs="Times New Roman" w:eastAsia="Times New Roman" w:hint="default"/>
                <w:sz w:val="18"/>
                <w:szCs w:val="18"/>
              </w:rPr>
            </w:pPr>
            <w:r>
              <w:rPr>
                <w:rFonts w:ascii="Times New Roman"/>
                <w:sz w:val="18"/>
              </w:rPr>
              <w:t>296,693,539.79</w:t>
            </w:r>
          </w:p>
        </w:tc>
        <w:tc>
          <w:tcPr>
            <w:tcW w:w="102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438" w:right="0"/>
              <w:jc w:val="left"/>
              <w:rPr>
                <w:rFonts w:ascii="Times New Roman" w:hAnsi="Times New Roman" w:cs="Times New Roman" w:eastAsia="Times New Roman" w:hint="default"/>
                <w:sz w:val="18"/>
                <w:szCs w:val="18"/>
              </w:rPr>
            </w:pPr>
            <w:r>
              <w:rPr>
                <w:rFonts w:ascii="Times New Roman"/>
                <w:sz w:val="18"/>
              </w:rPr>
              <w:t>87.43%</w:t>
            </w:r>
          </w:p>
        </w:tc>
        <w:tc>
          <w:tcPr>
            <w:tcW w:w="102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437" w:right="0"/>
              <w:jc w:val="left"/>
              <w:rPr>
                <w:rFonts w:ascii="Times New Roman" w:hAnsi="Times New Roman" w:cs="Times New Roman" w:eastAsia="Times New Roman" w:hint="default"/>
                <w:sz w:val="18"/>
                <w:szCs w:val="18"/>
              </w:rPr>
            </w:pPr>
            <w:r>
              <w:rPr>
                <w:rFonts w:ascii="Times New Roman"/>
                <w:sz w:val="18"/>
              </w:rPr>
              <w:t>53.13%</w:t>
            </w:r>
          </w:p>
        </w:tc>
      </w:tr>
    </w:tbl>
    <w:p>
      <w:pPr>
        <w:spacing w:line="240" w:lineRule="auto" w:before="7"/>
        <w:rPr>
          <w:rFonts w:ascii="宋体" w:hAnsi="宋体" w:cs="宋体" w:eastAsia="宋体" w:hint="default"/>
          <w:sz w:val="6"/>
          <w:szCs w:val="6"/>
        </w:rPr>
      </w:pPr>
    </w:p>
    <w:p>
      <w:pPr>
        <w:pStyle w:val="Heading5"/>
        <w:spacing w:line="240" w:lineRule="auto" w:before="44"/>
        <w:ind w:left="394" w:right="1455"/>
        <w:jc w:val="left"/>
        <w:rPr>
          <w:b w:val="0"/>
          <w:bCs w:val="0"/>
        </w:rPr>
      </w:pPr>
      <w:r>
        <w:rPr/>
        <w:t>主要游戏分季度运营数据</w:t>
      </w:r>
      <w:r>
        <w:rPr>
          <w:b w:val="0"/>
          <w:bCs w:val="0"/>
        </w:rPr>
      </w:r>
    </w:p>
    <w:p>
      <w:pPr>
        <w:spacing w:line="240" w:lineRule="auto" w:before="6"/>
        <w:rPr>
          <w:rFonts w:ascii="宋体" w:hAnsi="宋体" w:cs="宋体" w:eastAsia="宋体" w:hint="default"/>
          <w:b/>
          <w:bCs/>
          <w:sz w:val="11"/>
          <w:szCs w:val="11"/>
        </w:rPr>
      </w:pPr>
    </w:p>
    <w:p>
      <w:pPr>
        <w:pStyle w:val="BodyText"/>
        <w:spacing w:line="240" w:lineRule="auto" w:before="44"/>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361" w:type="dxa"/>
        <w:tblLayout w:type="fixed"/>
        <w:tblCellMar>
          <w:top w:w="0" w:type="dxa"/>
          <w:left w:w="0" w:type="dxa"/>
          <w:bottom w:w="0" w:type="dxa"/>
          <w:right w:w="0" w:type="dxa"/>
        </w:tblCellMar>
        <w:tblLook w:val="01E0"/>
      </w:tblPr>
      <w:tblGrid>
        <w:gridCol w:w="1388"/>
        <w:gridCol w:w="1385"/>
        <w:gridCol w:w="1385"/>
        <w:gridCol w:w="1385"/>
        <w:gridCol w:w="1384"/>
        <w:gridCol w:w="1385"/>
        <w:gridCol w:w="1384"/>
      </w:tblGrid>
      <w:tr>
        <w:trPr>
          <w:trHeight w:val="402" w:hRule="exact"/>
        </w:trPr>
        <w:tc>
          <w:tcPr>
            <w:tcW w:w="1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7" w:right="0"/>
              <w:jc w:val="left"/>
              <w:rPr>
                <w:rFonts w:ascii="宋体" w:hAnsi="宋体" w:cs="宋体" w:eastAsia="宋体" w:hint="default"/>
                <w:sz w:val="18"/>
                <w:szCs w:val="18"/>
              </w:rPr>
            </w:pPr>
            <w:r>
              <w:rPr>
                <w:rFonts w:ascii="宋体" w:hAnsi="宋体" w:cs="宋体" w:eastAsia="宋体" w:hint="default"/>
                <w:sz w:val="18"/>
                <w:szCs w:val="18"/>
              </w:rPr>
              <w:t>游戏名称</w:t>
            </w:r>
          </w:p>
        </w:tc>
        <w:tc>
          <w:tcPr>
            <w:tcW w:w="13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季度</w:t>
            </w:r>
          </w:p>
        </w:tc>
        <w:tc>
          <w:tcPr>
            <w:tcW w:w="13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46" w:right="0"/>
              <w:jc w:val="left"/>
              <w:rPr>
                <w:rFonts w:ascii="宋体" w:hAnsi="宋体" w:cs="宋体" w:eastAsia="宋体" w:hint="default"/>
                <w:sz w:val="18"/>
                <w:szCs w:val="18"/>
              </w:rPr>
            </w:pPr>
            <w:r>
              <w:rPr>
                <w:rFonts w:ascii="宋体" w:hAnsi="宋体" w:cs="宋体" w:eastAsia="宋体" w:hint="default"/>
                <w:sz w:val="18"/>
                <w:szCs w:val="18"/>
              </w:rPr>
              <w:t>新增用户数量</w:t>
            </w:r>
          </w:p>
        </w:tc>
        <w:tc>
          <w:tcPr>
            <w:tcW w:w="13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6" w:right="0"/>
              <w:jc w:val="left"/>
              <w:rPr>
                <w:rFonts w:ascii="宋体" w:hAnsi="宋体" w:cs="宋体" w:eastAsia="宋体" w:hint="default"/>
                <w:sz w:val="18"/>
                <w:szCs w:val="18"/>
              </w:rPr>
            </w:pPr>
            <w:r>
              <w:rPr>
                <w:rFonts w:ascii="宋体" w:hAnsi="宋体" w:cs="宋体" w:eastAsia="宋体" w:hint="default"/>
                <w:sz w:val="18"/>
                <w:szCs w:val="18"/>
              </w:rPr>
              <w:t>活跃用户数</w:t>
            </w:r>
          </w:p>
        </w:tc>
        <w:tc>
          <w:tcPr>
            <w:tcW w:w="13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46" w:right="0"/>
              <w:jc w:val="left"/>
              <w:rPr>
                <w:rFonts w:ascii="宋体" w:hAnsi="宋体" w:cs="宋体" w:eastAsia="宋体" w:hint="default"/>
                <w:sz w:val="18"/>
                <w:szCs w:val="18"/>
              </w:rPr>
            </w:pPr>
            <w:r>
              <w:rPr>
                <w:rFonts w:ascii="宋体" w:hAnsi="宋体" w:cs="宋体" w:eastAsia="宋体" w:hint="default"/>
                <w:sz w:val="18"/>
                <w:szCs w:val="18"/>
              </w:rPr>
              <w:t>付费用户数量</w:t>
            </w:r>
          </w:p>
        </w:tc>
        <w:tc>
          <w:tcPr>
            <w:tcW w:w="13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ARPU</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值</w:t>
            </w:r>
          </w:p>
        </w:tc>
        <w:tc>
          <w:tcPr>
            <w:tcW w:w="13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6" w:right="0"/>
              <w:jc w:val="left"/>
              <w:rPr>
                <w:rFonts w:ascii="宋体" w:hAnsi="宋体" w:cs="宋体" w:eastAsia="宋体" w:hint="default"/>
                <w:sz w:val="18"/>
                <w:szCs w:val="18"/>
              </w:rPr>
            </w:pPr>
            <w:r>
              <w:rPr>
                <w:rFonts w:ascii="宋体" w:hAnsi="宋体" w:cs="宋体" w:eastAsia="宋体" w:hint="default"/>
                <w:sz w:val="18"/>
                <w:szCs w:val="18"/>
              </w:rPr>
              <w:t>充值流水</w:t>
            </w:r>
          </w:p>
        </w:tc>
      </w:tr>
      <w:tr>
        <w:trPr>
          <w:trHeight w:val="714"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6" w:right="0"/>
              <w:jc w:val="left"/>
              <w:rPr>
                <w:rFonts w:ascii="Times New Roman" w:hAnsi="Times New Roman" w:cs="Times New Roman" w:eastAsia="Times New Roman" w:hint="default"/>
                <w:sz w:val="18"/>
                <w:szCs w:val="18"/>
              </w:rPr>
            </w:pPr>
            <w:r>
              <w:rPr>
                <w:rFonts w:ascii="Times New Roman"/>
                <w:spacing w:val="-6"/>
                <w:sz w:val="18"/>
              </w:rPr>
              <w:t>War </w:t>
            </w:r>
            <w:r>
              <w:rPr>
                <w:rFonts w:ascii="Times New Roman"/>
                <w:sz w:val="18"/>
              </w:rPr>
              <w:t>and</w:t>
            </w:r>
            <w:r>
              <w:rPr>
                <w:rFonts w:ascii="Times New Roman"/>
                <w:spacing w:val="5"/>
                <w:sz w:val="18"/>
              </w:rPr>
              <w:t> </w:t>
            </w:r>
            <w:r>
              <w:rPr>
                <w:rFonts w:ascii="Times New Roman"/>
                <w:sz w:val="18"/>
              </w:rPr>
              <w:t>Order</w:t>
            </w:r>
          </w:p>
          <w:p>
            <w:pPr>
              <w:pStyle w:val="TableParagraph"/>
              <w:spacing w:line="240" w:lineRule="auto" w:before="65"/>
              <w:ind w:left="57" w:right="0"/>
              <w:jc w:val="left"/>
              <w:rPr>
                <w:rFonts w:ascii="宋体" w:hAnsi="宋体" w:cs="宋体" w:eastAsia="宋体" w:hint="default"/>
                <w:sz w:val="18"/>
                <w:szCs w:val="18"/>
              </w:rPr>
            </w:pPr>
            <w:r>
              <w:rPr>
                <w:rFonts w:ascii="宋体" w:hAnsi="宋体" w:cs="宋体" w:eastAsia="宋体" w:hint="default"/>
                <w:sz w:val="18"/>
                <w:szCs w:val="18"/>
              </w:rPr>
              <w:t>（战火与秩序）</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第一季度</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2,650,041</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2,045,787</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223,076</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99.36</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203,273,508.50</w:t>
            </w:r>
          </w:p>
        </w:tc>
      </w:tr>
      <w:tr>
        <w:trPr>
          <w:trHeight w:val="713"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6" w:right="0"/>
              <w:jc w:val="left"/>
              <w:rPr>
                <w:rFonts w:ascii="Times New Roman" w:hAnsi="Times New Roman" w:cs="Times New Roman" w:eastAsia="Times New Roman" w:hint="default"/>
                <w:sz w:val="18"/>
                <w:szCs w:val="18"/>
              </w:rPr>
            </w:pPr>
            <w:r>
              <w:rPr>
                <w:rFonts w:ascii="Times New Roman"/>
                <w:spacing w:val="-6"/>
                <w:sz w:val="18"/>
              </w:rPr>
              <w:t>War </w:t>
            </w:r>
            <w:r>
              <w:rPr>
                <w:rFonts w:ascii="Times New Roman"/>
                <w:sz w:val="18"/>
              </w:rPr>
              <w:t>and</w:t>
            </w:r>
            <w:r>
              <w:rPr>
                <w:rFonts w:ascii="Times New Roman"/>
                <w:spacing w:val="5"/>
                <w:sz w:val="18"/>
              </w:rPr>
              <w:t> </w:t>
            </w:r>
            <w:r>
              <w:rPr>
                <w:rFonts w:ascii="Times New Roman"/>
                <w:sz w:val="18"/>
              </w:rPr>
              <w:t>Order</w:t>
            </w:r>
          </w:p>
          <w:p>
            <w:pPr>
              <w:pStyle w:val="TableParagraph"/>
              <w:spacing w:line="240" w:lineRule="auto" w:before="65"/>
              <w:ind w:left="57" w:right="0"/>
              <w:jc w:val="left"/>
              <w:rPr>
                <w:rFonts w:ascii="宋体" w:hAnsi="宋体" w:cs="宋体" w:eastAsia="宋体" w:hint="default"/>
                <w:sz w:val="18"/>
                <w:szCs w:val="18"/>
              </w:rPr>
            </w:pPr>
            <w:r>
              <w:rPr>
                <w:rFonts w:ascii="宋体" w:hAnsi="宋体" w:cs="宋体" w:eastAsia="宋体" w:hint="default"/>
                <w:sz w:val="18"/>
                <w:szCs w:val="18"/>
              </w:rPr>
              <w:t>（战火与秩序）</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第二季度</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2,565,976</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2,103,775</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218,309</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98.40</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207,002,086.83</w:t>
            </w:r>
          </w:p>
        </w:tc>
      </w:tr>
      <w:tr>
        <w:trPr>
          <w:trHeight w:val="714"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56" w:right="0"/>
              <w:jc w:val="left"/>
              <w:rPr>
                <w:rFonts w:ascii="Times New Roman" w:hAnsi="Times New Roman" w:cs="Times New Roman" w:eastAsia="Times New Roman" w:hint="default"/>
                <w:sz w:val="18"/>
                <w:szCs w:val="18"/>
              </w:rPr>
            </w:pPr>
            <w:r>
              <w:rPr>
                <w:rFonts w:ascii="Times New Roman"/>
                <w:spacing w:val="-6"/>
                <w:sz w:val="18"/>
              </w:rPr>
              <w:t>War </w:t>
            </w:r>
            <w:r>
              <w:rPr>
                <w:rFonts w:ascii="Times New Roman"/>
                <w:sz w:val="18"/>
              </w:rPr>
              <w:t>and</w:t>
            </w:r>
            <w:r>
              <w:rPr>
                <w:rFonts w:ascii="Times New Roman"/>
                <w:spacing w:val="5"/>
                <w:sz w:val="18"/>
              </w:rPr>
              <w:t> </w:t>
            </w:r>
            <w:r>
              <w:rPr>
                <w:rFonts w:ascii="Times New Roman"/>
                <w:sz w:val="18"/>
              </w:rPr>
              <w:t>Order</w:t>
            </w:r>
          </w:p>
          <w:p>
            <w:pPr>
              <w:pStyle w:val="TableParagraph"/>
              <w:spacing w:line="240" w:lineRule="auto" w:before="65"/>
              <w:ind w:left="57" w:right="0"/>
              <w:jc w:val="left"/>
              <w:rPr>
                <w:rFonts w:ascii="宋体" w:hAnsi="宋体" w:cs="宋体" w:eastAsia="宋体" w:hint="default"/>
                <w:sz w:val="18"/>
                <w:szCs w:val="18"/>
              </w:rPr>
            </w:pPr>
            <w:r>
              <w:rPr>
                <w:rFonts w:ascii="宋体" w:hAnsi="宋体" w:cs="宋体" w:eastAsia="宋体" w:hint="default"/>
                <w:sz w:val="18"/>
                <w:szCs w:val="18"/>
              </w:rPr>
              <w:t>（战火与秩序）</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第三季度</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2,437,276</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2,066,237</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219,021</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98.67</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203,885,190.92</w:t>
            </w:r>
          </w:p>
        </w:tc>
      </w:tr>
      <w:tr>
        <w:trPr>
          <w:trHeight w:val="715"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56" w:right="0"/>
              <w:jc w:val="left"/>
              <w:rPr>
                <w:rFonts w:ascii="Times New Roman" w:hAnsi="Times New Roman" w:cs="Times New Roman" w:eastAsia="Times New Roman" w:hint="default"/>
                <w:sz w:val="18"/>
                <w:szCs w:val="18"/>
              </w:rPr>
            </w:pPr>
            <w:r>
              <w:rPr>
                <w:rFonts w:ascii="Times New Roman"/>
                <w:spacing w:val="-6"/>
                <w:sz w:val="18"/>
              </w:rPr>
              <w:t>War </w:t>
            </w:r>
            <w:r>
              <w:rPr>
                <w:rFonts w:ascii="Times New Roman"/>
                <w:sz w:val="18"/>
              </w:rPr>
              <w:t>and</w:t>
            </w:r>
            <w:r>
              <w:rPr>
                <w:rFonts w:ascii="Times New Roman"/>
                <w:spacing w:val="5"/>
                <w:sz w:val="18"/>
              </w:rPr>
              <w:t> </w:t>
            </w:r>
            <w:r>
              <w:rPr>
                <w:rFonts w:ascii="Times New Roman"/>
                <w:sz w:val="18"/>
              </w:rPr>
              <w:t>Order</w:t>
            </w:r>
          </w:p>
          <w:p>
            <w:pPr>
              <w:pStyle w:val="TableParagraph"/>
              <w:spacing w:line="240" w:lineRule="auto" w:before="65"/>
              <w:ind w:left="57" w:right="0"/>
              <w:jc w:val="left"/>
              <w:rPr>
                <w:rFonts w:ascii="宋体" w:hAnsi="宋体" w:cs="宋体" w:eastAsia="宋体" w:hint="default"/>
                <w:sz w:val="18"/>
                <w:szCs w:val="18"/>
              </w:rPr>
            </w:pPr>
            <w:r>
              <w:rPr>
                <w:rFonts w:ascii="宋体" w:hAnsi="宋体" w:cs="宋体" w:eastAsia="宋体" w:hint="default"/>
                <w:sz w:val="18"/>
                <w:szCs w:val="18"/>
              </w:rPr>
              <w:t>（战火与秩序）</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第四季度</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2,358,085</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2,036,112</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226,014</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104.32</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212,399,573.42</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p>
      <w:pPr>
        <w:pStyle w:val="Heading5"/>
        <w:spacing w:line="451" w:lineRule="auto"/>
        <w:ind w:left="394" w:right="1455"/>
        <w:jc w:val="left"/>
        <w:rPr>
          <w:b w:val="0"/>
          <w:bCs w:val="0"/>
        </w:rPr>
      </w:pPr>
      <w:r>
        <w:rPr/>
        <w:t>公司是否需遵守《深圳证券交易所行业信息披露指引第</w:t>
      </w:r>
      <w:r>
        <w:rPr>
          <w:spacing w:val="-48"/>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号</w:t>
      </w:r>
      <w:r>
        <w:rPr>
          <w:rFonts w:ascii="Times New Roman" w:hAnsi="Times New Roman" w:cs="Times New Roman" w:eastAsia="Times New Roman" w:hint="default"/>
        </w:rPr>
        <w:t>——</w:t>
      </w:r>
      <w:r>
        <w:rPr/>
        <w:t>上市公司从软件与信息技术服务业务》的披露要求：</w:t>
      </w:r>
      <w:r>
        <w:rPr>
          <w:w w:val="99"/>
        </w:rPr>
        <w:t> </w:t>
      </w:r>
      <w:r>
        <w:rPr/>
        <w:t>是</w:t>
      </w:r>
      <w:r>
        <w:rPr>
          <w:b w:val="0"/>
          <w:bCs w:val="0"/>
        </w:rPr>
      </w:r>
    </w:p>
    <w:p>
      <w:pPr>
        <w:pStyle w:val="BodyText"/>
        <w:spacing w:line="240" w:lineRule="auto" w:before="37"/>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16" w:type="dxa"/>
        <w:tblLayout w:type="fixed"/>
        <w:tblCellMar>
          <w:top w:w="0" w:type="dxa"/>
          <w:left w:w="0" w:type="dxa"/>
          <w:bottom w:w="0" w:type="dxa"/>
          <w:right w:w="0" w:type="dxa"/>
        </w:tblCellMar>
        <w:tblLook w:val="01E0"/>
      </w:tblPr>
      <w:tblGrid>
        <w:gridCol w:w="482"/>
        <w:gridCol w:w="1193"/>
        <w:gridCol w:w="1182"/>
        <w:gridCol w:w="1181"/>
        <w:gridCol w:w="1182"/>
        <w:gridCol w:w="1181"/>
        <w:gridCol w:w="1181"/>
        <w:gridCol w:w="1175"/>
        <w:gridCol w:w="1183"/>
      </w:tblGrid>
      <w:tr>
        <w:trPr>
          <w:trHeight w:val="207" w:hRule="exact"/>
        </w:trPr>
        <w:tc>
          <w:tcPr>
            <w:tcW w:w="482" w:type="dxa"/>
            <w:tcBorders>
              <w:top w:val="single" w:sz="4" w:space="0" w:color="000000"/>
              <w:left w:val="single" w:sz="4" w:space="0" w:color="000000"/>
              <w:bottom w:val="nil" w:sz="6" w:space="0" w:color="auto"/>
              <w:right w:val="single" w:sz="4" w:space="0" w:color="000000"/>
            </w:tcBorders>
            <w:shd w:val="clear" w:color="auto" w:fill="D2D2D2"/>
          </w:tcPr>
          <w:p>
            <w:pPr/>
          </w:p>
        </w:tc>
        <w:tc>
          <w:tcPr>
            <w:tcW w:w="4738" w:type="dxa"/>
            <w:gridSpan w:val="4"/>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4720" w:type="dxa"/>
            <w:gridSpan w:val="4"/>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191" w:hRule="exact"/>
        </w:trPr>
        <w:tc>
          <w:tcPr>
            <w:tcW w:w="482" w:type="dxa"/>
            <w:vMerge w:val="restart"/>
            <w:tcBorders>
              <w:top w:val="nil" w:sz="6" w:space="0" w:color="auto"/>
              <w:left w:val="single" w:sz="4" w:space="0" w:color="000000"/>
              <w:right w:val="single" w:sz="4" w:space="0" w:color="000000"/>
            </w:tcBorders>
            <w:shd w:val="clear" w:color="auto" w:fill="D2D2D2"/>
          </w:tcPr>
          <w:p>
            <w:pPr/>
          </w:p>
        </w:tc>
        <w:tc>
          <w:tcPr>
            <w:tcW w:w="4738" w:type="dxa"/>
            <w:gridSpan w:val="4"/>
            <w:vMerge/>
            <w:tcBorders>
              <w:left w:val="single" w:sz="4" w:space="0" w:color="000000"/>
              <w:bottom w:val="single" w:sz="4" w:space="0" w:color="000000"/>
              <w:right w:val="single" w:sz="4" w:space="0" w:color="000000"/>
            </w:tcBorders>
            <w:shd w:val="clear" w:color="auto" w:fill="D2D2D2"/>
          </w:tcPr>
          <w:p>
            <w:pPr/>
          </w:p>
        </w:tc>
        <w:tc>
          <w:tcPr>
            <w:tcW w:w="4720" w:type="dxa"/>
            <w:gridSpan w:val="4"/>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482" w:type="dxa"/>
            <w:vMerge/>
            <w:tcBorders>
              <w:left w:val="single" w:sz="4" w:space="0" w:color="000000"/>
              <w:bottom w:val="nil" w:sz="6" w:space="0" w:color="auto"/>
              <w:right w:val="single" w:sz="4" w:space="0" w:color="000000"/>
            </w:tcBorders>
            <w:shd w:val="clear" w:color="auto" w:fill="D2D2D2"/>
          </w:tcPr>
          <w:p>
            <w:pPr/>
          </w:p>
        </w:tc>
        <w:tc>
          <w:tcPr>
            <w:tcW w:w="11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6"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18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26"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18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25"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18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25" w:right="0"/>
              <w:jc w:val="left"/>
              <w:rPr>
                <w:rFonts w:ascii="宋体" w:hAnsi="宋体" w:cs="宋体" w:eastAsia="宋体" w:hint="default"/>
                <w:sz w:val="18"/>
                <w:szCs w:val="18"/>
              </w:rPr>
            </w:pPr>
            <w:r>
              <w:rPr>
                <w:rFonts w:ascii="宋体" w:hAnsi="宋体" w:cs="宋体" w:eastAsia="宋体" w:hint="default"/>
                <w:sz w:val="18"/>
                <w:szCs w:val="18"/>
              </w:rPr>
              <w:t>第四季度</w:t>
            </w:r>
          </w:p>
        </w:tc>
        <w:tc>
          <w:tcPr>
            <w:tcW w:w="118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25"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18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25"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17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21"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18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25"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205" w:hRule="exact"/>
        </w:trPr>
        <w:tc>
          <w:tcPr>
            <w:tcW w:w="482"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3" w:type="dxa"/>
            <w:vMerge/>
            <w:tcBorders>
              <w:left w:val="single" w:sz="4" w:space="0" w:color="000000"/>
              <w:bottom w:val="single" w:sz="4" w:space="0" w:color="000000"/>
              <w:right w:val="single" w:sz="4" w:space="0" w:color="000000"/>
            </w:tcBorders>
            <w:shd w:val="clear" w:color="auto" w:fill="D2D2D2"/>
          </w:tcPr>
          <w:p>
            <w:pPr/>
          </w:p>
        </w:tc>
        <w:tc>
          <w:tcPr>
            <w:tcW w:w="1182" w:type="dxa"/>
            <w:vMerge/>
            <w:tcBorders>
              <w:left w:val="single" w:sz="4" w:space="0" w:color="000000"/>
              <w:bottom w:val="single" w:sz="4" w:space="0" w:color="000000"/>
              <w:right w:val="single" w:sz="4" w:space="0" w:color="000000"/>
            </w:tcBorders>
            <w:shd w:val="clear" w:color="auto" w:fill="D2D2D2"/>
          </w:tcPr>
          <w:p>
            <w:pPr/>
          </w:p>
        </w:tc>
        <w:tc>
          <w:tcPr>
            <w:tcW w:w="1181" w:type="dxa"/>
            <w:vMerge/>
            <w:tcBorders>
              <w:left w:val="single" w:sz="4" w:space="0" w:color="000000"/>
              <w:bottom w:val="single" w:sz="4" w:space="0" w:color="000000"/>
              <w:right w:val="single" w:sz="4" w:space="0" w:color="000000"/>
            </w:tcBorders>
            <w:shd w:val="clear" w:color="auto" w:fill="D2D2D2"/>
          </w:tcPr>
          <w:p>
            <w:pPr/>
          </w:p>
        </w:tc>
        <w:tc>
          <w:tcPr>
            <w:tcW w:w="1182" w:type="dxa"/>
            <w:vMerge/>
            <w:tcBorders>
              <w:left w:val="single" w:sz="4" w:space="0" w:color="000000"/>
              <w:bottom w:val="single" w:sz="4" w:space="0" w:color="000000"/>
              <w:right w:val="single" w:sz="4" w:space="0" w:color="000000"/>
            </w:tcBorders>
            <w:shd w:val="clear" w:color="auto" w:fill="D2D2D2"/>
          </w:tcPr>
          <w:p>
            <w:pPr/>
          </w:p>
        </w:tc>
        <w:tc>
          <w:tcPr>
            <w:tcW w:w="1181" w:type="dxa"/>
            <w:vMerge/>
            <w:tcBorders>
              <w:left w:val="single" w:sz="4" w:space="0" w:color="000000"/>
              <w:bottom w:val="single" w:sz="4" w:space="0" w:color="000000"/>
              <w:right w:val="single" w:sz="4" w:space="0" w:color="000000"/>
            </w:tcBorders>
            <w:shd w:val="clear" w:color="auto" w:fill="D2D2D2"/>
          </w:tcPr>
          <w:p>
            <w:pPr/>
          </w:p>
        </w:tc>
        <w:tc>
          <w:tcPr>
            <w:tcW w:w="1181" w:type="dxa"/>
            <w:vMerge/>
            <w:tcBorders>
              <w:left w:val="single" w:sz="4" w:space="0" w:color="000000"/>
              <w:bottom w:val="single" w:sz="4" w:space="0" w:color="000000"/>
              <w:right w:val="single" w:sz="4" w:space="0" w:color="000000"/>
            </w:tcBorders>
            <w:shd w:val="clear" w:color="auto" w:fill="D2D2D2"/>
          </w:tcPr>
          <w:p>
            <w:pPr/>
          </w:p>
        </w:tc>
        <w:tc>
          <w:tcPr>
            <w:tcW w:w="1175" w:type="dxa"/>
            <w:vMerge/>
            <w:tcBorders>
              <w:left w:val="single" w:sz="4" w:space="0" w:color="000000"/>
              <w:bottom w:val="single" w:sz="4" w:space="0" w:color="000000"/>
              <w:right w:val="single" w:sz="4" w:space="0" w:color="000000"/>
            </w:tcBorders>
            <w:shd w:val="clear" w:color="auto" w:fill="D2D2D2"/>
          </w:tcPr>
          <w:p>
            <w:pPr/>
          </w:p>
        </w:tc>
        <w:tc>
          <w:tcPr>
            <w:tcW w:w="1183"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2" w:right="98"/>
              <w:jc w:val="left"/>
              <w:rPr>
                <w:rFonts w:ascii="宋体" w:hAnsi="宋体" w:cs="宋体" w:eastAsia="宋体" w:hint="default"/>
                <w:sz w:val="18"/>
                <w:szCs w:val="18"/>
              </w:rPr>
            </w:pPr>
            <w:r>
              <w:rPr>
                <w:rFonts w:ascii="宋体" w:hAnsi="宋体" w:cs="宋体" w:eastAsia="宋体" w:hint="default"/>
                <w:sz w:val="18"/>
                <w:szCs w:val="18"/>
              </w:rPr>
              <w:t>营业 收入</w:t>
            </w:r>
          </w:p>
        </w:tc>
        <w:tc>
          <w:tcPr>
            <w:tcW w:w="11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326,420,445.00</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326,683,089.05</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378,962,804.65</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987,389,358.62</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628,684,945.22</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565,519,944.77</w:t>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441,115,647.62</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391,178,162.55</w:t>
            </w:r>
          </w:p>
        </w:tc>
      </w:tr>
      <w:tr>
        <w:trPr>
          <w:trHeight w:val="2274" w:hRule="exact"/>
        </w:trPr>
        <w:tc>
          <w:tcPr>
            <w:tcW w:w="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2" w:right="98"/>
              <w:jc w:val="both"/>
              <w:rPr>
                <w:rFonts w:ascii="宋体" w:hAnsi="宋体" w:cs="宋体" w:eastAsia="宋体" w:hint="default"/>
                <w:sz w:val="18"/>
                <w:szCs w:val="18"/>
              </w:rPr>
            </w:pPr>
            <w:r>
              <w:rPr>
                <w:rFonts w:ascii="宋体" w:hAnsi="宋体" w:cs="宋体" w:eastAsia="宋体" w:hint="default"/>
                <w:sz w:val="18"/>
                <w:szCs w:val="18"/>
              </w:rPr>
              <w:t>归属 于上 市公 司股 东的 净利 润</w:t>
            </w:r>
          </w:p>
        </w:tc>
        <w:tc>
          <w:tcPr>
            <w:tcW w:w="11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53" w:right="0"/>
              <w:jc w:val="left"/>
              <w:rPr>
                <w:rFonts w:ascii="Times New Roman" w:hAnsi="Times New Roman" w:cs="Times New Roman" w:eastAsia="Times New Roman" w:hint="default"/>
                <w:sz w:val="18"/>
                <w:szCs w:val="18"/>
              </w:rPr>
            </w:pPr>
            <w:r>
              <w:rPr>
                <w:rFonts w:ascii="Times New Roman"/>
                <w:sz w:val="18"/>
              </w:rPr>
              <w:t>-46,202,801.23</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32" w:right="0"/>
              <w:jc w:val="center"/>
              <w:rPr>
                <w:rFonts w:ascii="Times New Roman" w:hAnsi="Times New Roman" w:cs="Times New Roman" w:eastAsia="Times New Roman" w:hint="default"/>
                <w:sz w:val="18"/>
                <w:szCs w:val="18"/>
              </w:rPr>
            </w:pPr>
            <w:r>
              <w:rPr>
                <w:rFonts w:ascii="Times New Roman"/>
                <w:sz w:val="18"/>
              </w:rPr>
              <w:t>-89,747,068.15</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-17,552,642.14</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233,750,097.84</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18,732,778.08</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-3,414,538.02</w:t>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3" w:right="0"/>
              <w:jc w:val="center"/>
              <w:rPr>
                <w:rFonts w:ascii="Times New Roman" w:hAnsi="Times New Roman" w:cs="Times New Roman" w:eastAsia="Times New Roman" w:hint="default"/>
                <w:sz w:val="18"/>
                <w:szCs w:val="18"/>
              </w:rPr>
            </w:pPr>
            <w:r>
              <w:rPr>
                <w:rFonts w:ascii="Times New Roman"/>
                <w:sz w:val="18"/>
              </w:rPr>
              <w:t>-51,969,452.80</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156,201,308.94</w:t>
            </w:r>
          </w:p>
        </w:tc>
      </w:tr>
    </w:tbl>
    <w:p>
      <w:pPr>
        <w:spacing w:line="436" w:lineRule="auto" w:before="51"/>
        <w:ind w:left="754" w:right="0" w:hanging="360"/>
        <w:jc w:val="left"/>
        <w:rPr>
          <w:rFonts w:ascii="宋体" w:hAnsi="宋体" w:cs="宋体" w:eastAsia="宋体" w:hint="default"/>
          <w:sz w:val="18"/>
          <w:szCs w:val="18"/>
        </w:rPr>
      </w:pPr>
      <w:r>
        <w:rPr>
          <w:rFonts w:ascii="宋体" w:hAnsi="宋体" w:cs="宋体" w:eastAsia="宋体" w:hint="default"/>
          <w:b/>
          <w:bCs/>
          <w:sz w:val="18"/>
          <w:szCs w:val="18"/>
        </w:rPr>
        <w:t>说明经营季节性（或周期性）发生的原因及波动风险：</w:t>
      </w:r>
      <w:r>
        <w:rPr>
          <w:rFonts w:ascii="宋体" w:hAnsi="宋体" w:cs="宋体" w:eastAsia="宋体" w:hint="default"/>
          <w:b/>
          <w:bCs/>
          <w:w w:val="99"/>
          <w:sz w:val="18"/>
          <w:szCs w:val="18"/>
        </w:rPr>
        <w:t> </w:t>
      </w:r>
      <w:r>
        <w:rPr>
          <w:rFonts w:ascii="宋体" w:hAnsi="宋体" w:cs="宋体" w:eastAsia="宋体" w:hint="default"/>
          <w:spacing w:val="-2"/>
          <w:sz w:val="18"/>
          <w:szCs w:val="18"/>
        </w:rPr>
        <w:t>公司四大业务板块中除游戏业务外，主要客户为大型企业集团，通常集中于下半年、尤其是第四季度完成合同签约、验</w:t>
      </w:r>
    </w:p>
    <w:p>
      <w:pPr>
        <w:pStyle w:val="BodyText"/>
        <w:spacing w:line="240" w:lineRule="auto" w:before="85"/>
        <w:ind w:left="394" w:right="0"/>
        <w:jc w:val="left"/>
      </w:pPr>
      <w:r>
        <w:rPr/>
        <w:t>收等相关工作，导致经营上呈现前低后高的周期性特征。一般而言，第四季度较前三季度增长幅度较大，敬请投资者关注。</w:t>
      </w:r>
    </w:p>
    <w:p>
      <w:pPr>
        <w:spacing w:line="240" w:lineRule="auto" w:before="7"/>
        <w:rPr>
          <w:rFonts w:ascii="宋体" w:hAnsi="宋体" w:cs="宋体" w:eastAsia="宋体" w:hint="default"/>
          <w:sz w:val="11"/>
          <w:szCs w:val="11"/>
        </w:rPr>
      </w:pPr>
    </w:p>
    <w:p>
      <w:pPr>
        <w:pStyle w:val="Heading5"/>
        <w:spacing w:line="240" w:lineRule="auto" w:before="44"/>
        <w:ind w:left="394" w:right="1455"/>
        <w:jc w:val="left"/>
        <w:rPr>
          <w:b w:val="0"/>
          <w:bCs w:val="0"/>
        </w:rPr>
      </w:pPr>
      <w:r>
        <w:rPr/>
        <w:t>营业收入整体情况</w:t>
      </w:r>
      <w:r>
        <w:rPr>
          <w:b w:val="0"/>
          <w:bCs w:val="0"/>
        </w:rPr>
      </w:r>
    </w:p>
    <w:p>
      <w:pPr>
        <w:pStyle w:val="BodyText"/>
        <w:spacing w:line="240" w:lineRule="auto" w:before="117"/>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361" w:type="dxa"/>
        <w:tblLayout w:type="fixed"/>
        <w:tblCellMar>
          <w:top w:w="0" w:type="dxa"/>
          <w:left w:w="0" w:type="dxa"/>
          <w:bottom w:w="0" w:type="dxa"/>
          <w:right w:w="0" w:type="dxa"/>
        </w:tblCellMar>
        <w:tblLook w:val="01E0"/>
      </w:tblPr>
      <w:tblGrid>
        <w:gridCol w:w="1989"/>
        <w:gridCol w:w="1580"/>
        <w:gridCol w:w="1562"/>
        <w:gridCol w:w="1561"/>
        <w:gridCol w:w="1402"/>
        <w:gridCol w:w="1601"/>
      </w:tblGrid>
      <w:tr>
        <w:trPr>
          <w:trHeight w:val="402" w:hRule="exact"/>
        </w:trPr>
        <w:tc>
          <w:tcPr>
            <w:tcW w:w="1989" w:type="dxa"/>
            <w:vMerge w:val="restart"/>
            <w:tcBorders>
              <w:top w:val="single" w:sz="4" w:space="0" w:color="000000"/>
              <w:left w:val="single" w:sz="4" w:space="0" w:color="000000"/>
              <w:right w:val="single" w:sz="4" w:space="0" w:color="000000"/>
            </w:tcBorders>
            <w:shd w:val="clear" w:color="auto" w:fill="D2D2D2"/>
          </w:tcPr>
          <w:p>
            <w:pPr/>
          </w:p>
        </w:tc>
        <w:tc>
          <w:tcPr>
            <w:tcW w:w="314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96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0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35"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989" w:type="dxa"/>
            <w:vMerge/>
            <w:tcBorders>
              <w:left w:val="single" w:sz="4" w:space="0" w:color="000000"/>
              <w:bottom w:val="single" w:sz="4" w:space="0" w:color="000000"/>
              <w:right w:val="single" w:sz="4" w:space="0" w:color="000000"/>
            </w:tcBorders>
            <w:shd w:val="clear" w:color="auto" w:fill="D2D2D2"/>
          </w:tcPr>
          <w:p>
            <w:pPr/>
          </w:p>
        </w:tc>
        <w:tc>
          <w:tcPr>
            <w:tcW w:w="1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45"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4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601"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851" w:footer="1187" w:top="1400" w:bottom="1380" w:left="740" w:right="0"/>
        </w:sectPr>
      </w:pPr>
    </w:p>
    <w:p>
      <w:pPr>
        <w:spacing w:line="240" w:lineRule="auto" w:before="3"/>
        <w:rPr>
          <w:rFonts w:ascii="宋体" w:hAnsi="宋体" w:cs="宋体" w:eastAsia="宋体" w:hint="default"/>
          <w:sz w:val="3"/>
          <w:szCs w:val="3"/>
        </w:rPr>
      </w:pPr>
    </w:p>
    <w:tbl>
      <w:tblPr>
        <w:tblW w:w="0" w:type="auto"/>
        <w:jc w:val="left"/>
        <w:tblInd w:w="101" w:type="dxa"/>
        <w:tblLayout w:type="fixed"/>
        <w:tblCellMar>
          <w:top w:w="0" w:type="dxa"/>
          <w:left w:w="0" w:type="dxa"/>
          <w:bottom w:w="0" w:type="dxa"/>
          <w:right w:w="0" w:type="dxa"/>
        </w:tblCellMar>
        <w:tblLook w:val="01E0"/>
      </w:tblPr>
      <w:tblGrid>
        <w:gridCol w:w="1986"/>
        <w:gridCol w:w="1586"/>
        <w:gridCol w:w="1556"/>
        <w:gridCol w:w="1567"/>
        <w:gridCol w:w="1396"/>
        <w:gridCol w:w="1604"/>
      </w:tblGrid>
      <w:tr>
        <w:trPr>
          <w:trHeight w:val="420" w:hRule="exact"/>
        </w:trPr>
        <w:tc>
          <w:tcPr>
            <w:tcW w:w="1986"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86" w:type="dxa"/>
            <w:tcBorders>
              <w:top w:val="single" w:sz="10" w:space="0" w:color="000000"/>
              <w:left w:val="single" w:sz="13" w:space="0" w:color="D2D2D2"/>
              <w:bottom w:val="single" w:sz="4" w:space="0" w:color="000000"/>
              <w:right w:val="single" w:sz="13" w:space="0" w:color="D2D2D2"/>
            </w:tcBorders>
          </w:tcPr>
          <w:p>
            <w:pPr>
              <w:pStyle w:val="TableParagraph"/>
              <w:spacing w:line="240" w:lineRule="auto" w:before="97"/>
              <w:ind w:right="14"/>
              <w:jc w:val="right"/>
              <w:rPr>
                <w:rFonts w:ascii="Times New Roman" w:hAnsi="Times New Roman" w:cs="Times New Roman" w:eastAsia="Times New Roman" w:hint="default"/>
                <w:sz w:val="18"/>
                <w:szCs w:val="18"/>
              </w:rPr>
            </w:pPr>
            <w:r>
              <w:rPr>
                <w:rFonts w:ascii="Times New Roman"/>
                <w:spacing w:val="-1"/>
                <w:sz w:val="18"/>
              </w:rPr>
              <w:t>2,019,455,697.32</w:t>
            </w:r>
          </w:p>
        </w:tc>
        <w:tc>
          <w:tcPr>
            <w:tcW w:w="1556"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7"/>
              <w:ind w:right="19"/>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67" w:type="dxa"/>
            <w:tcBorders>
              <w:top w:val="single" w:sz="10" w:space="0" w:color="000000"/>
              <w:left w:val="single" w:sz="13" w:space="0" w:color="D2D2D2"/>
              <w:bottom w:val="single" w:sz="4" w:space="0" w:color="000000"/>
              <w:right w:val="single" w:sz="9" w:space="0" w:color="D2D2D2"/>
            </w:tcBorders>
          </w:tcPr>
          <w:p>
            <w:pPr>
              <w:pStyle w:val="TableParagraph"/>
              <w:spacing w:line="240" w:lineRule="auto" w:before="97"/>
              <w:ind w:right="19"/>
              <w:jc w:val="right"/>
              <w:rPr>
                <w:rFonts w:ascii="Times New Roman" w:hAnsi="Times New Roman" w:cs="Times New Roman" w:eastAsia="Times New Roman" w:hint="default"/>
                <w:sz w:val="18"/>
                <w:szCs w:val="18"/>
              </w:rPr>
            </w:pPr>
            <w:r>
              <w:rPr>
                <w:rFonts w:ascii="Times New Roman"/>
                <w:spacing w:val="-1"/>
                <w:sz w:val="18"/>
              </w:rPr>
              <w:t>2,026,498,700.16</w:t>
            </w:r>
          </w:p>
        </w:tc>
        <w:tc>
          <w:tcPr>
            <w:tcW w:w="1396"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7"/>
              <w:ind w:right="17"/>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604" w:type="dxa"/>
            <w:tcBorders>
              <w:top w:val="single" w:sz="10" w:space="0" w:color="000000"/>
              <w:left w:val="single" w:sz="13" w:space="0" w:color="D2D2D2"/>
              <w:bottom w:val="single" w:sz="4" w:space="0" w:color="000000"/>
              <w:right w:val="single" w:sz="4" w:space="0" w:color="000000"/>
            </w:tcBorders>
          </w:tcPr>
          <w:p>
            <w:pPr>
              <w:pStyle w:val="TableParagraph"/>
              <w:spacing w:line="240" w:lineRule="auto" w:before="97"/>
              <w:ind w:right="19"/>
              <w:jc w:val="right"/>
              <w:rPr>
                <w:rFonts w:ascii="Times New Roman" w:hAnsi="Times New Roman" w:cs="Times New Roman" w:eastAsia="Times New Roman" w:hint="default"/>
                <w:sz w:val="18"/>
                <w:szCs w:val="18"/>
              </w:rPr>
            </w:pPr>
            <w:r>
              <w:rPr>
                <w:rFonts w:ascii="Times New Roman"/>
                <w:sz w:val="18"/>
              </w:rPr>
              <w:t>-0.35%</w:t>
            </w:r>
          </w:p>
        </w:tc>
      </w:tr>
      <w:tr>
        <w:trPr>
          <w:trHeight w:val="396" w:hRule="exact"/>
        </w:trPr>
        <w:tc>
          <w:tcPr>
            <w:tcW w:w="9695"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软件与信息技术服务业</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5"/>
              <w:jc w:val="right"/>
              <w:rPr>
                <w:rFonts w:ascii="Times New Roman" w:hAnsi="Times New Roman" w:cs="Times New Roman" w:eastAsia="Times New Roman" w:hint="default"/>
                <w:sz w:val="18"/>
                <w:szCs w:val="18"/>
              </w:rPr>
            </w:pPr>
            <w:r>
              <w:rPr>
                <w:rFonts w:ascii="Times New Roman"/>
                <w:spacing w:val="-1"/>
                <w:sz w:val="18"/>
              </w:rPr>
              <w:t>1,405,965,069.27</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69.62%</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5"/>
              <w:jc w:val="right"/>
              <w:rPr>
                <w:rFonts w:ascii="Times New Roman" w:hAnsi="Times New Roman" w:cs="Times New Roman" w:eastAsia="Times New Roman" w:hint="default"/>
                <w:sz w:val="18"/>
                <w:szCs w:val="18"/>
              </w:rPr>
            </w:pPr>
            <w:r>
              <w:rPr>
                <w:rFonts w:ascii="Times New Roman"/>
                <w:spacing w:val="-1"/>
                <w:sz w:val="18"/>
              </w:rPr>
              <w:t>1,427,617,649.05</w:t>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70.45%</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-1.52%</w:t>
            </w:r>
          </w:p>
        </w:tc>
      </w:tr>
      <w:tr>
        <w:trPr>
          <w:trHeight w:val="403" w:hRule="exact"/>
        </w:trPr>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互联网游戏业</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4"/>
              <w:jc w:val="right"/>
              <w:rPr>
                <w:rFonts w:ascii="Times New Roman" w:hAnsi="Times New Roman" w:cs="Times New Roman" w:eastAsia="Times New Roman" w:hint="default"/>
                <w:sz w:val="18"/>
                <w:szCs w:val="18"/>
              </w:rPr>
            </w:pPr>
            <w:r>
              <w:rPr>
                <w:rFonts w:ascii="Times New Roman"/>
                <w:spacing w:val="-1"/>
                <w:sz w:val="18"/>
              </w:rPr>
              <w:t>613,490,628.05</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30.38%</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5"/>
              <w:jc w:val="right"/>
              <w:rPr>
                <w:rFonts w:ascii="Times New Roman" w:hAnsi="Times New Roman" w:cs="Times New Roman" w:eastAsia="Times New Roman" w:hint="default"/>
                <w:sz w:val="18"/>
                <w:szCs w:val="18"/>
              </w:rPr>
            </w:pPr>
            <w:r>
              <w:rPr>
                <w:rFonts w:ascii="Times New Roman"/>
                <w:spacing w:val="-1"/>
                <w:sz w:val="18"/>
              </w:rPr>
              <w:t>598,881,051.11</w:t>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29.55%</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2.44%</w:t>
            </w:r>
          </w:p>
        </w:tc>
      </w:tr>
      <w:tr>
        <w:trPr>
          <w:trHeight w:val="401" w:hRule="exact"/>
        </w:trPr>
        <w:tc>
          <w:tcPr>
            <w:tcW w:w="9695"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AI/ICT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运营管理（注）</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5"/>
              <w:jc w:val="right"/>
              <w:rPr>
                <w:rFonts w:ascii="Times New Roman" w:hAnsi="Times New Roman" w:cs="Times New Roman" w:eastAsia="Times New Roman" w:hint="default"/>
                <w:sz w:val="18"/>
                <w:szCs w:val="18"/>
              </w:rPr>
            </w:pPr>
            <w:r>
              <w:rPr>
                <w:rFonts w:ascii="Times New Roman"/>
                <w:spacing w:val="-1"/>
                <w:sz w:val="18"/>
              </w:rPr>
              <w:t>1,132,814,218.19</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56.10%</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5"/>
              <w:jc w:val="right"/>
              <w:rPr>
                <w:rFonts w:ascii="Times New Roman" w:hAnsi="Times New Roman" w:cs="Times New Roman" w:eastAsia="Times New Roman" w:hint="default"/>
                <w:sz w:val="18"/>
                <w:szCs w:val="18"/>
              </w:rPr>
            </w:pPr>
            <w:r>
              <w:rPr>
                <w:rFonts w:ascii="Times New Roman"/>
                <w:spacing w:val="-1"/>
                <w:sz w:val="18"/>
              </w:rPr>
              <w:t>1,208,540,730.86</w:t>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59.64%</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-6.27%</w:t>
            </w:r>
          </w:p>
        </w:tc>
      </w:tr>
      <w:tr>
        <w:trPr>
          <w:trHeight w:val="402" w:hRule="exact"/>
        </w:trPr>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游戏</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4"/>
              <w:jc w:val="right"/>
              <w:rPr>
                <w:rFonts w:ascii="Times New Roman" w:hAnsi="Times New Roman" w:cs="Times New Roman" w:eastAsia="Times New Roman" w:hint="default"/>
                <w:sz w:val="18"/>
                <w:szCs w:val="18"/>
              </w:rPr>
            </w:pPr>
            <w:r>
              <w:rPr>
                <w:rFonts w:ascii="Times New Roman"/>
                <w:spacing w:val="-1"/>
                <w:sz w:val="18"/>
              </w:rPr>
              <w:t>613,490,628.05</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30.38%</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5"/>
              <w:jc w:val="right"/>
              <w:rPr>
                <w:rFonts w:ascii="Times New Roman" w:hAnsi="Times New Roman" w:cs="Times New Roman" w:eastAsia="Times New Roman" w:hint="default"/>
                <w:sz w:val="18"/>
                <w:szCs w:val="18"/>
              </w:rPr>
            </w:pPr>
            <w:r>
              <w:rPr>
                <w:rFonts w:ascii="Times New Roman"/>
                <w:spacing w:val="-1"/>
                <w:sz w:val="18"/>
              </w:rPr>
              <w:t>598,881,051.11</w:t>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29.55%</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2.44%</w:t>
            </w:r>
          </w:p>
        </w:tc>
      </w:tr>
      <w:tr>
        <w:trPr>
          <w:trHeight w:val="402" w:hRule="exact"/>
        </w:trPr>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物联网</w:t>
            </w:r>
            <w:r>
              <w:rPr>
                <w:rFonts w:ascii="Times New Roman" w:hAnsi="Times New Roman" w:cs="Times New Roman" w:eastAsia="Times New Roman" w:hint="default"/>
                <w:sz w:val="18"/>
                <w:szCs w:val="18"/>
              </w:rPr>
              <w:t>/</w:t>
            </w:r>
            <w:r>
              <w:rPr>
                <w:rFonts w:ascii="宋体" w:hAnsi="宋体" w:cs="宋体" w:eastAsia="宋体" w:hint="default"/>
                <w:sz w:val="18"/>
                <w:szCs w:val="18"/>
              </w:rPr>
              <w:t>通讯</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4"/>
              <w:jc w:val="right"/>
              <w:rPr>
                <w:rFonts w:ascii="Times New Roman" w:hAnsi="Times New Roman" w:cs="Times New Roman" w:eastAsia="Times New Roman" w:hint="default"/>
                <w:sz w:val="18"/>
                <w:szCs w:val="18"/>
              </w:rPr>
            </w:pPr>
            <w:r>
              <w:rPr>
                <w:rFonts w:ascii="Times New Roman"/>
                <w:spacing w:val="-1"/>
                <w:sz w:val="18"/>
              </w:rPr>
              <w:t>81,381,327.21</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4.03%</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4"/>
              <w:jc w:val="right"/>
              <w:rPr>
                <w:rFonts w:ascii="Times New Roman" w:hAnsi="Times New Roman" w:cs="Times New Roman" w:eastAsia="Times New Roman" w:hint="default"/>
                <w:sz w:val="18"/>
                <w:szCs w:val="18"/>
              </w:rPr>
            </w:pPr>
            <w:r>
              <w:rPr>
                <w:rFonts w:ascii="Times New Roman"/>
                <w:spacing w:val="-1"/>
                <w:sz w:val="18"/>
              </w:rPr>
              <w:t>14,196,356.43</w:t>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0.70%</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473.26%</w:t>
            </w:r>
          </w:p>
        </w:tc>
      </w:tr>
      <w:tr>
        <w:trPr>
          <w:trHeight w:val="402" w:hRule="exact"/>
        </w:trPr>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创新服务</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4"/>
              <w:jc w:val="right"/>
              <w:rPr>
                <w:rFonts w:ascii="Times New Roman" w:hAnsi="Times New Roman" w:cs="Times New Roman" w:eastAsia="Times New Roman" w:hint="default"/>
                <w:sz w:val="18"/>
                <w:szCs w:val="18"/>
              </w:rPr>
            </w:pPr>
            <w:r>
              <w:rPr>
                <w:rFonts w:ascii="Times New Roman"/>
                <w:spacing w:val="-1"/>
                <w:sz w:val="18"/>
              </w:rPr>
              <w:t>154,384,913.83</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7.64%</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4"/>
              <w:jc w:val="right"/>
              <w:rPr>
                <w:rFonts w:ascii="Times New Roman" w:hAnsi="Times New Roman" w:cs="Times New Roman" w:eastAsia="Times New Roman" w:hint="default"/>
                <w:sz w:val="18"/>
                <w:szCs w:val="18"/>
              </w:rPr>
            </w:pPr>
            <w:r>
              <w:rPr>
                <w:rFonts w:ascii="Times New Roman"/>
                <w:spacing w:val="-1"/>
                <w:sz w:val="18"/>
              </w:rPr>
              <w:t>173,473,106.60</w:t>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8.56%</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2"/>
                <w:sz w:val="18"/>
              </w:rPr>
              <w:t>-11.00%</w:t>
            </w:r>
          </w:p>
        </w:tc>
      </w:tr>
      <w:tr>
        <w:trPr>
          <w:trHeight w:val="403" w:hRule="exact"/>
        </w:trPr>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4"/>
              <w:jc w:val="right"/>
              <w:rPr>
                <w:rFonts w:ascii="Times New Roman" w:hAnsi="Times New Roman" w:cs="Times New Roman" w:eastAsia="Times New Roman" w:hint="default"/>
                <w:sz w:val="18"/>
                <w:szCs w:val="18"/>
              </w:rPr>
            </w:pPr>
            <w:r>
              <w:rPr>
                <w:rFonts w:ascii="Times New Roman"/>
                <w:spacing w:val="-1"/>
                <w:sz w:val="18"/>
              </w:rPr>
              <w:t>37,384,610.04</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1.85%</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4"/>
              <w:jc w:val="right"/>
              <w:rPr>
                <w:rFonts w:ascii="Times New Roman" w:hAnsi="Times New Roman" w:cs="Times New Roman" w:eastAsia="Times New Roman" w:hint="default"/>
                <w:sz w:val="18"/>
                <w:szCs w:val="18"/>
              </w:rPr>
            </w:pPr>
            <w:r>
              <w:rPr>
                <w:rFonts w:ascii="Times New Roman"/>
                <w:spacing w:val="-1"/>
                <w:sz w:val="18"/>
              </w:rPr>
              <w:t>31,407,455.16</w:t>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1.55%</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19.03%</w:t>
            </w:r>
          </w:p>
        </w:tc>
      </w:tr>
      <w:tr>
        <w:trPr>
          <w:trHeight w:val="401" w:hRule="exact"/>
        </w:trPr>
        <w:tc>
          <w:tcPr>
            <w:tcW w:w="9695"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大陆地区</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5"/>
              <w:jc w:val="right"/>
              <w:rPr>
                <w:rFonts w:ascii="Times New Roman" w:hAnsi="Times New Roman" w:cs="Times New Roman" w:eastAsia="Times New Roman" w:hint="default"/>
                <w:sz w:val="18"/>
                <w:szCs w:val="18"/>
              </w:rPr>
            </w:pPr>
            <w:r>
              <w:rPr>
                <w:rFonts w:ascii="Times New Roman"/>
                <w:spacing w:val="-1"/>
                <w:sz w:val="18"/>
              </w:rPr>
              <w:t>1,446,812,720.33</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z w:val="18"/>
              </w:rPr>
              <w:t>71.64%</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5"/>
              <w:jc w:val="right"/>
              <w:rPr>
                <w:rFonts w:ascii="Times New Roman" w:hAnsi="Times New Roman" w:cs="Times New Roman" w:eastAsia="Times New Roman" w:hint="default"/>
                <w:sz w:val="18"/>
                <w:szCs w:val="18"/>
              </w:rPr>
            </w:pPr>
            <w:r>
              <w:rPr>
                <w:rFonts w:ascii="Times New Roman"/>
                <w:spacing w:val="-1"/>
                <w:sz w:val="18"/>
              </w:rPr>
              <w:t>1,527,902,438.81</w:t>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z w:val="18"/>
              </w:rPr>
              <w:t>75.40%</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-5.31%</w:t>
            </w:r>
          </w:p>
        </w:tc>
      </w:tr>
      <w:tr>
        <w:trPr>
          <w:trHeight w:val="402" w:hRule="exact"/>
        </w:trPr>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海外地区</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572,642,976.99</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28.36%</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498,596,261.35</w:t>
            </w:r>
          </w:p>
        </w:tc>
        <w:tc>
          <w:tcPr>
            <w:tcW w:w="1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24.60%</w:t>
            </w:r>
          </w:p>
        </w:tc>
        <w:tc>
          <w:tcPr>
            <w:tcW w:w="1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14.85%</w:t>
            </w:r>
          </w:p>
        </w:tc>
      </w:tr>
    </w:tbl>
    <w:p>
      <w:pPr>
        <w:spacing w:line="240" w:lineRule="auto" w:before="6"/>
        <w:rPr>
          <w:rFonts w:ascii="宋体" w:hAnsi="宋体" w:cs="宋体" w:eastAsia="宋体" w:hint="default"/>
          <w:sz w:val="6"/>
          <w:szCs w:val="6"/>
        </w:rPr>
      </w:pPr>
    </w:p>
    <w:p>
      <w:pPr>
        <w:pStyle w:val="BodyText"/>
        <w:spacing w:line="240" w:lineRule="auto" w:before="44"/>
        <w:ind w:left="134" w:right="1032"/>
        <w:jc w:val="left"/>
      </w:pPr>
      <w:r>
        <w:rPr/>
        <w:t>注</w:t>
      </w:r>
      <w:r>
        <w:rPr>
          <w:spacing w:val="-90"/>
        </w:rPr>
        <w:t>：</w:t>
      </w:r>
      <w:r>
        <w:rPr/>
        <w:t>公司系统集成业务战略收缩</w:t>
      </w:r>
      <w:r>
        <w:rPr>
          <w:spacing w:val="-90"/>
        </w:rPr>
        <w:t>，</w:t>
      </w:r>
      <w:r>
        <w:rPr/>
        <w:t>本期</w:t>
      </w:r>
      <w:r>
        <w:rPr>
          <w:spacing w:val="-51"/>
        </w:rPr>
        <w:t> </w:t>
      </w:r>
      <w:r>
        <w:rPr>
          <w:rFonts w:ascii="宋体" w:hAnsi="宋体" w:cs="宋体" w:eastAsia="宋体" w:hint="default"/>
        </w:rPr>
        <w:t>AI/ICT</w:t>
      </w:r>
      <w:r>
        <w:rPr>
          <w:rFonts w:ascii="宋体" w:hAnsi="宋体" w:cs="宋体" w:eastAsia="宋体" w:hint="default"/>
          <w:spacing w:val="-51"/>
        </w:rPr>
        <w:t> </w:t>
      </w:r>
      <w:r>
        <w:rPr/>
        <w:t>运营管理剔除系统集成业务后</w:t>
      </w:r>
      <w:r>
        <w:rPr>
          <w:spacing w:val="-90"/>
        </w:rPr>
        <w:t>，</w:t>
      </w:r>
      <w:r>
        <w:rPr/>
        <w:t>收入较上年同期增长</w:t>
      </w:r>
      <w:r>
        <w:rPr>
          <w:spacing w:val="-50"/>
        </w:rPr>
        <w:t> </w:t>
      </w:r>
      <w:r>
        <w:rPr>
          <w:rFonts w:ascii="Times New Roman" w:hAnsi="Times New Roman" w:cs="Times New Roman" w:eastAsia="Times New Roman" w:hint="default"/>
        </w:rPr>
        <w:t>12.7</w:t>
      </w:r>
      <w:r>
        <w:rPr>
          <w:rFonts w:ascii="Times New Roman" w:hAnsi="Times New Roman" w:cs="Times New Roman" w:eastAsia="Times New Roman" w:hint="default"/>
          <w:spacing w:val="-2"/>
        </w:rPr>
        <w:t>1</w:t>
      </w:r>
      <w:r>
        <w:rPr>
          <w:rFonts w:ascii="Times New Roman" w:hAnsi="Times New Roman" w:cs="Times New Roman" w:eastAsia="Times New Roman" w:hint="default"/>
        </w:rPr>
        <w:t>%</w:t>
      </w:r>
      <w:r>
        <w:rPr>
          <w:spacing w:val="-90"/>
        </w:rPr>
        <w:t>，</w:t>
      </w:r>
      <w:r>
        <w:rPr/>
        <w:t>毛利增长</w:t>
      </w:r>
      <w:r>
        <w:rPr>
          <w:spacing w:val="-51"/>
        </w:rPr>
        <w:t> </w:t>
      </w:r>
      <w:r>
        <w:rPr>
          <w:rFonts w:ascii="Times New Roman" w:hAnsi="Times New Roman" w:cs="Times New Roman" w:eastAsia="Times New Roman" w:hint="default"/>
        </w:rPr>
        <w:t>8.</w:t>
      </w:r>
      <w:r>
        <w:rPr>
          <w:rFonts w:ascii="Times New Roman" w:hAnsi="Times New Roman" w:cs="Times New Roman" w:eastAsia="Times New Roman" w:hint="default"/>
          <w:spacing w:val="-2"/>
        </w:rPr>
        <w:t>0</w:t>
      </w:r>
      <w:r>
        <w:rPr>
          <w:rFonts w:ascii="Times New Roman" w:hAnsi="Times New Roman" w:cs="Times New Roman" w:eastAsia="Times New Roman" w:hint="default"/>
        </w:rPr>
        <w:t>2%</w:t>
      </w:r>
      <w:r>
        <w:rPr/>
        <w:t>。</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3"/>
          <w:szCs w:val="13"/>
        </w:rPr>
      </w:pPr>
    </w:p>
    <w:p>
      <w:pPr>
        <w:pStyle w:val="Heading3"/>
        <w:spacing w:line="240" w:lineRule="auto"/>
        <w:ind w:left="134" w:right="1032"/>
        <w:jc w:val="left"/>
        <w:rPr>
          <w:b w:val="0"/>
          <w:bCs w:val="0"/>
        </w:rPr>
      </w:pPr>
      <w:bookmarkStart w:name="（2）占公司营业收入或营业利润10%以上的行业、产品或地区情况" w:id="41"/>
      <w:bookmarkEnd w:id="41"/>
      <w:r>
        <w:rPr>
          <w:b w:val="0"/>
          <w:bCs w:val="0"/>
        </w:rPr>
      </w:r>
      <w:r>
        <w:rPr/>
        <w:t>（</w:t>
      </w:r>
      <w:r>
        <w:rPr>
          <w:rFonts w:ascii="Times New Roman" w:hAnsi="Times New Roman" w:cs="Times New Roman" w:eastAsia="Times New Roman" w:hint="default"/>
        </w:rPr>
        <w:t>2</w:t>
      </w:r>
      <w:r>
        <w:rPr/>
        <w:t>）占公司营业收入或营业利润</w:t>
      </w:r>
      <w:r>
        <w:rPr>
          <w:spacing w:val="-59"/>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9"/>
        <w:rPr>
          <w:rFonts w:ascii="宋体" w:hAnsi="宋体" w:cs="宋体" w:eastAsia="宋体" w:hint="default"/>
          <w:b/>
          <w:bCs/>
          <w:sz w:val="32"/>
          <w:szCs w:val="32"/>
        </w:rPr>
      </w:pPr>
    </w:p>
    <w:p>
      <w:pPr>
        <w:spacing w:line="508" w:lineRule="auto" w:before="0"/>
        <w:ind w:left="134" w:right="7680"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w:t>
      </w:r>
      <w:r>
        <w:rPr>
          <w:rFonts w:ascii="宋体" w:hAnsi="宋体" w:cs="宋体" w:eastAsia="宋体" w:hint="default"/>
          <w:b/>
          <w:bCs/>
          <w:sz w:val="18"/>
          <w:szCs w:val="18"/>
        </w:rPr>
        <w:t>公司是否需要遵守特殊行业的披露要求</w:t>
      </w:r>
      <w:r>
        <w:rPr>
          <w:rFonts w:ascii="宋体" w:hAnsi="宋体" w:cs="宋体" w:eastAsia="宋体" w:hint="default"/>
          <w:b/>
          <w:bCs/>
          <w:w w:val="99"/>
          <w:sz w:val="18"/>
          <w:szCs w:val="18"/>
        </w:rPr>
        <w:t> </w:t>
      </w:r>
      <w:r>
        <w:rPr>
          <w:rFonts w:ascii="宋体" w:hAnsi="宋体" w:cs="宋体" w:eastAsia="宋体" w:hint="default"/>
          <w:b/>
          <w:bCs/>
          <w:sz w:val="18"/>
          <w:szCs w:val="18"/>
        </w:rPr>
        <w:t>是</w:t>
      </w:r>
      <w:r>
        <w:rPr>
          <w:rFonts w:ascii="宋体" w:hAnsi="宋体" w:cs="宋体" w:eastAsia="宋体" w:hint="default"/>
          <w:b/>
          <w:bCs/>
          <w:w w:val="99"/>
          <w:sz w:val="18"/>
          <w:szCs w:val="18"/>
        </w:rPr>
        <w:t> </w:t>
      </w:r>
      <w:r>
        <w:rPr>
          <w:rFonts w:ascii="宋体" w:hAnsi="宋体" w:cs="宋体" w:eastAsia="宋体" w:hint="default"/>
          <w:sz w:val="18"/>
          <w:szCs w:val="18"/>
        </w:rPr>
        <w:t>软件与信息技术服务业；互联网游戏业</w:t>
      </w:r>
    </w:p>
    <w:p>
      <w:pPr>
        <w:pStyle w:val="BodyText"/>
        <w:spacing w:line="240" w:lineRule="auto" w:before="70"/>
        <w:ind w:left="134" w:right="1032"/>
        <w:jc w:val="left"/>
      </w:pPr>
      <w:r>
        <w:rPr/>
        <w:t>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上市公司从事软件与信息技术服务业务》的披露要求</w:t>
      </w:r>
    </w:p>
    <w:p>
      <w:pPr>
        <w:spacing w:line="240" w:lineRule="auto" w:before="11"/>
        <w:rPr>
          <w:rFonts w:ascii="宋体" w:hAnsi="宋体" w:cs="宋体" w:eastAsia="宋体" w:hint="default"/>
          <w:sz w:val="19"/>
          <w:szCs w:val="19"/>
        </w:rPr>
      </w:pPr>
    </w:p>
    <w:p>
      <w:pPr>
        <w:pStyle w:val="BodyText"/>
        <w:spacing w:line="240" w:lineRule="auto"/>
        <w:ind w:left="0" w:right="1130"/>
        <w:jc w:val="right"/>
      </w:pPr>
      <w:r>
        <w:rPr/>
        <w:t>单位：元</w:t>
      </w:r>
    </w:p>
    <w:p>
      <w:pPr>
        <w:spacing w:line="240" w:lineRule="auto" w:before="12"/>
        <w:rPr>
          <w:rFonts w:ascii="宋体" w:hAnsi="宋体" w:cs="宋体" w:eastAsia="宋体" w:hint="default"/>
          <w:sz w:val="13"/>
          <w:szCs w:val="13"/>
        </w:rPr>
      </w:pPr>
    </w:p>
    <w:tbl>
      <w:tblPr>
        <w:tblW w:w="0" w:type="auto"/>
        <w:jc w:val="left"/>
        <w:tblInd w:w="101" w:type="dxa"/>
        <w:tblLayout w:type="fixed"/>
        <w:tblCellMar>
          <w:top w:w="0" w:type="dxa"/>
          <w:left w:w="0" w:type="dxa"/>
          <w:bottom w:w="0" w:type="dxa"/>
          <w:right w:w="0" w:type="dxa"/>
        </w:tblCellMar>
        <w:tblLook w:val="01E0"/>
      </w:tblPr>
      <w:tblGrid>
        <w:gridCol w:w="1385"/>
        <w:gridCol w:w="1385"/>
        <w:gridCol w:w="1384"/>
        <w:gridCol w:w="1385"/>
        <w:gridCol w:w="1384"/>
        <w:gridCol w:w="1384"/>
        <w:gridCol w:w="1388"/>
      </w:tblGrid>
      <w:tr>
        <w:trPr>
          <w:trHeight w:val="714" w:hRule="exact"/>
        </w:trPr>
        <w:tc>
          <w:tcPr>
            <w:tcW w:w="138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2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26"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26" w:right="55" w:hanging="270"/>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26" w:right="57" w:hanging="271"/>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20" w:right="56"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2" w:hRule="exact"/>
        </w:trPr>
        <w:tc>
          <w:tcPr>
            <w:tcW w:w="9695"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分客户所处行业</w:t>
            </w:r>
          </w:p>
        </w:tc>
      </w:tr>
      <w:tr>
        <w:trPr>
          <w:trHeight w:val="402"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电信</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696,500,049.17</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224,408,287.47</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67.78%</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-4.22%</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7.59%</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-3.54%</w:t>
            </w:r>
          </w:p>
        </w:tc>
      </w:tr>
      <w:tr>
        <w:trPr>
          <w:trHeight w:val="402"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政府及事业单位</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152,329,165.73</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68,171,330.56</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55.25%</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21.13%</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22.73%</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-0.58%</w:t>
            </w:r>
          </w:p>
        </w:tc>
      </w:tr>
      <w:tr>
        <w:trPr>
          <w:trHeight w:val="402"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金融</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133,171,252.70</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55,391,960.18</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58.41%</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27.71%</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55.25%</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-7.37%</w:t>
            </w:r>
          </w:p>
        </w:tc>
      </w:tr>
      <w:tr>
        <w:trPr>
          <w:trHeight w:val="714"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0"/>
              <w:jc w:val="left"/>
              <w:rPr>
                <w:rFonts w:ascii="宋体" w:hAnsi="宋体" w:cs="宋体" w:eastAsia="宋体" w:hint="default"/>
                <w:sz w:val="18"/>
                <w:szCs w:val="18"/>
              </w:rPr>
            </w:pPr>
            <w:r>
              <w:rPr>
                <w:rFonts w:ascii="宋体" w:hAnsi="宋体" w:cs="宋体" w:eastAsia="宋体" w:hint="default"/>
                <w:sz w:val="18"/>
                <w:szCs w:val="18"/>
              </w:rPr>
              <w:t>交通、能源及其 他行业（注）</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423,964,601.67</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157,145,368.93</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62.93%</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-9.87%</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-42.55%</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21.09%</w:t>
            </w:r>
          </w:p>
        </w:tc>
      </w:tr>
      <w:tr>
        <w:trPr>
          <w:trHeight w:val="402"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游戏</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613,490,628.05</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76,104,256.93</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87.59%</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2.44%</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54.83%</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-4.20%</w:t>
            </w:r>
          </w:p>
        </w:tc>
      </w:tr>
      <w:tr>
        <w:trPr>
          <w:trHeight w:val="402"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3"/>
              <w:jc w:val="right"/>
              <w:rPr>
                <w:rFonts w:ascii="Times New Roman" w:hAnsi="Times New Roman" w:cs="Times New Roman" w:eastAsia="Times New Roman" w:hint="default"/>
                <w:sz w:val="18"/>
                <w:szCs w:val="18"/>
              </w:rPr>
            </w:pPr>
            <w:r>
              <w:rPr>
                <w:rFonts w:ascii="Times New Roman"/>
                <w:b/>
                <w:spacing w:val="-1"/>
                <w:sz w:val="18"/>
              </w:rPr>
              <w:t>2,019,455,697.32</w:t>
            </w:r>
            <w:r>
              <w:rPr>
                <w:rFonts w:ascii="Times New Roman"/>
                <w:spacing w:val="-1"/>
                <w:sz w:val="18"/>
              </w:rPr>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b/>
                <w:spacing w:val="-1"/>
                <w:sz w:val="18"/>
              </w:rPr>
              <w:t>581,221,204.07</w:t>
            </w:r>
            <w:r>
              <w:rPr>
                <w:rFonts w:ascii="Times New Roman"/>
                <w:spacing w:val="-1"/>
                <w:sz w:val="18"/>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71.22%</w:t>
            </w:r>
            <w:r>
              <w:rPr>
                <w:rFonts w:ascii="Times New Roman"/>
                <w:sz w:val="18"/>
              </w:rPr>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-0.35%</w:t>
            </w:r>
            <w:r>
              <w:rPr>
                <w:rFonts w:ascii="Times New Roman"/>
                <w:sz w:val="18"/>
              </w:rPr>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-6.63%</w:t>
            </w:r>
            <w:r>
              <w:rPr>
                <w:rFonts w:ascii="Times New Roman"/>
                <w:sz w:val="18"/>
              </w:rPr>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1.94%</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1187" w:top="1400" w:bottom="1380" w:left="1000" w:right="0"/>
        </w:sectPr>
      </w:pPr>
    </w:p>
    <w:p>
      <w:pPr>
        <w:spacing w:line="240" w:lineRule="auto" w:before="8"/>
        <w:rPr>
          <w:rFonts w:ascii="宋体" w:hAnsi="宋体" w:cs="宋体" w:eastAsia="宋体" w:hint="default"/>
          <w:sz w:val="3"/>
          <w:szCs w:val="3"/>
        </w:rPr>
      </w:pPr>
    </w:p>
    <w:tbl>
      <w:tblPr>
        <w:tblW w:w="0" w:type="auto"/>
        <w:jc w:val="left"/>
        <w:tblInd w:w="101" w:type="dxa"/>
        <w:tblLayout w:type="fixed"/>
        <w:tblCellMar>
          <w:top w:w="0" w:type="dxa"/>
          <w:left w:w="0" w:type="dxa"/>
          <w:bottom w:w="0" w:type="dxa"/>
          <w:right w:w="0" w:type="dxa"/>
        </w:tblCellMar>
        <w:tblLook w:val="01E0"/>
      </w:tblPr>
      <w:tblGrid>
        <w:gridCol w:w="1385"/>
        <w:gridCol w:w="1385"/>
        <w:gridCol w:w="1384"/>
        <w:gridCol w:w="1385"/>
        <w:gridCol w:w="1384"/>
        <w:gridCol w:w="1384"/>
        <w:gridCol w:w="1388"/>
      </w:tblGrid>
      <w:tr>
        <w:trPr>
          <w:trHeight w:val="409" w:hRule="exact"/>
        </w:trPr>
        <w:tc>
          <w:tcPr>
            <w:tcW w:w="9695" w:type="dxa"/>
            <w:gridSpan w:val="7"/>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AI/ICT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运营管理</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1,132,814,218.19</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401,182,728.08</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64.59%</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-6.27%</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-20.54%</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6.37%</w:t>
            </w:r>
          </w:p>
        </w:tc>
      </w:tr>
      <w:tr>
        <w:trPr>
          <w:trHeight w:val="402"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游戏</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613,490,628.05</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76,104,256.93</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87.59%</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2.44%</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54.83%</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-4.20%</w:t>
            </w:r>
          </w:p>
        </w:tc>
      </w:tr>
      <w:tr>
        <w:trPr>
          <w:trHeight w:val="402"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物联网</w:t>
            </w:r>
            <w:r>
              <w:rPr>
                <w:rFonts w:ascii="Times New Roman" w:hAnsi="Times New Roman" w:cs="Times New Roman" w:eastAsia="Times New Roman" w:hint="default"/>
                <w:sz w:val="18"/>
                <w:szCs w:val="18"/>
              </w:rPr>
              <w:t>/</w:t>
            </w:r>
            <w:r>
              <w:rPr>
                <w:rFonts w:ascii="宋体" w:hAnsi="宋体" w:cs="宋体" w:eastAsia="宋体" w:hint="default"/>
                <w:sz w:val="18"/>
                <w:szCs w:val="18"/>
              </w:rPr>
              <w:t>通讯</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81,381,327.21</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17,561,668.79</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78.42%</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473.26%</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301.47%</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9.23%</w:t>
            </w:r>
          </w:p>
        </w:tc>
      </w:tr>
      <w:tr>
        <w:trPr>
          <w:trHeight w:val="402"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创新服务</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154,384,913.83</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77,813,934.31</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49.60%</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2"/>
                <w:sz w:val="18"/>
              </w:rPr>
              <w:t>-11.00%</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31.42%</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-16.27%</w:t>
            </w:r>
          </w:p>
        </w:tc>
      </w:tr>
      <w:tr>
        <w:trPr>
          <w:trHeight w:val="402"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37,384,610.04</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8,558,615.96</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2"/>
                <w:sz w:val="18"/>
              </w:rPr>
              <w:t>77.11%</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19.03%</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75.29%</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-7.34%</w:t>
            </w:r>
          </w:p>
        </w:tc>
      </w:tr>
      <w:tr>
        <w:trPr>
          <w:trHeight w:val="403"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b/>
                <w:spacing w:val="-1"/>
                <w:sz w:val="18"/>
              </w:rPr>
              <w:t>2,019,455,697.32</w:t>
            </w:r>
            <w:r>
              <w:rPr>
                <w:rFonts w:ascii="Times New Roman"/>
                <w:spacing w:val="-1"/>
                <w:sz w:val="18"/>
              </w:rPr>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b/>
                <w:spacing w:val="-1"/>
                <w:sz w:val="18"/>
              </w:rPr>
              <w:t>581,221,204.07</w:t>
            </w:r>
            <w:r>
              <w:rPr>
                <w:rFonts w:ascii="Times New Roman"/>
                <w:spacing w:val="-1"/>
                <w:sz w:val="18"/>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b/>
                <w:sz w:val="18"/>
              </w:rPr>
              <w:t>71.22%</w:t>
            </w:r>
            <w:r>
              <w:rPr>
                <w:rFonts w:ascii="Times New Roman"/>
                <w:sz w:val="18"/>
              </w:rPr>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b/>
                <w:sz w:val="18"/>
              </w:rPr>
              <w:t>-0.35%</w:t>
            </w:r>
            <w:r>
              <w:rPr>
                <w:rFonts w:ascii="Times New Roman"/>
                <w:sz w:val="18"/>
              </w:rPr>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b/>
                <w:sz w:val="18"/>
              </w:rPr>
              <w:t>-6.63%</w:t>
            </w:r>
            <w:r>
              <w:rPr>
                <w:rFonts w:ascii="Times New Roman"/>
                <w:sz w:val="18"/>
              </w:rPr>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b/>
                <w:sz w:val="18"/>
              </w:rPr>
              <w:t>1.94%</w:t>
            </w:r>
            <w:r>
              <w:rPr>
                <w:rFonts w:ascii="Times New Roman"/>
                <w:sz w:val="18"/>
              </w:rPr>
            </w:r>
          </w:p>
        </w:tc>
      </w:tr>
      <w:tr>
        <w:trPr>
          <w:trHeight w:val="401" w:hRule="exact"/>
        </w:trPr>
        <w:tc>
          <w:tcPr>
            <w:tcW w:w="9695"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大陆地区</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1,446,812,720.33</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524,895,263.67</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63.72%</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-5.31%</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-7.93%</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1.03%</w:t>
            </w:r>
          </w:p>
        </w:tc>
      </w:tr>
      <w:tr>
        <w:trPr>
          <w:trHeight w:val="402"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海外地区</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572,642,976.99</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56,325,940.40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90.16%</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14.85%</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7.52%</w:t>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0.67%</w:t>
            </w:r>
          </w:p>
        </w:tc>
      </w:tr>
      <w:tr>
        <w:trPr>
          <w:trHeight w:val="403"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b/>
                <w:spacing w:val="-1"/>
                <w:sz w:val="18"/>
              </w:rPr>
              <w:t>2,019,455,697.32</w:t>
            </w:r>
            <w:r>
              <w:rPr>
                <w:rFonts w:ascii="Times New Roman"/>
                <w:spacing w:val="-1"/>
                <w:sz w:val="18"/>
              </w:rPr>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b/>
                <w:spacing w:val="-1"/>
                <w:sz w:val="18"/>
              </w:rPr>
              <w:t>581,221,204.07</w:t>
            </w:r>
            <w:r>
              <w:rPr>
                <w:rFonts w:ascii="Times New Roman"/>
                <w:spacing w:val="-1"/>
                <w:sz w:val="18"/>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b/>
                <w:sz w:val="18"/>
              </w:rPr>
              <w:t>71.22%</w:t>
            </w:r>
            <w:r>
              <w:rPr>
                <w:rFonts w:ascii="Times New Roman"/>
                <w:sz w:val="18"/>
              </w:rPr>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b/>
                <w:sz w:val="18"/>
              </w:rPr>
              <w:t>-0.35%</w:t>
            </w:r>
            <w:r>
              <w:rPr>
                <w:rFonts w:ascii="Times New Roman"/>
                <w:sz w:val="18"/>
              </w:rPr>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b/>
                <w:sz w:val="18"/>
              </w:rPr>
              <w:t>-6.63%</w:t>
            </w:r>
            <w:r>
              <w:rPr>
                <w:rFonts w:ascii="Times New Roman"/>
                <w:sz w:val="18"/>
              </w:rPr>
            </w:r>
          </w:p>
        </w:tc>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b/>
                <w:sz w:val="18"/>
              </w:rPr>
              <w:t>1.94%</w:t>
            </w:r>
            <w:r>
              <w:rPr>
                <w:rFonts w:ascii="Times New Roman"/>
                <w:sz w:val="18"/>
              </w:rPr>
            </w:r>
          </w:p>
        </w:tc>
      </w:tr>
    </w:tbl>
    <w:p>
      <w:pPr>
        <w:spacing w:line="240" w:lineRule="auto" w:before="6"/>
        <w:rPr>
          <w:rFonts w:ascii="宋体" w:hAnsi="宋体" w:cs="宋体" w:eastAsia="宋体" w:hint="default"/>
          <w:sz w:val="6"/>
          <w:szCs w:val="6"/>
        </w:rPr>
      </w:pPr>
    </w:p>
    <w:p>
      <w:pPr>
        <w:pStyle w:val="BodyText"/>
        <w:spacing w:line="451" w:lineRule="auto" w:before="44"/>
        <w:ind w:left="134" w:right="1127"/>
        <w:jc w:val="left"/>
      </w:pPr>
      <w:r>
        <w:rPr/>
        <w:t>注：本年度交通、能源及其他行业营业收入较上年同期减少</w:t>
      </w:r>
      <w:r>
        <w:rPr>
          <w:spacing w:val="-46"/>
        </w:rPr>
        <w:t> </w:t>
      </w:r>
      <w:r>
        <w:rPr>
          <w:rFonts w:ascii="Times New Roman" w:hAnsi="Times New Roman" w:cs="Times New Roman" w:eastAsia="Times New Roman" w:hint="default"/>
        </w:rPr>
        <w:t>9.87%</w:t>
      </w:r>
      <w:r>
        <w:rPr/>
        <w:t>，营业成本减少</w:t>
      </w:r>
      <w:r>
        <w:rPr>
          <w:spacing w:val="-47"/>
        </w:rPr>
        <w:t> </w:t>
      </w:r>
      <w:r>
        <w:rPr>
          <w:rFonts w:ascii="Times New Roman" w:hAnsi="Times New Roman" w:cs="Times New Roman" w:eastAsia="Times New Roman" w:hint="default"/>
        </w:rPr>
        <w:t>42.55%</w:t>
      </w:r>
      <w:r>
        <w:rPr/>
        <w:t>，毛利率增加</w:t>
      </w:r>
      <w:r>
        <w:rPr>
          <w:spacing w:val="-47"/>
        </w:rPr>
        <w:t> </w:t>
      </w:r>
      <w:r>
        <w:rPr>
          <w:rFonts w:ascii="Times New Roman" w:hAnsi="Times New Roman" w:cs="Times New Roman" w:eastAsia="Times New Roman" w:hint="default"/>
        </w:rPr>
        <w:t>21.09%</w:t>
      </w:r>
      <w:r>
        <w:rPr/>
        <w:t>，主要是由 于系统集成业务战略缩减，剔除此因素影响后毛利率变动较小。</w:t>
      </w:r>
    </w:p>
    <w:p>
      <w:pPr>
        <w:pStyle w:val="Heading5"/>
        <w:spacing w:line="240" w:lineRule="auto" w:before="113"/>
        <w:ind w:left="134" w:right="1032"/>
        <w:jc w:val="left"/>
        <w:rPr>
          <w:b w:val="0"/>
          <w:bCs w:val="0"/>
        </w:rPr>
      </w:pPr>
      <w:r>
        <w:rPr/>
        <w:t>公司主营业务数据统计口径在报告期发生调整的情况下，公司最近</w:t>
      </w:r>
      <w:r>
        <w:rPr>
          <w:spacing w:val="-48"/>
        </w:rPr>
        <w:t> </w:t>
      </w:r>
      <w:r>
        <w:rPr>
          <w:rFonts w:ascii="Times New Roman" w:hAnsi="Times New Roman" w:cs="Times New Roman" w:eastAsia="Times New Roman" w:hint="default"/>
        </w:rPr>
        <w:t>1</w:t>
      </w:r>
      <w:r>
        <w:rPr>
          <w:rFonts w:ascii="Times New Roman" w:hAnsi="Times New Roman" w:cs="Times New Roman" w:eastAsia="Times New Roman" w:hint="default"/>
          <w:spacing w:val="-6"/>
        </w:rPr>
        <w:t> </w:t>
      </w:r>
      <w:r>
        <w:rPr/>
        <w:t>年按报告期末口径调整后的主营业务数据</w:t>
      </w:r>
      <w:r>
        <w:rPr>
          <w:b w:val="0"/>
          <w:bCs w:val="0"/>
        </w:rPr>
      </w:r>
    </w:p>
    <w:p>
      <w:pPr>
        <w:spacing w:line="240" w:lineRule="auto" w:before="10"/>
        <w:rPr>
          <w:rFonts w:ascii="宋体" w:hAnsi="宋体" w:cs="宋体" w:eastAsia="宋体" w:hint="default"/>
          <w:b/>
          <w:bCs/>
          <w:sz w:val="13"/>
          <w:szCs w:val="13"/>
        </w:rPr>
      </w:pPr>
    </w:p>
    <w:p>
      <w:pPr>
        <w:spacing w:before="0"/>
        <w:ind w:left="134" w:right="768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0"/>
        <w:rPr>
          <w:rFonts w:ascii="宋体" w:hAnsi="宋体" w:cs="宋体" w:eastAsia="宋体" w:hint="default"/>
          <w:b/>
          <w:bCs/>
          <w:sz w:val="25"/>
          <w:szCs w:val="25"/>
        </w:rPr>
      </w:pPr>
    </w:p>
    <w:p>
      <w:pPr>
        <w:pStyle w:val="Heading3"/>
        <w:spacing w:line="240" w:lineRule="auto"/>
        <w:ind w:left="134" w:right="1032"/>
        <w:jc w:val="left"/>
        <w:rPr>
          <w:b w:val="0"/>
          <w:bCs w:val="0"/>
        </w:rPr>
      </w:pPr>
      <w:bookmarkStart w:name="（3）公司实物销售收入是否大于劳务收入" w:id="42"/>
      <w:bookmarkEnd w:id="42"/>
      <w:r>
        <w:rPr>
          <w:b w:val="0"/>
          <w:bCs w:val="0"/>
        </w:rPr>
      </w: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9"/>
        <w:rPr>
          <w:rFonts w:ascii="宋体" w:hAnsi="宋体" w:cs="宋体" w:eastAsia="宋体" w:hint="default"/>
          <w:b/>
          <w:bCs/>
          <w:sz w:val="26"/>
          <w:szCs w:val="26"/>
        </w:rPr>
      </w:pPr>
    </w:p>
    <w:p>
      <w:pPr>
        <w:spacing w:before="0"/>
        <w:ind w:left="134" w:right="768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否</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left="134" w:right="1032"/>
        <w:jc w:val="left"/>
        <w:rPr>
          <w:b w:val="0"/>
          <w:bCs w:val="0"/>
        </w:rPr>
      </w:pPr>
      <w:bookmarkStart w:name="（4）公司已签订的重大销售合同截至本报告期的履行情况" w:id="43"/>
      <w:bookmarkEnd w:id="43"/>
      <w:r>
        <w:rPr>
          <w:b w:val="0"/>
          <w:bCs w:val="0"/>
        </w:rPr>
      </w: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8"/>
        <w:rPr>
          <w:rFonts w:ascii="宋体" w:hAnsi="宋体" w:cs="宋体" w:eastAsia="宋体" w:hint="default"/>
          <w:b/>
          <w:bCs/>
          <w:sz w:val="32"/>
          <w:szCs w:val="32"/>
        </w:rPr>
      </w:pPr>
    </w:p>
    <w:p>
      <w:pPr>
        <w:spacing w:line="489" w:lineRule="auto" w:before="0"/>
        <w:ind w:left="134" w:right="9293"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不适用 </w:t>
      </w:r>
      <w:r>
        <w:rPr>
          <w:rFonts w:ascii="宋体" w:hAnsi="宋体" w:cs="宋体" w:eastAsia="宋体" w:hint="default"/>
          <w:b/>
          <w:bCs/>
          <w:sz w:val="18"/>
          <w:szCs w:val="18"/>
        </w:rPr>
        <w:t>是</w:t>
      </w:r>
      <w:r>
        <w:rPr>
          <w:rFonts w:ascii="宋体" w:hAnsi="宋体" w:cs="宋体" w:eastAsia="宋体" w:hint="default"/>
          <w:sz w:val="18"/>
          <w:szCs w:val="18"/>
        </w:rPr>
      </w:r>
    </w:p>
    <w:p>
      <w:pPr>
        <w:pStyle w:val="BodyText"/>
        <w:spacing w:line="240" w:lineRule="auto" w:before="85"/>
        <w:ind w:left="134" w:right="1032"/>
        <w:jc w:val="left"/>
      </w:pPr>
      <w:r>
        <w:rPr/>
        <w:t>软件与信息技术服务业；互联网游戏业</w:t>
      </w:r>
    </w:p>
    <w:p>
      <w:pPr>
        <w:spacing w:line="240" w:lineRule="auto" w:before="12"/>
        <w:rPr>
          <w:rFonts w:ascii="宋体" w:hAnsi="宋体" w:cs="宋体" w:eastAsia="宋体" w:hint="default"/>
          <w:sz w:val="20"/>
          <w:szCs w:val="20"/>
        </w:rPr>
      </w:pPr>
    </w:p>
    <w:p>
      <w:pPr>
        <w:pStyle w:val="BodyText"/>
        <w:spacing w:line="489" w:lineRule="auto"/>
        <w:ind w:left="134" w:right="1829"/>
        <w:jc w:val="left"/>
      </w:pPr>
      <w:r>
        <w:rPr/>
        <w:t>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上市公司从事软件与信息技术服务业务》的披露要求 单一销售合同金额占公司最近一个会计年度经审计营业收入</w:t>
      </w:r>
      <w:r>
        <w:rPr>
          <w:spacing w:val="-45"/>
        </w:rPr>
        <w:t> </w:t>
      </w:r>
      <w:r>
        <w:rPr>
          <w:rFonts w:ascii="Times New Roman" w:hAnsi="Times New Roman" w:cs="Times New Roman" w:eastAsia="Times New Roman" w:hint="default"/>
        </w:rPr>
        <w:t>30%</w:t>
      </w:r>
      <w:r>
        <w:rPr/>
        <w:t>以上且金额超过</w:t>
      </w:r>
      <w:r>
        <w:rPr>
          <w:spacing w:val="-46"/>
        </w:rPr>
        <w:t> </w:t>
      </w:r>
      <w:r>
        <w:rPr>
          <w:rFonts w:ascii="Times New Roman" w:hAnsi="Times New Roman" w:cs="Times New Roman" w:eastAsia="Times New Roman" w:hint="default"/>
        </w:rPr>
        <w:t>5000</w:t>
      </w:r>
      <w:r>
        <w:rPr>
          <w:rFonts w:ascii="Times New Roman" w:hAnsi="Times New Roman" w:cs="Times New Roman" w:eastAsia="Times New Roman" w:hint="default"/>
          <w:spacing w:val="-1"/>
        </w:rPr>
        <w:t> </w:t>
      </w:r>
      <w:r>
        <w:rPr/>
        <w:t>万元的正在履行的合同情况</w:t>
      </w:r>
    </w:p>
    <w:p>
      <w:pPr>
        <w:spacing w:line="222" w:lineRule="exact" w:before="0"/>
        <w:ind w:left="134" w:right="768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0"/>
        <w:rPr>
          <w:rFonts w:ascii="宋体" w:hAnsi="宋体" w:cs="宋体" w:eastAsia="宋体" w:hint="default"/>
          <w:b/>
          <w:bCs/>
          <w:sz w:val="13"/>
          <w:szCs w:val="13"/>
        </w:rPr>
      </w:pPr>
    </w:p>
    <w:p>
      <w:pPr>
        <w:pStyle w:val="BodyText"/>
        <w:spacing w:line="451" w:lineRule="auto"/>
        <w:ind w:left="134" w:right="1130" w:firstLine="360"/>
        <w:jc w:val="both"/>
      </w:pPr>
      <w:r>
        <w:rPr/>
        <w:t>截至报告期末，公司及控股子公司已签约尚未结转收入的合同余额约为</w:t>
      </w:r>
      <w:r>
        <w:rPr>
          <w:rFonts w:ascii="Times New Roman" w:hAnsi="Times New Roman" w:cs="Times New Roman" w:eastAsia="Times New Roman" w:hint="default"/>
        </w:rPr>
        <w:t>6.74</w:t>
      </w:r>
      <w:r>
        <w:rPr/>
        <w:t>亿元，较年初下降</w:t>
      </w:r>
      <w:r>
        <w:rPr>
          <w:rFonts w:ascii="Times New Roman" w:hAnsi="Times New Roman" w:cs="Times New Roman" w:eastAsia="Times New Roman" w:hint="default"/>
        </w:rPr>
        <w:t>0.37</w:t>
      </w:r>
      <w:r>
        <w:rPr/>
        <w:t>亿元，主要系</w:t>
      </w:r>
      <w:r>
        <w:rPr>
          <w:rFonts w:ascii="Times New Roman" w:hAnsi="Times New Roman" w:cs="Times New Roman" w:eastAsia="Times New Roman" w:hint="default"/>
        </w:rPr>
        <w:t>AI/ICT </w:t>
      </w:r>
      <w:r>
        <w:rPr>
          <w:spacing w:val="-1"/>
        </w:rPr>
        <w:t>运营管理中的系统集成业务战略收缩所致，系统集成业务期末已签约尚未结转收入的合同余额较年初下降了</w:t>
      </w:r>
      <w:r>
        <w:rPr>
          <w:rFonts w:ascii="Times New Roman" w:hAnsi="Times New Roman" w:cs="Times New Roman" w:eastAsia="Times New Roman" w:hint="default"/>
          <w:spacing w:val="-1"/>
        </w:rPr>
        <w:t>0.70</w:t>
      </w:r>
      <w:r>
        <w:rPr>
          <w:spacing w:val="-1"/>
        </w:rPr>
        <w:t>亿元。除系</w:t>
      </w:r>
      <w:r>
        <w:rPr>
          <w:spacing w:val="-70"/>
        </w:rPr>
        <w:t> </w:t>
      </w:r>
      <w:r>
        <w:rPr>
          <w:spacing w:val="-70"/>
        </w:rPr>
      </w:r>
      <w:r>
        <w:rPr/>
        <w:t>统集成业务外，已签约尚未结转收入的合同余额较年初增长</w:t>
      </w:r>
      <w:r>
        <w:rPr>
          <w:rFonts w:ascii="Times New Roman" w:hAnsi="Times New Roman" w:cs="Times New Roman" w:eastAsia="Times New Roman" w:hint="default"/>
        </w:rPr>
        <w:t>0.33</w:t>
      </w:r>
      <w:r>
        <w:rPr/>
        <w:t>亿元。</w:t>
      </w:r>
    </w:p>
    <w:p>
      <w:pPr>
        <w:spacing w:after="0" w:line="451" w:lineRule="auto"/>
        <w:jc w:val="both"/>
        <w:sectPr>
          <w:pgSz w:w="11910" w:h="16840"/>
          <w:pgMar w:header="851" w:footer="1187" w:top="1400" w:bottom="1380" w:left="1000" w:right="0"/>
        </w:sectPr>
      </w:pPr>
    </w:p>
    <w:p>
      <w:pPr>
        <w:spacing w:line="240" w:lineRule="auto" w:before="7"/>
        <w:rPr>
          <w:rFonts w:ascii="宋体" w:hAnsi="宋体" w:cs="宋体" w:eastAsia="宋体" w:hint="default"/>
          <w:sz w:val="3"/>
          <w:szCs w:val="3"/>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5）营业成本构成" w:id="44"/>
      <w:bookmarkEnd w:id="44"/>
      <w:r>
        <w:rPr>
          <w:b w:val="0"/>
          <w:bCs w:val="0"/>
        </w:rPr>
      </w:r>
      <w:r>
        <w:rPr/>
        <w:t>（</w:t>
      </w:r>
      <w:r>
        <w:rPr>
          <w:rFonts w:ascii="Times New Roman" w:hAnsi="Times New Roman" w:cs="Times New Roman" w:eastAsia="Times New Roman" w:hint="default"/>
        </w:rPr>
        <w:t>5</w:t>
      </w:r>
      <w:r>
        <w:rPr/>
        <w:t>）营业成本构成</w:t>
      </w:r>
      <w:r>
        <w:rPr>
          <w:b w:val="0"/>
          <w:bCs w:val="0"/>
        </w:rPr>
      </w:r>
    </w:p>
    <w:p>
      <w:pPr>
        <w:spacing w:line="240" w:lineRule="auto" w:before="7"/>
        <w:rPr>
          <w:rFonts w:ascii="宋体" w:hAnsi="宋体" w:cs="宋体" w:eastAsia="宋体" w:hint="default"/>
          <w:b/>
          <w:bCs/>
          <w:sz w:val="32"/>
          <w:szCs w:val="32"/>
        </w:rPr>
      </w:pPr>
    </w:p>
    <w:p>
      <w:pPr>
        <w:pStyle w:val="BodyText"/>
        <w:spacing w:line="489" w:lineRule="auto"/>
        <w:ind w:right="1843"/>
        <w:jc w:val="left"/>
        <w:rPr>
          <w:rFonts w:ascii="宋体" w:hAnsi="宋体" w:cs="宋体" w:eastAsia="宋体" w:hint="default"/>
        </w:rPr>
      </w:pPr>
      <w:r>
        <w:rPr/>
        <w:t>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上市公司从事软件与信息技术服务业务》的披露要求 </w:t>
      </w:r>
      <w:r>
        <w:rPr>
          <w:rFonts w:ascii="宋体" w:hAnsi="宋体" w:cs="宋体" w:eastAsia="宋体" w:hint="default"/>
          <w:b/>
          <w:bCs/>
        </w:rPr>
        <w:t>主营业务成本构成</w:t>
      </w:r>
      <w:r>
        <w:rPr>
          <w:rFonts w:ascii="宋体" w:hAnsi="宋体" w:cs="宋体" w:eastAsia="宋体" w:hint="default"/>
        </w:rPr>
      </w:r>
    </w:p>
    <w:p>
      <w:pPr>
        <w:pStyle w:val="BodyText"/>
        <w:spacing w:line="240" w:lineRule="auto" w:before="85"/>
        <w:ind w:left="0" w:right="1130"/>
        <w:jc w:val="right"/>
      </w:pPr>
      <w:r>
        <w:rPr/>
        <w:t>单位：元</w:t>
      </w:r>
    </w:p>
    <w:p>
      <w:pPr>
        <w:spacing w:line="240" w:lineRule="auto" w:before="13"/>
        <w:rPr>
          <w:rFonts w:ascii="宋体" w:hAnsi="宋体" w:cs="宋体" w:eastAsia="宋体" w:hint="default"/>
          <w:sz w:val="13"/>
          <w:szCs w:val="13"/>
        </w:rPr>
      </w:pPr>
    </w:p>
    <w:tbl>
      <w:tblPr>
        <w:tblW w:w="0" w:type="auto"/>
        <w:jc w:val="left"/>
        <w:tblInd w:w="121" w:type="dxa"/>
        <w:tblLayout w:type="fixed"/>
        <w:tblCellMar>
          <w:top w:w="0" w:type="dxa"/>
          <w:left w:w="0" w:type="dxa"/>
          <w:bottom w:w="0" w:type="dxa"/>
          <w:right w:w="0" w:type="dxa"/>
        </w:tblCellMar>
        <w:tblLook w:val="01E0"/>
      </w:tblPr>
      <w:tblGrid>
        <w:gridCol w:w="1618"/>
        <w:gridCol w:w="1616"/>
        <w:gridCol w:w="1616"/>
        <w:gridCol w:w="1614"/>
        <w:gridCol w:w="1616"/>
        <w:gridCol w:w="1615"/>
      </w:tblGrid>
      <w:tr>
        <w:trPr>
          <w:trHeight w:val="402" w:hRule="exact"/>
        </w:trPr>
        <w:tc>
          <w:tcPr>
            <w:tcW w:w="161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44" w:right="0"/>
              <w:jc w:val="left"/>
              <w:rPr>
                <w:rFonts w:ascii="宋体" w:hAnsi="宋体" w:cs="宋体" w:eastAsia="宋体" w:hint="default"/>
                <w:sz w:val="18"/>
                <w:szCs w:val="18"/>
              </w:rPr>
            </w:pPr>
            <w:r>
              <w:rPr>
                <w:rFonts w:ascii="宋体" w:hAnsi="宋体" w:cs="宋体" w:eastAsia="宋体" w:hint="default"/>
                <w:sz w:val="18"/>
                <w:szCs w:val="18"/>
              </w:rPr>
              <w:t>成本构成</w:t>
            </w:r>
          </w:p>
        </w:tc>
        <w:tc>
          <w:tcPr>
            <w:tcW w:w="32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本报告期</w:t>
            </w:r>
          </w:p>
        </w:tc>
        <w:tc>
          <w:tcPr>
            <w:tcW w:w="32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上年同期</w:t>
            </w:r>
          </w:p>
        </w:tc>
        <w:tc>
          <w:tcPr>
            <w:tcW w:w="16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41"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1" w:hRule="exact"/>
        </w:trPr>
        <w:tc>
          <w:tcPr>
            <w:tcW w:w="1618" w:type="dxa"/>
            <w:vMerge/>
            <w:tcBorders>
              <w:left w:val="single" w:sz="4" w:space="0" w:color="000000"/>
              <w:bottom w:val="single" w:sz="4" w:space="0" w:color="000000"/>
              <w:right w:val="single" w:sz="4" w:space="0" w:color="000000"/>
            </w:tcBorders>
            <w:shd w:val="clear" w:color="auto" w:fill="D2D2D2"/>
          </w:tcPr>
          <w:p>
            <w:pPr/>
          </w:p>
        </w:tc>
        <w:tc>
          <w:tcPr>
            <w:tcW w:w="16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6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71"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6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72"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615"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外购软硬件及服务</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468,442,540.02</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80.60%</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543,300,918.02</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87.27%</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-13.78%</w:t>
            </w:r>
          </w:p>
        </w:tc>
      </w:tr>
      <w:tr>
        <w:trPr>
          <w:trHeight w:val="402" w:hRule="exact"/>
        </w:trPr>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游戏运营成本</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45,402,591.00</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7.81%</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37,093,963.36</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5.96%</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22.40%</w:t>
            </w:r>
          </w:p>
        </w:tc>
      </w:tr>
      <w:tr>
        <w:trPr>
          <w:trHeight w:val="402" w:hRule="exact"/>
        </w:trPr>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人工成本</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37,688,365.23</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6.48%</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28,252,270.35</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4.54%</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33.40%</w:t>
            </w:r>
          </w:p>
        </w:tc>
      </w:tr>
      <w:tr>
        <w:trPr>
          <w:trHeight w:val="402" w:hRule="exact"/>
        </w:trPr>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材料成本</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15,226,266.37</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2.62%</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3,643,635.63</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0.59%</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317.89%</w:t>
            </w:r>
          </w:p>
        </w:tc>
      </w:tr>
      <w:tr>
        <w:trPr>
          <w:trHeight w:val="402" w:hRule="exact"/>
        </w:trPr>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14,461,441.45</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2.49%</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10,219,246.29</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1.64%</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41.51%</w:t>
            </w:r>
          </w:p>
        </w:tc>
      </w:tr>
      <w:tr>
        <w:trPr>
          <w:trHeight w:val="403" w:hRule="exact"/>
        </w:trPr>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b/>
                <w:spacing w:val="-1"/>
                <w:sz w:val="18"/>
              </w:rPr>
              <w:t>581,221,204.07</w:t>
            </w:r>
            <w:r>
              <w:rPr>
                <w:rFonts w:ascii="Times New Roman"/>
                <w:spacing w:val="-1"/>
                <w:sz w:val="18"/>
              </w:rPr>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b/>
                <w:spacing w:val="-1"/>
                <w:sz w:val="18"/>
              </w:rPr>
              <w:t>622,510,033.65</w:t>
            </w:r>
            <w:r>
              <w:rPr>
                <w:rFonts w:ascii="Times New Roman"/>
                <w:spacing w:val="-1"/>
                <w:sz w:val="18"/>
              </w:rPr>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b/>
                <w:sz w:val="18"/>
              </w:rPr>
              <w:t>-6.63%</w:t>
            </w:r>
            <w:r>
              <w:rPr>
                <w:rFonts w:ascii="Times New Roman"/>
                <w:sz w:val="18"/>
              </w:rPr>
            </w:r>
          </w:p>
        </w:tc>
      </w:tr>
    </w:tbl>
    <w:p>
      <w:pPr>
        <w:spacing w:line="240" w:lineRule="auto" w:before="5"/>
        <w:rPr>
          <w:rFonts w:ascii="宋体" w:hAnsi="宋体" w:cs="宋体" w:eastAsia="宋体" w:hint="default"/>
          <w:sz w:val="27"/>
          <w:szCs w:val="27"/>
        </w:rPr>
      </w:pPr>
    </w:p>
    <w:p>
      <w:pPr>
        <w:pStyle w:val="Heading5"/>
        <w:spacing w:line="240" w:lineRule="auto" w:before="44"/>
        <w:ind w:right="0"/>
        <w:jc w:val="left"/>
        <w:rPr>
          <w:b w:val="0"/>
          <w:bCs w:val="0"/>
        </w:rPr>
      </w:pPr>
      <w:r>
        <w:rPr/>
        <w:t>产品分类</w:t>
      </w:r>
      <w:r>
        <w:rPr>
          <w:b w:val="0"/>
          <w:bCs w:val="0"/>
        </w:rPr>
      </w:r>
    </w:p>
    <w:p>
      <w:pPr>
        <w:pStyle w:val="BodyText"/>
        <w:spacing w:line="240" w:lineRule="auto" w:before="117"/>
        <w:ind w:left="0" w:right="1130"/>
        <w:jc w:val="right"/>
      </w:pPr>
      <w:r>
        <w:rPr/>
        <w:pict>
          <v:group style="position:absolute;margin-left:194.179993pt;margin-top:99.24173pt;width:68.8pt;height:43.6pt;mso-position-horizontal-relative:page;mso-position-vertical-relative:paragraph;z-index:-1077688" coordorigin="3884,1985" coordsize="1376,872">
            <v:group style="position:absolute;left:3884;top:1985;width:1376;height:468" coordorigin="3884,1985" coordsize="1376,468">
              <v:shape style="position:absolute;left:3884;top:1985;width:1376;height:468" coordorigin="3884,1985" coordsize="1376,468" path="m3884,2453l5259,2453,5259,1985,3884,1985,3884,2453xe" filled="true" fillcolor="#ffffff" stroked="false">
                <v:path arrowok="t"/>
                <v:fill type="solid"/>
              </v:shape>
            </v:group>
            <v:group style="position:absolute;left:3895;top:2453;width:2;height:393" coordorigin="3895,2453" coordsize="2,393">
              <v:shape style="position:absolute;left:3895;top:2453;width:2;height:393" coordorigin="3895,2453" coordsize="0,393" path="m3895,2453l3895,2845e" filled="false" stroked="true" strokeweight="1.140pt" strokecolor="#ffffff">
                <v:path arrowok="t"/>
              </v:shape>
            </v:group>
            <v:group style="position:absolute;left:3906;top:2453;width:1329;height:393" coordorigin="3906,2453" coordsize="1329,393">
              <v:shape style="position:absolute;left:3906;top:2453;width:1329;height:393" coordorigin="3906,2453" coordsize="1329,393" path="m3906,2845l5235,2845,5235,2453,3906,2453,3906,2845xe" filled="true" fillcolor="#ffffff" stroked="false">
                <v:path arrowok="t"/>
                <v:fill type="solid"/>
              </v:shape>
            </v:group>
            <w10:wrap type="none"/>
          </v:group>
        </w:pict>
      </w:r>
      <w:r>
        <w:rPr/>
        <w:t>单位：元</w:t>
      </w:r>
    </w:p>
    <w:p>
      <w:pPr>
        <w:spacing w:line="240" w:lineRule="auto" w:before="13"/>
        <w:rPr>
          <w:rFonts w:ascii="宋体" w:hAnsi="宋体" w:cs="宋体" w:eastAsia="宋体" w:hint="default"/>
          <w:sz w:val="7"/>
          <w:szCs w:val="7"/>
        </w:rPr>
      </w:pPr>
    </w:p>
    <w:tbl>
      <w:tblPr>
        <w:tblW w:w="0" w:type="auto"/>
        <w:jc w:val="left"/>
        <w:tblInd w:w="121" w:type="dxa"/>
        <w:tblLayout w:type="fixed"/>
        <w:tblCellMar>
          <w:top w:w="0" w:type="dxa"/>
          <w:left w:w="0" w:type="dxa"/>
          <w:bottom w:w="0" w:type="dxa"/>
          <w:right w:w="0" w:type="dxa"/>
        </w:tblCellMar>
        <w:tblLook w:val="01E0"/>
      </w:tblPr>
      <w:tblGrid>
        <w:gridCol w:w="1388"/>
        <w:gridCol w:w="1385"/>
        <w:gridCol w:w="191"/>
        <w:gridCol w:w="1194"/>
        <w:gridCol w:w="1385"/>
        <w:gridCol w:w="1384"/>
        <w:gridCol w:w="1385"/>
        <w:gridCol w:w="1384"/>
      </w:tblGrid>
      <w:tr>
        <w:trPr>
          <w:trHeight w:val="402" w:hRule="exact"/>
        </w:trPr>
        <w:tc>
          <w:tcPr>
            <w:tcW w:w="13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27" w:right="0"/>
              <w:jc w:val="left"/>
              <w:rPr>
                <w:rFonts w:ascii="宋体" w:hAnsi="宋体" w:cs="宋体" w:eastAsia="宋体" w:hint="default"/>
                <w:sz w:val="18"/>
                <w:szCs w:val="18"/>
              </w:rPr>
            </w:pPr>
            <w:r>
              <w:rPr>
                <w:rFonts w:ascii="宋体" w:hAnsi="宋体" w:cs="宋体" w:eastAsia="宋体" w:hint="default"/>
                <w:sz w:val="18"/>
                <w:szCs w:val="18"/>
              </w:rPr>
              <w:t>产品分类</w:t>
            </w:r>
          </w:p>
        </w:tc>
        <w:tc>
          <w:tcPr>
            <w:tcW w:w="138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7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26"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388" w:type="dxa"/>
            <w:vMerge/>
            <w:tcBorders>
              <w:left w:val="single" w:sz="4" w:space="0" w:color="000000"/>
              <w:bottom w:val="single" w:sz="4" w:space="0" w:color="000000"/>
              <w:right w:val="single" w:sz="4" w:space="0" w:color="000000"/>
            </w:tcBorders>
            <w:shd w:val="clear" w:color="auto" w:fill="D2D2D2"/>
          </w:tcPr>
          <w:p>
            <w:pPr/>
          </w:p>
        </w:tc>
        <w:tc>
          <w:tcPr>
            <w:tcW w:w="1385" w:type="dxa"/>
            <w:vMerge/>
            <w:tcBorders>
              <w:left w:val="single" w:sz="4" w:space="0" w:color="000000"/>
              <w:bottom w:val="single" w:sz="4" w:space="0" w:color="000000"/>
              <w:right w:val="single" w:sz="4" w:space="0" w:color="000000"/>
            </w:tcBorders>
            <w:shd w:val="clear" w:color="auto" w:fill="D2D2D2"/>
          </w:tcPr>
          <w:p>
            <w:pPr/>
          </w:p>
        </w:tc>
        <w:tc>
          <w:tcPr>
            <w:tcW w:w="138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6"/>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84"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AI/ICT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运营管理</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0"/>
              <w:jc w:val="left"/>
              <w:rPr>
                <w:rFonts w:ascii="宋体" w:hAnsi="宋体" w:cs="宋体" w:eastAsia="宋体" w:hint="default"/>
                <w:sz w:val="18"/>
                <w:szCs w:val="18"/>
              </w:rPr>
            </w:pPr>
            <w:r>
              <w:rPr>
                <w:rFonts w:ascii="宋体" w:hAnsi="宋体" w:cs="宋体" w:eastAsia="宋体" w:hint="default"/>
                <w:sz w:val="18"/>
                <w:szCs w:val="18"/>
              </w:rPr>
              <w:t>成本主要为外购 软硬件及服务</w:t>
            </w:r>
          </w:p>
        </w:tc>
        <w:tc>
          <w:tcPr>
            <w:tcW w:w="13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6" w:right="0"/>
              <w:jc w:val="left"/>
              <w:rPr>
                <w:rFonts w:ascii="Times New Roman" w:hAnsi="Times New Roman" w:cs="Times New Roman" w:eastAsia="Times New Roman" w:hint="default"/>
                <w:sz w:val="18"/>
                <w:szCs w:val="18"/>
              </w:rPr>
            </w:pPr>
            <w:r>
              <w:rPr>
                <w:rFonts w:ascii="Times New Roman"/>
                <w:sz w:val="18"/>
              </w:rPr>
              <w:t>401,182,728.08</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69.03%</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504,890,160.63</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2"/>
                <w:sz w:val="18"/>
              </w:rPr>
              <w:t>81.11%</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-20.54%</w:t>
            </w:r>
          </w:p>
        </w:tc>
      </w:tr>
      <w:tr>
        <w:trPr>
          <w:trHeight w:val="1338"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游戏</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0"/>
              <w:jc w:val="both"/>
              <w:rPr>
                <w:rFonts w:ascii="宋体" w:hAnsi="宋体" w:cs="宋体" w:eastAsia="宋体" w:hint="default"/>
                <w:sz w:val="18"/>
                <w:szCs w:val="18"/>
              </w:rPr>
            </w:pPr>
            <w:r>
              <w:rPr>
                <w:rFonts w:ascii="宋体" w:hAnsi="宋体" w:cs="宋体" w:eastAsia="宋体" w:hint="default"/>
                <w:sz w:val="18"/>
                <w:szCs w:val="18"/>
              </w:rPr>
              <w:t>成本主要为人工 </w:t>
            </w:r>
            <w:r>
              <w:rPr>
                <w:rFonts w:ascii="宋体" w:hAnsi="宋体" w:cs="宋体" w:eastAsia="宋体" w:hint="default"/>
                <w:spacing w:val="-4"/>
                <w:sz w:val="18"/>
                <w:szCs w:val="18"/>
              </w:rPr>
              <w:t>成本、分成成本</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版权金摊销成本 及服务器成本</w:t>
            </w:r>
          </w:p>
        </w:tc>
        <w:tc>
          <w:tcPr>
            <w:tcW w:w="19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1194"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30" w:right="0"/>
              <w:jc w:val="left"/>
              <w:rPr>
                <w:rFonts w:ascii="Times New Roman" w:hAnsi="Times New Roman" w:cs="Times New Roman" w:eastAsia="Times New Roman" w:hint="default"/>
                <w:sz w:val="18"/>
                <w:szCs w:val="18"/>
              </w:rPr>
            </w:pPr>
            <w:r>
              <w:rPr>
                <w:rFonts w:ascii="Times New Roman"/>
                <w:sz w:val="18"/>
              </w:rPr>
              <w:t>76,104,256.93</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13.09%</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49,153,672.69</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7.90%</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54.83%</w:t>
            </w:r>
          </w:p>
        </w:tc>
      </w:tr>
      <w:tr>
        <w:trPr>
          <w:trHeight w:val="714"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物联网</w:t>
            </w:r>
            <w:r>
              <w:rPr>
                <w:rFonts w:ascii="Times New Roman" w:hAnsi="Times New Roman" w:cs="Times New Roman" w:eastAsia="Times New Roman" w:hint="default"/>
                <w:sz w:val="18"/>
                <w:szCs w:val="18"/>
              </w:rPr>
              <w:t>/</w:t>
            </w:r>
            <w:r>
              <w:rPr>
                <w:rFonts w:ascii="宋体" w:hAnsi="宋体" w:cs="宋体" w:eastAsia="宋体" w:hint="default"/>
                <w:sz w:val="18"/>
                <w:szCs w:val="18"/>
              </w:rPr>
              <w:t>通讯</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0"/>
              <w:jc w:val="left"/>
              <w:rPr>
                <w:rFonts w:ascii="宋体" w:hAnsi="宋体" w:cs="宋体" w:eastAsia="宋体" w:hint="default"/>
                <w:sz w:val="18"/>
                <w:szCs w:val="18"/>
              </w:rPr>
            </w:pPr>
            <w:r>
              <w:rPr>
                <w:rFonts w:ascii="宋体" w:hAnsi="宋体" w:cs="宋体" w:eastAsia="宋体" w:hint="default"/>
                <w:sz w:val="18"/>
                <w:szCs w:val="18"/>
              </w:rPr>
              <w:t>成本主要为材料 成本</w:t>
            </w:r>
          </w:p>
        </w:tc>
        <w:tc>
          <w:tcPr>
            <w:tcW w:w="13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6" w:right="0"/>
              <w:jc w:val="left"/>
              <w:rPr>
                <w:rFonts w:ascii="Times New Roman" w:hAnsi="Times New Roman" w:cs="Times New Roman" w:eastAsia="Times New Roman" w:hint="default"/>
                <w:sz w:val="18"/>
                <w:szCs w:val="18"/>
              </w:rPr>
            </w:pPr>
            <w:r>
              <w:rPr>
                <w:rFonts w:ascii="Times New Roman"/>
                <w:sz w:val="18"/>
              </w:rPr>
              <w:t>17,561,668.79</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3.02%</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4,374,358.18</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0.70%</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301.47%</w:t>
            </w:r>
          </w:p>
        </w:tc>
      </w:tr>
      <w:tr>
        <w:trPr>
          <w:trHeight w:val="714"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创新服务</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0"/>
              <w:jc w:val="left"/>
              <w:rPr>
                <w:rFonts w:ascii="宋体" w:hAnsi="宋体" w:cs="宋体" w:eastAsia="宋体" w:hint="default"/>
                <w:sz w:val="18"/>
                <w:szCs w:val="18"/>
              </w:rPr>
            </w:pPr>
            <w:r>
              <w:rPr>
                <w:rFonts w:ascii="宋体" w:hAnsi="宋体" w:cs="宋体" w:eastAsia="宋体" w:hint="default"/>
                <w:sz w:val="18"/>
                <w:szCs w:val="18"/>
              </w:rPr>
              <w:t>成本主要为外购 软硬件及服务</w:t>
            </w:r>
          </w:p>
        </w:tc>
        <w:tc>
          <w:tcPr>
            <w:tcW w:w="13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6" w:right="0"/>
              <w:jc w:val="left"/>
              <w:rPr>
                <w:rFonts w:ascii="Times New Roman" w:hAnsi="Times New Roman" w:cs="Times New Roman" w:eastAsia="Times New Roman" w:hint="default"/>
                <w:sz w:val="18"/>
                <w:szCs w:val="18"/>
              </w:rPr>
            </w:pPr>
            <w:r>
              <w:rPr>
                <w:rFonts w:ascii="Times New Roman"/>
                <w:sz w:val="18"/>
              </w:rPr>
              <w:t>77,813,934.31</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13.39%</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59,209,412.93</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9.51%</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31.42%</w:t>
            </w:r>
          </w:p>
        </w:tc>
      </w:tr>
      <w:tr>
        <w:trPr>
          <w:trHeight w:val="714"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0"/>
              <w:jc w:val="left"/>
              <w:rPr>
                <w:rFonts w:ascii="宋体" w:hAnsi="宋体" w:cs="宋体" w:eastAsia="宋体" w:hint="default"/>
                <w:sz w:val="18"/>
                <w:szCs w:val="18"/>
              </w:rPr>
            </w:pPr>
            <w:r>
              <w:rPr>
                <w:rFonts w:ascii="宋体" w:hAnsi="宋体" w:cs="宋体" w:eastAsia="宋体" w:hint="default"/>
                <w:sz w:val="18"/>
                <w:szCs w:val="18"/>
              </w:rPr>
              <w:t>投资性房地产摊 销成本</w:t>
            </w:r>
          </w:p>
        </w:tc>
        <w:tc>
          <w:tcPr>
            <w:tcW w:w="13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06" w:right="0"/>
              <w:jc w:val="left"/>
              <w:rPr>
                <w:rFonts w:ascii="Times New Roman" w:hAnsi="Times New Roman" w:cs="Times New Roman" w:eastAsia="Times New Roman" w:hint="default"/>
                <w:sz w:val="18"/>
                <w:szCs w:val="18"/>
              </w:rPr>
            </w:pPr>
            <w:r>
              <w:rPr>
                <w:rFonts w:ascii="Times New Roman"/>
                <w:sz w:val="18"/>
              </w:rPr>
              <w:t>8,558,615.96</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1.47%</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4,882,429.22</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0.78%</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75.29%</w:t>
            </w:r>
          </w:p>
        </w:tc>
      </w:tr>
      <w:tr>
        <w:trPr>
          <w:trHeight w:val="402"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226" w:right="0"/>
              <w:jc w:val="left"/>
              <w:rPr>
                <w:rFonts w:ascii="Times New Roman" w:hAnsi="Times New Roman" w:cs="Times New Roman" w:eastAsia="Times New Roman" w:hint="default"/>
                <w:sz w:val="18"/>
                <w:szCs w:val="18"/>
              </w:rPr>
            </w:pPr>
            <w:r>
              <w:rPr>
                <w:rFonts w:ascii="Times New Roman"/>
                <w:b/>
                <w:sz w:val="18"/>
              </w:rPr>
              <w:t>581,221,204.07</w:t>
            </w:r>
            <w:r>
              <w:rPr>
                <w:rFonts w:ascii="Times New Roman"/>
                <w:sz w:val="18"/>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b/>
                <w:spacing w:val="-1"/>
                <w:sz w:val="18"/>
              </w:rPr>
              <w:t>622,510,033.65</w:t>
            </w:r>
            <w:r>
              <w:rPr>
                <w:rFonts w:ascii="Times New Roman"/>
                <w:spacing w:val="-1"/>
                <w:sz w:val="18"/>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-6.63%</w:t>
            </w:r>
            <w:r>
              <w:rPr>
                <w:rFonts w:ascii="Times New Roman"/>
                <w:sz w:val="18"/>
              </w:rPr>
            </w:r>
          </w:p>
        </w:tc>
      </w:tr>
    </w:tbl>
    <w:p>
      <w:pPr>
        <w:pStyle w:val="BodyText"/>
        <w:spacing w:line="240" w:lineRule="auto" w:before="51"/>
        <w:ind w:right="0"/>
        <w:jc w:val="left"/>
      </w:pPr>
      <w:r>
        <w:rPr/>
        <w:t>说明：</w:t>
      </w:r>
    </w:p>
    <w:p>
      <w:pPr>
        <w:spacing w:line="240" w:lineRule="auto" w:before="11"/>
        <w:rPr>
          <w:rFonts w:ascii="宋体" w:hAnsi="宋体" w:cs="宋体" w:eastAsia="宋体" w:hint="default"/>
          <w:sz w:val="14"/>
          <w:szCs w:val="14"/>
        </w:rPr>
      </w:pPr>
    </w:p>
    <w:p>
      <w:pPr>
        <w:pStyle w:val="BodyText"/>
        <w:spacing w:line="240" w:lineRule="auto"/>
        <w:ind w:right="0"/>
        <w:jc w:val="left"/>
      </w:pPr>
      <w:r>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AI/ICT</w:t>
      </w:r>
      <w:r>
        <w:rPr/>
        <w:t>运营管理营业成本较上年同期下降</w:t>
      </w:r>
      <w:r>
        <w:rPr>
          <w:rFonts w:ascii="Times New Roman" w:hAnsi="Times New Roman" w:cs="Times New Roman" w:eastAsia="Times New Roman" w:hint="default"/>
        </w:rPr>
        <w:t>20.54%</w:t>
      </w:r>
      <w:r>
        <w:rPr/>
        <w:t>，主要是战略收缩系统集成业务所致。</w:t>
      </w:r>
    </w:p>
    <w:p>
      <w:pPr>
        <w:spacing w:line="240" w:lineRule="auto" w:before="9"/>
        <w:rPr>
          <w:rFonts w:ascii="宋体" w:hAnsi="宋体" w:cs="宋体" w:eastAsia="宋体" w:hint="default"/>
          <w:sz w:val="16"/>
          <w:szCs w:val="16"/>
        </w:rPr>
      </w:pPr>
    </w:p>
    <w:p>
      <w:pPr>
        <w:pStyle w:val="BodyText"/>
        <w:spacing w:line="240" w:lineRule="auto"/>
        <w:ind w:right="0"/>
        <w:jc w:val="left"/>
      </w:pPr>
      <w:r>
        <w:rPr/>
        <w:t>（</w:t>
      </w:r>
      <w:r>
        <w:rPr>
          <w:rFonts w:ascii="Times New Roman" w:hAnsi="Times New Roman" w:cs="Times New Roman" w:eastAsia="Times New Roman" w:hint="default"/>
        </w:rPr>
        <w:t>2</w:t>
      </w:r>
      <w:r>
        <w:rPr/>
        <w:t>）游戏业务营业成本较上年同期增长</w:t>
      </w:r>
      <w:r>
        <w:rPr>
          <w:rFonts w:ascii="Times New Roman" w:hAnsi="Times New Roman" w:cs="Times New Roman" w:eastAsia="Times New Roman" w:hint="default"/>
        </w:rPr>
        <w:t>54.83%</w:t>
      </w:r>
      <w:r>
        <w:rPr/>
        <w:t>，主要是人工成本及支付第三方的分成成本增加所致。</w:t>
      </w:r>
    </w:p>
    <w:p>
      <w:pPr>
        <w:spacing w:line="240" w:lineRule="auto" w:before="9"/>
        <w:rPr>
          <w:rFonts w:ascii="宋体" w:hAnsi="宋体" w:cs="宋体" w:eastAsia="宋体" w:hint="default"/>
          <w:sz w:val="16"/>
          <w:szCs w:val="16"/>
        </w:rPr>
      </w:pPr>
    </w:p>
    <w:p>
      <w:pPr>
        <w:pStyle w:val="BodyText"/>
        <w:spacing w:line="240" w:lineRule="auto"/>
        <w:ind w:right="0"/>
        <w:jc w:val="left"/>
      </w:pPr>
      <w:r>
        <w:rPr/>
        <w:t>（</w:t>
      </w:r>
      <w:r>
        <w:rPr>
          <w:rFonts w:ascii="Times New Roman" w:hAnsi="Times New Roman" w:cs="Times New Roman" w:eastAsia="Times New Roman" w:hint="default"/>
        </w:rPr>
        <w:t>3</w:t>
      </w:r>
      <w:r>
        <w:rPr/>
        <w:t>）物联网</w:t>
      </w:r>
      <w:r>
        <w:rPr>
          <w:rFonts w:ascii="Times New Roman" w:hAnsi="Times New Roman" w:cs="Times New Roman" w:eastAsia="Times New Roman" w:hint="default"/>
        </w:rPr>
        <w:t>/</w:t>
      </w:r>
      <w:r>
        <w:rPr/>
        <w:t>通讯营业成本较上年同期增长</w:t>
      </w:r>
      <w:r>
        <w:rPr>
          <w:rFonts w:ascii="Times New Roman" w:hAnsi="Times New Roman" w:cs="Times New Roman" w:eastAsia="Times New Roman" w:hint="default"/>
        </w:rPr>
        <w:t>301.47%</w:t>
      </w:r>
      <w:r>
        <w:rPr/>
        <w:t>，主要是物联网</w:t>
      </w:r>
      <w:r>
        <w:rPr>
          <w:rFonts w:ascii="Times New Roman" w:hAnsi="Times New Roman" w:cs="Times New Roman" w:eastAsia="Times New Roman" w:hint="default"/>
        </w:rPr>
        <w:t>/</w:t>
      </w:r>
      <w:r>
        <w:rPr/>
        <w:t>通信产品经多年打磨，得到客户的广泛认可，业务落地</w:t>
      </w:r>
    </w:p>
    <w:p>
      <w:pPr>
        <w:spacing w:after="0" w:line="240" w:lineRule="auto"/>
        <w:jc w:val="left"/>
        <w:sectPr>
          <w:pgSz w:w="11910" w:h="16840"/>
          <w:pgMar w:header="851" w:footer="1187" w:top="1400" w:bottom="1380" w:left="980" w:right="0"/>
        </w:sectPr>
      </w:pPr>
    </w:p>
    <w:p>
      <w:pPr>
        <w:spacing w:line="240" w:lineRule="auto" w:before="7"/>
        <w:rPr>
          <w:rFonts w:ascii="宋体" w:hAnsi="宋体" w:cs="宋体" w:eastAsia="宋体" w:hint="default"/>
          <w:sz w:val="3"/>
          <w:szCs w:val="3"/>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before="83"/>
        <w:ind w:right="0"/>
        <w:jc w:val="left"/>
      </w:pPr>
      <w:r>
        <w:rPr/>
        <w:t>取得突破性进展所致。</w:t>
      </w:r>
    </w:p>
    <w:p>
      <w:pPr>
        <w:spacing w:line="240" w:lineRule="auto" w:before="10"/>
        <w:rPr>
          <w:rFonts w:ascii="宋体" w:hAnsi="宋体" w:cs="宋体" w:eastAsia="宋体" w:hint="default"/>
          <w:sz w:val="17"/>
          <w:szCs w:val="17"/>
        </w:rPr>
      </w:pPr>
    </w:p>
    <w:p>
      <w:pPr>
        <w:pStyle w:val="BodyText"/>
        <w:spacing w:line="240" w:lineRule="auto"/>
        <w:ind w:right="0"/>
        <w:jc w:val="left"/>
      </w:pPr>
      <w:r>
        <w:rPr/>
        <w:t>（</w:t>
      </w:r>
      <w:r>
        <w:rPr>
          <w:rFonts w:ascii="Times New Roman" w:hAnsi="Times New Roman" w:cs="Times New Roman" w:eastAsia="Times New Roman" w:hint="default"/>
        </w:rPr>
        <w:t>4</w:t>
      </w:r>
      <w:r>
        <w:rPr/>
        <w:t>）创新服务产品营业成本较上年同期增长</w:t>
      </w:r>
      <w:r>
        <w:rPr>
          <w:rFonts w:ascii="Times New Roman" w:hAnsi="Times New Roman" w:cs="Times New Roman" w:eastAsia="Times New Roman" w:hint="default"/>
        </w:rPr>
        <w:t>31.42%</w:t>
      </w:r>
      <w:r>
        <w:rPr/>
        <w:t>，主要是移动</w:t>
      </w:r>
      <w:r>
        <w:rPr>
          <w:rFonts w:ascii="Times New Roman" w:hAnsi="Times New Roman" w:cs="Times New Roman" w:eastAsia="Times New Roman" w:hint="default"/>
        </w:rPr>
        <w:t>WIFI</w:t>
      </w:r>
      <w:r>
        <w:rPr/>
        <w:t>业务规模大幅增长所致。</w:t>
      </w:r>
    </w:p>
    <w:p>
      <w:pPr>
        <w:spacing w:line="240" w:lineRule="auto" w:before="9"/>
        <w:rPr>
          <w:rFonts w:ascii="宋体" w:hAnsi="宋体" w:cs="宋体" w:eastAsia="宋体" w:hint="default"/>
          <w:sz w:val="16"/>
          <w:szCs w:val="16"/>
        </w:rPr>
      </w:pPr>
    </w:p>
    <w:p>
      <w:pPr>
        <w:pStyle w:val="BodyText"/>
        <w:spacing w:line="240" w:lineRule="auto"/>
        <w:ind w:right="0"/>
        <w:jc w:val="left"/>
      </w:pPr>
      <w:r>
        <w:rPr/>
        <w:t>（</w:t>
      </w:r>
      <w:r>
        <w:rPr>
          <w:rFonts w:ascii="Times New Roman" w:hAnsi="Times New Roman" w:cs="Times New Roman" w:eastAsia="Times New Roman" w:hint="default"/>
        </w:rPr>
        <w:t>5</w:t>
      </w:r>
      <w:r>
        <w:rPr/>
        <w:t>）其他业务成本较上年同期增长</w:t>
      </w:r>
      <w:r>
        <w:rPr>
          <w:rFonts w:ascii="Times New Roman" w:hAnsi="Times New Roman" w:cs="Times New Roman" w:eastAsia="Times New Roman" w:hint="default"/>
        </w:rPr>
        <w:t>75.29%</w:t>
      </w:r>
      <w:r>
        <w:rPr/>
        <w:t>，主要是代收代付物业费成本增加所致。</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3"/>
          <w:szCs w:val="13"/>
        </w:rPr>
      </w:pPr>
    </w:p>
    <w:p>
      <w:pPr>
        <w:pStyle w:val="Heading3"/>
        <w:spacing w:line="240" w:lineRule="auto"/>
        <w:ind w:right="0"/>
        <w:jc w:val="left"/>
        <w:rPr>
          <w:b w:val="0"/>
          <w:bCs w:val="0"/>
        </w:rPr>
      </w:pPr>
      <w:bookmarkStart w:name="（6）报告期内合并范围是否发生变动" w:id="45"/>
      <w:bookmarkEnd w:id="45"/>
      <w:r>
        <w:rPr>
          <w:b w:val="0"/>
          <w:bCs w:val="0"/>
        </w:rPr>
      </w: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b/>
          <w:bCs/>
          <w:sz w:val="18"/>
          <w:szCs w:val="18"/>
        </w:rPr>
        <w:t>√ 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否</w:t>
      </w:r>
    </w:p>
    <w:p>
      <w:pPr>
        <w:spacing w:line="240" w:lineRule="auto" w:before="10"/>
        <w:rPr>
          <w:rFonts w:ascii="宋体" w:hAnsi="宋体" w:cs="宋体" w:eastAsia="宋体" w:hint="default"/>
          <w:sz w:val="13"/>
          <w:szCs w:val="13"/>
        </w:rPr>
      </w:pPr>
    </w:p>
    <w:p>
      <w:pPr>
        <w:pStyle w:val="BodyText"/>
        <w:spacing w:line="477" w:lineRule="auto"/>
        <w:ind w:right="1122"/>
        <w:jc w:val="left"/>
      </w:pPr>
      <w:r>
        <w:rPr/>
        <w:t>本报告期合并范围的变动主要为新设、处置、清算子公司，具体详见“第五节 七、与上年度财务报告相比，合并报表范围 发生变化的情况说明”。</w:t>
      </w:r>
    </w:p>
    <w:p>
      <w:pPr>
        <w:spacing w:line="240" w:lineRule="auto" w:before="3"/>
        <w:rPr>
          <w:rFonts w:ascii="宋体" w:hAnsi="宋体" w:cs="宋体" w:eastAsia="宋体" w:hint="default"/>
          <w:sz w:val="19"/>
          <w:szCs w:val="19"/>
        </w:rPr>
      </w:pPr>
    </w:p>
    <w:p>
      <w:pPr>
        <w:pStyle w:val="Heading3"/>
        <w:spacing w:line="240" w:lineRule="auto"/>
        <w:ind w:right="0"/>
        <w:jc w:val="left"/>
        <w:rPr>
          <w:b w:val="0"/>
          <w:bCs w:val="0"/>
        </w:rPr>
      </w:pPr>
      <w:bookmarkStart w:name="（7）公司报告期内业务、产品或服务发生重大变化或调整有关情况" w:id="46"/>
      <w:bookmarkEnd w:id="46"/>
      <w:r>
        <w:rPr>
          <w:b w:val="0"/>
          <w:bCs w:val="0"/>
        </w:rPr>
      </w: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right="0"/>
        <w:jc w:val="left"/>
        <w:rPr>
          <w:b w:val="0"/>
          <w:bCs w:val="0"/>
        </w:rPr>
      </w:pPr>
      <w:bookmarkStart w:name="（8）主要销售客户和主要供应商情况" w:id="47"/>
      <w:bookmarkEnd w:id="47"/>
      <w:r>
        <w:rPr>
          <w:b w:val="0"/>
          <w:bCs w:val="0"/>
        </w:rPr>
      </w: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8"/>
        <w:rPr>
          <w:rFonts w:ascii="宋体" w:hAnsi="宋体" w:cs="宋体" w:eastAsia="宋体" w:hint="default"/>
          <w:b/>
          <w:bCs/>
          <w:sz w:val="32"/>
          <w:szCs w:val="32"/>
        </w:rPr>
      </w:pPr>
    </w:p>
    <w:p>
      <w:pPr>
        <w:pStyle w:val="Heading5"/>
        <w:spacing w:line="240" w:lineRule="auto"/>
        <w:ind w:right="0"/>
        <w:jc w:val="left"/>
        <w:rPr>
          <w:b w:val="0"/>
          <w:bCs w:val="0"/>
        </w:rPr>
      </w:pPr>
      <w:r>
        <w:rPr/>
        <w:t>公司主要销售客户情况</w:t>
      </w:r>
      <w:r>
        <w:rPr>
          <w:b w:val="0"/>
          <w:bCs w:val="0"/>
        </w:rPr>
      </w:r>
    </w:p>
    <w:p>
      <w:pPr>
        <w:spacing w:line="240" w:lineRule="auto" w:before="12"/>
        <w:rPr>
          <w:rFonts w:ascii="宋体" w:hAnsi="宋体" w:cs="宋体" w:eastAsia="宋体" w:hint="default"/>
          <w:b/>
          <w:bCs/>
          <w:sz w:val="13"/>
          <w:szCs w:val="13"/>
        </w:rPr>
      </w:pPr>
    </w:p>
    <w:tbl>
      <w:tblPr>
        <w:tblW w:w="0" w:type="auto"/>
        <w:jc w:val="left"/>
        <w:tblInd w:w="121" w:type="dxa"/>
        <w:tblLayout w:type="fixed"/>
        <w:tblCellMar>
          <w:top w:w="0" w:type="dxa"/>
          <w:left w:w="0" w:type="dxa"/>
          <w:bottom w:w="0" w:type="dxa"/>
          <w:right w:w="0" w:type="dxa"/>
        </w:tblCellMar>
        <w:tblLook w:val="01E0"/>
      </w:tblPr>
      <w:tblGrid>
        <w:gridCol w:w="4453"/>
        <w:gridCol w:w="5241"/>
      </w:tblGrid>
      <w:tr>
        <w:trPr>
          <w:trHeight w:val="402" w:hRule="exact"/>
        </w:trPr>
        <w:tc>
          <w:tcPr>
            <w:tcW w:w="44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5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715,198,418.71</w:t>
            </w:r>
          </w:p>
        </w:tc>
      </w:tr>
      <w:tr>
        <w:trPr>
          <w:trHeight w:val="402" w:hRule="exact"/>
        </w:trPr>
        <w:tc>
          <w:tcPr>
            <w:tcW w:w="44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5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35.42%</w:t>
            </w:r>
          </w:p>
        </w:tc>
      </w:tr>
      <w:tr>
        <w:trPr>
          <w:trHeight w:val="402" w:hRule="exact"/>
        </w:trPr>
        <w:tc>
          <w:tcPr>
            <w:tcW w:w="44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前五名客户销售额中关联方销售额占年度销售总额比例</w:t>
            </w:r>
          </w:p>
        </w:tc>
        <w:tc>
          <w:tcPr>
            <w:tcW w:w="5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6"/>
        <w:rPr>
          <w:rFonts w:ascii="宋体" w:hAnsi="宋体" w:cs="宋体" w:eastAsia="宋体" w:hint="default"/>
          <w:b/>
          <w:bCs/>
          <w:sz w:val="6"/>
          <w:szCs w:val="6"/>
        </w:rPr>
      </w:pPr>
    </w:p>
    <w:p>
      <w:pPr>
        <w:pStyle w:val="Heading5"/>
        <w:spacing w:line="240" w:lineRule="auto" w:before="44"/>
        <w:ind w:right="0"/>
        <w:jc w:val="left"/>
        <w:rPr>
          <w:b w:val="0"/>
          <w:bCs w:val="0"/>
        </w:rPr>
      </w:pPr>
      <w:r>
        <w:rPr/>
        <w:t>公司前</w:t>
      </w:r>
      <w:r>
        <w:rPr>
          <w:spacing w:val="-46"/>
        </w:rPr>
        <w:t> </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t>大客户资料</w:t>
      </w:r>
      <w:r>
        <w:rPr>
          <w:b w:val="0"/>
          <w:bCs w:val="0"/>
        </w:rPr>
      </w:r>
    </w:p>
    <w:p>
      <w:pPr>
        <w:spacing w:line="240" w:lineRule="auto" w:before="13"/>
        <w:rPr>
          <w:rFonts w:ascii="宋体" w:hAnsi="宋体" w:cs="宋体" w:eastAsia="宋体" w:hint="default"/>
          <w:b/>
          <w:bCs/>
          <w:sz w:val="12"/>
          <w:szCs w:val="12"/>
        </w:rPr>
      </w:pPr>
    </w:p>
    <w:tbl>
      <w:tblPr>
        <w:tblW w:w="0" w:type="auto"/>
        <w:jc w:val="left"/>
        <w:tblInd w:w="133" w:type="dxa"/>
        <w:tblLayout w:type="fixed"/>
        <w:tblCellMar>
          <w:top w:w="0" w:type="dxa"/>
          <w:left w:w="0" w:type="dxa"/>
          <w:bottom w:w="0" w:type="dxa"/>
          <w:right w:w="0" w:type="dxa"/>
        </w:tblCellMar>
        <w:tblLook w:val="01E0"/>
      </w:tblPr>
      <w:tblGrid>
        <w:gridCol w:w="790"/>
        <w:gridCol w:w="3356"/>
        <w:gridCol w:w="2594"/>
        <w:gridCol w:w="2943"/>
      </w:tblGrid>
      <w:tr>
        <w:trPr>
          <w:trHeight w:val="402" w:hRule="exact"/>
        </w:trPr>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序号</w:t>
            </w:r>
          </w:p>
        </w:tc>
        <w:tc>
          <w:tcPr>
            <w:tcW w:w="3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1"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6"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2" w:hRule="exact"/>
        </w:trPr>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w:t>
            </w:r>
          </w:p>
        </w:tc>
        <w:tc>
          <w:tcPr>
            <w:tcW w:w="33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客户一</w:t>
            </w: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291,662,769.09</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14.44%</w:t>
            </w:r>
          </w:p>
        </w:tc>
      </w:tr>
      <w:tr>
        <w:trPr>
          <w:trHeight w:val="402" w:hRule="exact"/>
        </w:trPr>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w:t>
            </w:r>
          </w:p>
        </w:tc>
        <w:tc>
          <w:tcPr>
            <w:tcW w:w="33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客户二</w:t>
            </w: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258,516,809.76</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12.80%</w:t>
            </w:r>
          </w:p>
        </w:tc>
      </w:tr>
      <w:tr>
        <w:trPr>
          <w:trHeight w:val="402" w:hRule="exact"/>
        </w:trPr>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3</w:t>
            </w:r>
          </w:p>
        </w:tc>
        <w:tc>
          <w:tcPr>
            <w:tcW w:w="33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客户三</w:t>
            </w: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90,105,441.07</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4.46%</w:t>
            </w:r>
          </w:p>
        </w:tc>
      </w:tr>
      <w:tr>
        <w:trPr>
          <w:trHeight w:val="402" w:hRule="exact"/>
        </w:trPr>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w:t>
            </w:r>
          </w:p>
        </w:tc>
        <w:tc>
          <w:tcPr>
            <w:tcW w:w="33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客户四</w:t>
            </w: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38,504,992.18</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1.91%</w:t>
            </w:r>
          </w:p>
        </w:tc>
      </w:tr>
      <w:tr>
        <w:trPr>
          <w:trHeight w:val="402" w:hRule="exact"/>
        </w:trPr>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5</w:t>
            </w:r>
          </w:p>
        </w:tc>
        <w:tc>
          <w:tcPr>
            <w:tcW w:w="33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客户五</w:t>
            </w:r>
          </w:p>
        </w:tc>
        <w:tc>
          <w:tcPr>
            <w:tcW w:w="2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36,408,406.61</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1.81%</w:t>
            </w:r>
          </w:p>
        </w:tc>
      </w:tr>
      <w:tr>
        <w:trPr>
          <w:trHeight w:val="402" w:hRule="exact"/>
        </w:trPr>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3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w:t>
            </w:r>
          </w:p>
        </w:tc>
        <w:tc>
          <w:tcPr>
            <w:tcW w:w="259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715,198,418.71</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35.42%</w:t>
            </w:r>
          </w:p>
        </w:tc>
      </w:tr>
    </w:tbl>
    <w:p>
      <w:pPr>
        <w:spacing w:line="240" w:lineRule="auto" w:before="6"/>
        <w:rPr>
          <w:rFonts w:ascii="宋体" w:hAnsi="宋体" w:cs="宋体" w:eastAsia="宋体" w:hint="default"/>
          <w:b/>
          <w:bCs/>
          <w:sz w:val="6"/>
          <w:szCs w:val="6"/>
        </w:rPr>
      </w:pPr>
    </w:p>
    <w:p>
      <w:pPr>
        <w:pStyle w:val="Heading5"/>
        <w:spacing w:line="240" w:lineRule="auto" w:before="44"/>
        <w:ind w:right="0"/>
        <w:jc w:val="left"/>
        <w:rPr>
          <w:b w:val="0"/>
          <w:bCs w:val="0"/>
        </w:rPr>
      </w:pPr>
      <w:r>
        <w:rPr/>
        <w:t>主要客户其他情况说明</w:t>
      </w:r>
      <w:r>
        <w:rPr>
          <w:b w:val="0"/>
          <w:bCs w:val="0"/>
        </w:rPr>
      </w:r>
    </w:p>
    <w:p>
      <w:pPr>
        <w:spacing w:line="240" w:lineRule="auto" w:before="12"/>
        <w:rPr>
          <w:rFonts w:ascii="宋体" w:hAnsi="宋体" w:cs="宋体" w:eastAsia="宋体" w:hint="default"/>
          <w:b/>
          <w:bCs/>
          <w:sz w:val="14"/>
          <w:szCs w:val="14"/>
        </w:rPr>
      </w:pPr>
    </w:p>
    <w:p>
      <w:pPr>
        <w:spacing w:line="412" w:lineRule="auto" w:before="0"/>
        <w:ind w:left="154" w:right="912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b/>
          <w:bCs/>
          <w:sz w:val="18"/>
          <w:szCs w:val="18"/>
        </w:rPr>
        <w:t>公司主要供应商情况</w:t>
      </w:r>
      <w:r>
        <w:rPr>
          <w:rFonts w:ascii="宋体" w:hAnsi="宋体" w:cs="宋体" w:eastAsia="宋体" w:hint="default"/>
          <w:sz w:val="18"/>
          <w:szCs w:val="18"/>
        </w:rPr>
      </w:r>
    </w:p>
    <w:p>
      <w:pPr>
        <w:spacing w:line="240" w:lineRule="auto" w:before="2"/>
        <w:rPr>
          <w:rFonts w:ascii="宋体" w:hAnsi="宋体" w:cs="宋体" w:eastAsia="宋体" w:hint="default"/>
          <w:b/>
          <w:bCs/>
          <w:sz w:val="4"/>
          <w:szCs w:val="4"/>
        </w:rPr>
      </w:pPr>
    </w:p>
    <w:tbl>
      <w:tblPr>
        <w:tblW w:w="0" w:type="auto"/>
        <w:jc w:val="left"/>
        <w:tblInd w:w="121" w:type="dxa"/>
        <w:tblLayout w:type="fixed"/>
        <w:tblCellMar>
          <w:top w:w="0" w:type="dxa"/>
          <w:left w:w="0" w:type="dxa"/>
          <w:bottom w:w="0" w:type="dxa"/>
          <w:right w:w="0" w:type="dxa"/>
        </w:tblCellMar>
        <w:tblLook w:val="01E0"/>
      </w:tblPr>
      <w:tblGrid>
        <w:gridCol w:w="4741"/>
        <w:gridCol w:w="4954"/>
      </w:tblGrid>
      <w:tr>
        <w:trPr>
          <w:trHeight w:val="402" w:hRule="exact"/>
        </w:trPr>
        <w:tc>
          <w:tcPr>
            <w:tcW w:w="47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4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118,407,114.81</w:t>
            </w:r>
          </w:p>
        </w:tc>
      </w:tr>
      <w:tr>
        <w:trPr>
          <w:trHeight w:val="402" w:hRule="exact"/>
        </w:trPr>
        <w:tc>
          <w:tcPr>
            <w:tcW w:w="47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4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19.75%</w:t>
            </w:r>
          </w:p>
        </w:tc>
      </w:tr>
      <w:tr>
        <w:trPr>
          <w:trHeight w:val="402" w:hRule="exact"/>
        </w:trPr>
        <w:tc>
          <w:tcPr>
            <w:tcW w:w="47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前五名供应商采购额中关联方采购额占年度采购总额比例</w:t>
            </w:r>
          </w:p>
        </w:tc>
        <w:tc>
          <w:tcPr>
            <w:tcW w:w="4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6"/>
        <w:rPr>
          <w:rFonts w:ascii="宋体" w:hAnsi="宋体" w:cs="宋体" w:eastAsia="宋体" w:hint="default"/>
          <w:b/>
          <w:bCs/>
          <w:sz w:val="6"/>
          <w:szCs w:val="6"/>
        </w:rPr>
      </w:pPr>
    </w:p>
    <w:p>
      <w:pPr>
        <w:pStyle w:val="Heading5"/>
        <w:spacing w:line="240" w:lineRule="auto" w:before="44"/>
        <w:ind w:right="0"/>
        <w:jc w:val="left"/>
        <w:rPr>
          <w:b w:val="0"/>
          <w:bCs w:val="0"/>
        </w:rPr>
      </w:pPr>
      <w:r>
        <w:rPr/>
        <w:t>公司前</w:t>
      </w:r>
      <w:r>
        <w:rPr>
          <w:spacing w:val="-46"/>
        </w:rPr>
        <w:t> </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t>名供应商资料</w:t>
      </w:r>
      <w:r>
        <w:rPr>
          <w:b w:val="0"/>
          <w:bCs w:val="0"/>
        </w:rPr>
      </w:r>
    </w:p>
    <w:p>
      <w:pPr>
        <w:spacing w:after="0" w:line="240" w:lineRule="auto"/>
        <w:jc w:val="left"/>
        <w:sectPr>
          <w:pgSz w:w="11910" w:h="16840"/>
          <w:pgMar w:header="851" w:footer="1187" w:top="1400" w:bottom="1380" w:left="980" w:right="0"/>
        </w:sectPr>
      </w:pPr>
    </w:p>
    <w:p>
      <w:pPr>
        <w:spacing w:line="240" w:lineRule="auto" w:before="3"/>
        <w:rPr>
          <w:rFonts w:ascii="宋体" w:hAnsi="宋体" w:cs="宋体" w:eastAsia="宋体" w:hint="default"/>
          <w:b/>
          <w:bCs/>
          <w:sz w:val="3"/>
          <w:szCs w:val="3"/>
        </w:rPr>
      </w:pPr>
    </w:p>
    <w:tbl>
      <w:tblPr>
        <w:tblW w:w="0" w:type="auto"/>
        <w:jc w:val="left"/>
        <w:tblInd w:w="113" w:type="dxa"/>
        <w:tblLayout w:type="fixed"/>
        <w:tblCellMar>
          <w:top w:w="0" w:type="dxa"/>
          <w:left w:w="0" w:type="dxa"/>
          <w:bottom w:w="0" w:type="dxa"/>
          <w:right w:w="0" w:type="dxa"/>
        </w:tblCellMar>
        <w:tblLook w:val="01E0"/>
      </w:tblPr>
      <w:tblGrid>
        <w:gridCol w:w="924"/>
        <w:gridCol w:w="3223"/>
        <w:gridCol w:w="2736"/>
        <w:gridCol w:w="2800"/>
      </w:tblGrid>
      <w:tr>
        <w:trPr>
          <w:trHeight w:val="414" w:hRule="exact"/>
        </w:trPr>
        <w:tc>
          <w:tcPr>
            <w:tcW w:w="924"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right="1"/>
              <w:jc w:val="center"/>
              <w:rPr>
                <w:rFonts w:ascii="宋体" w:hAnsi="宋体" w:cs="宋体" w:eastAsia="宋体" w:hint="default"/>
                <w:sz w:val="18"/>
                <w:szCs w:val="18"/>
              </w:rPr>
            </w:pPr>
            <w:r>
              <w:rPr>
                <w:rFonts w:ascii="宋体" w:hAnsi="宋体" w:cs="宋体" w:eastAsia="宋体" w:hint="default"/>
                <w:sz w:val="18"/>
                <w:szCs w:val="18"/>
              </w:rPr>
              <w:t>序号</w:t>
            </w:r>
          </w:p>
        </w:tc>
        <w:tc>
          <w:tcPr>
            <w:tcW w:w="3223"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8"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736"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821"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2800"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584"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2" w:hRule="exact"/>
        </w:trPr>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w:t>
            </w:r>
          </w:p>
        </w:tc>
        <w:tc>
          <w:tcPr>
            <w:tcW w:w="322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供应商一</w:t>
            </w:r>
          </w:p>
        </w:tc>
        <w:tc>
          <w:tcPr>
            <w:tcW w:w="2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32,067,002.05</w:t>
            </w: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5.35%</w:t>
            </w:r>
          </w:p>
        </w:tc>
      </w:tr>
      <w:tr>
        <w:trPr>
          <w:trHeight w:val="402" w:hRule="exact"/>
        </w:trPr>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2</w:t>
            </w:r>
          </w:p>
        </w:tc>
        <w:tc>
          <w:tcPr>
            <w:tcW w:w="322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供应商二</w:t>
            </w:r>
          </w:p>
        </w:tc>
        <w:tc>
          <w:tcPr>
            <w:tcW w:w="2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26,301,628.33</w:t>
            </w: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4.39%</w:t>
            </w:r>
          </w:p>
        </w:tc>
      </w:tr>
      <w:tr>
        <w:trPr>
          <w:trHeight w:val="402" w:hRule="exact"/>
        </w:trPr>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3</w:t>
            </w:r>
          </w:p>
        </w:tc>
        <w:tc>
          <w:tcPr>
            <w:tcW w:w="322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供应商三</w:t>
            </w:r>
          </w:p>
        </w:tc>
        <w:tc>
          <w:tcPr>
            <w:tcW w:w="2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24,750,062.40</w:t>
            </w: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4.13%</w:t>
            </w:r>
          </w:p>
        </w:tc>
      </w:tr>
      <w:tr>
        <w:trPr>
          <w:trHeight w:val="402" w:hRule="exact"/>
        </w:trPr>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4</w:t>
            </w:r>
          </w:p>
        </w:tc>
        <w:tc>
          <w:tcPr>
            <w:tcW w:w="322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供应商四</w:t>
            </w:r>
          </w:p>
        </w:tc>
        <w:tc>
          <w:tcPr>
            <w:tcW w:w="2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21,006,000.00</w:t>
            </w: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3.50%</w:t>
            </w:r>
          </w:p>
        </w:tc>
      </w:tr>
      <w:tr>
        <w:trPr>
          <w:trHeight w:val="402" w:hRule="exact"/>
        </w:trPr>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5</w:t>
            </w:r>
          </w:p>
        </w:tc>
        <w:tc>
          <w:tcPr>
            <w:tcW w:w="322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供应商五</w:t>
            </w:r>
          </w:p>
        </w:tc>
        <w:tc>
          <w:tcPr>
            <w:tcW w:w="2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14,282,422.03</w:t>
            </w: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2.38%</w:t>
            </w:r>
          </w:p>
        </w:tc>
      </w:tr>
      <w:tr>
        <w:trPr>
          <w:trHeight w:val="403" w:hRule="exact"/>
        </w:trPr>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32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8" w:right="0"/>
              <w:jc w:val="center"/>
              <w:rPr>
                <w:rFonts w:ascii="Times New Roman" w:hAnsi="Times New Roman" w:cs="Times New Roman" w:eastAsia="Times New Roman" w:hint="default"/>
                <w:sz w:val="18"/>
                <w:szCs w:val="18"/>
              </w:rPr>
            </w:pPr>
            <w:r>
              <w:rPr>
                <w:rFonts w:ascii="Times New Roman"/>
                <w:sz w:val="18"/>
              </w:rPr>
              <w:t>--</w:t>
            </w:r>
          </w:p>
        </w:tc>
        <w:tc>
          <w:tcPr>
            <w:tcW w:w="27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2"/>
                <w:sz w:val="18"/>
              </w:rPr>
              <w:t>118,407,114.81</w:t>
            </w: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19.75%</w:t>
            </w:r>
          </w:p>
        </w:tc>
      </w:tr>
    </w:tbl>
    <w:p>
      <w:pPr>
        <w:spacing w:line="240" w:lineRule="auto" w:before="6"/>
        <w:rPr>
          <w:rFonts w:ascii="宋体" w:hAnsi="宋体" w:cs="宋体" w:eastAsia="宋体" w:hint="default"/>
          <w:b/>
          <w:bCs/>
          <w:sz w:val="6"/>
          <w:szCs w:val="6"/>
        </w:rPr>
      </w:pPr>
    </w:p>
    <w:p>
      <w:pPr>
        <w:pStyle w:val="Heading5"/>
        <w:spacing w:line="240" w:lineRule="auto" w:before="44"/>
        <w:ind w:left="134" w:right="7680"/>
        <w:jc w:val="left"/>
        <w:rPr>
          <w:b w:val="0"/>
          <w:bCs w:val="0"/>
        </w:rPr>
      </w:pPr>
      <w:r>
        <w:rPr/>
        <w:t>主要供应商其他情况说明</w:t>
      </w:r>
      <w:r>
        <w:rPr>
          <w:b w:val="0"/>
          <w:bCs w:val="0"/>
        </w:rPr>
      </w:r>
    </w:p>
    <w:p>
      <w:pPr>
        <w:spacing w:line="240" w:lineRule="auto" w:before="11"/>
        <w:rPr>
          <w:rFonts w:ascii="宋体" w:hAnsi="宋体" w:cs="宋体" w:eastAsia="宋体" w:hint="default"/>
          <w:b/>
          <w:bCs/>
          <w:sz w:val="14"/>
          <w:szCs w:val="14"/>
        </w:rPr>
      </w:pPr>
    </w:p>
    <w:p>
      <w:pPr>
        <w:spacing w:before="0"/>
        <w:ind w:left="134" w:right="768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0"/>
        <w:rPr>
          <w:rFonts w:ascii="宋体" w:hAnsi="宋体" w:cs="宋体" w:eastAsia="宋体" w:hint="default"/>
          <w:b/>
          <w:bCs/>
          <w:sz w:val="25"/>
          <w:szCs w:val="25"/>
        </w:rPr>
      </w:pPr>
    </w:p>
    <w:p>
      <w:pPr>
        <w:pStyle w:val="Heading3"/>
        <w:spacing w:line="240" w:lineRule="auto"/>
        <w:ind w:left="134" w:right="7680"/>
        <w:jc w:val="left"/>
        <w:rPr>
          <w:b w:val="0"/>
          <w:bCs w:val="0"/>
        </w:rPr>
      </w:pPr>
      <w:bookmarkStart w:name="3、费用" w:id="48"/>
      <w:bookmarkEnd w:id="48"/>
      <w:r>
        <w:rPr>
          <w:b w:val="0"/>
          <w:bCs w:val="0"/>
        </w:rPr>
      </w:r>
      <w:r>
        <w:rPr>
          <w:rFonts w:ascii="Times New Roman" w:hAnsi="Times New Roman" w:cs="Times New Roman" w:eastAsia="Times New Roman" w:hint="default"/>
        </w:rPr>
        <w:t>3</w:t>
      </w:r>
      <w:r>
        <w:rPr/>
        <w:t>、费用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13" w:type="dxa"/>
        <w:tblLayout w:type="fixed"/>
        <w:tblCellMar>
          <w:top w:w="0" w:type="dxa"/>
          <w:left w:w="0" w:type="dxa"/>
          <w:bottom w:w="0" w:type="dxa"/>
          <w:right w:w="0" w:type="dxa"/>
        </w:tblCellMar>
        <w:tblLook w:val="01E0"/>
      </w:tblPr>
      <w:tblGrid>
        <w:gridCol w:w="1718"/>
        <w:gridCol w:w="1702"/>
        <w:gridCol w:w="1701"/>
        <w:gridCol w:w="1417"/>
        <w:gridCol w:w="3146"/>
      </w:tblGrid>
      <w:tr>
        <w:trPr>
          <w:trHeight w:val="402" w:hRule="exact"/>
        </w:trPr>
        <w:tc>
          <w:tcPr>
            <w:tcW w:w="17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4"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31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27"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02" w:hRule="exact"/>
        </w:trPr>
        <w:tc>
          <w:tcPr>
            <w:tcW w:w="1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7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533" w:right="0"/>
              <w:jc w:val="left"/>
              <w:rPr>
                <w:rFonts w:ascii="Times New Roman" w:hAnsi="Times New Roman" w:cs="Times New Roman" w:eastAsia="Times New Roman" w:hint="default"/>
                <w:sz w:val="18"/>
                <w:szCs w:val="18"/>
              </w:rPr>
            </w:pPr>
            <w:r>
              <w:rPr>
                <w:rFonts w:ascii="Times New Roman"/>
                <w:sz w:val="18"/>
              </w:rPr>
              <w:t>448,526,981.87</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456,691,665.34</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-1.79%</w:t>
            </w:r>
          </w:p>
        </w:tc>
        <w:tc>
          <w:tcPr>
            <w:tcW w:w="314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7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533" w:right="0"/>
              <w:jc w:val="left"/>
              <w:rPr>
                <w:rFonts w:ascii="Times New Roman" w:hAnsi="Times New Roman" w:cs="Times New Roman" w:eastAsia="Times New Roman" w:hint="default"/>
                <w:sz w:val="18"/>
                <w:szCs w:val="18"/>
              </w:rPr>
            </w:pPr>
            <w:r>
              <w:rPr>
                <w:rFonts w:ascii="Times New Roman"/>
                <w:sz w:val="18"/>
              </w:rPr>
              <w:t>714,440,593.96</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663,038,385.52</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7.75%</w:t>
            </w:r>
          </w:p>
        </w:tc>
        <w:tc>
          <w:tcPr>
            <w:tcW w:w="3146"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718" w:type="dxa"/>
            <w:tcBorders>
              <w:top w:val="single" w:sz="4" w:space="0" w:color="000000"/>
              <w:left w:val="single" w:sz="4" w:space="0" w:color="000000"/>
              <w:bottom w:val="nil" w:sz="6" w:space="0" w:color="auto"/>
              <w:right w:val="single" w:sz="4" w:space="0" w:color="000000"/>
            </w:tcBorders>
            <w:shd w:val="clear" w:color="auto" w:fill="D2D2D2"/>
          </w:tcPr>
          <w:p>
            <w:pPr/>
          </w:p>
        </w:tc>
        <w:tc>
          <w:tcPr>
            <w:tcW w:w="1702"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8" w:right="0"/>
              <w:jc w:val="left"/>
              <w:rPr>
                <w:rFonts w:ascii="Times New Roman" w:hAnsi="Times New Roman" w:cs="Times New Roman" w:eastAsia="Times New Roman" w:hint="default"/>
                <w:sz w:val="18"/>
                <w:szCs w:val="18"/>
              </w:rPr>
            </w:pPr>
            <w:r>
              <w:rPr>
                <w:rFonts w:ascii="Times New Roman"/>
                <w:sz w:val="18"/>
              </w:rPr>
              <w:t>37,964,896.30</w:t>
            </w:r>
          </w:p>
        </w:tc>
        <w:tc>
          <w:tcPr>
            <w:tcW w:w="170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33" w:right="0"/>
              <w:jc w:val="left"/>
              <w:rPr>
                <w:rFonts w:ascii="Times New Roman" w:hAnsi="Times New Roman" w:cs="Times New Roman" w:eastAsia="Times New Roman" w:hint="default"/>
                <w:sz w:val="18"/>
                <w:szCs w:val="18"/>
              </w:rPr>
            </w:pPr>
            <w:r>
              <w:rPr>
                <w:rFonts w:ascii="Times New Roman"/>
                <w:sz w:val="18"/>
              </w:rPr>
              <w:t>68,835,073.74</w:t>
            </w:r>
          </w:p>
        </w:tc>
        <w:tc>
          <w:tcPr>
            <w:tcW w:w="141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70" w:right="0"/>
              <w:jc w:val="left"/>
              <w:rPr>
                <w:rFonts w:ascii="Times New Roman" w:hAnsi="Times New Roman" w:cs="Times New Roman" w:eastAsia="Times New Roman" w:hint="default"/>
                <w:sz w:val="18"/>
                <w:szCs w:val="18"/>
              </w:rPr>
            </w:pPr>
            <w:r>
              <w:rPr>
                <w:rFonts w:ascii="Times New Roman"/>
                <w:sz w:val="18"/>
              </w:rPr>
              <w:t>-44.85%</w:t>
            </w:r>
          </w:p>
        </w:tc>
        <w:tc>
          <w:tcPr>
            <w:tcW w:w="3146" w:type="dxa"/>
            <w:vMerge w:val="restart"/>
            <w:tcBorders>
              <w:top w:val="single" w:sz="4" w:space="0" w:color="000000"/>
              <w:left w:val="single" w:sz="4" w:space="0" w:color="000000"/>
              <w:right w:val="single" w:sz="4" w:space="0" w:color="000000"/>
            </w:tcBorders>
          </w:tcPr>
          <w:p>
            <w:pPr>
              <w:pStyle w:val="TableParagraph"/>
              <w:spacing w:line="316" w:lineRule="auto" w:before="51"/>
              <w:ind w:left="22" w:right="51"/>
              <w:jc w:val="left"/>
              <w:rPr>
                <w:rFonts w:ascii="宋体" w:hAnsi="宋体" w:cs="宋体" w:eastAsia="宋体" w:hint="default"/>
                <w:sz w:val="18"/>
                <w:szCs w:val="18"/>
              </w:rPr>
            </w:pPr>
            <w:r>
              <w:rPr>
                <w:rFonts w:ascii="宋体" w:hAnsi="宋体" w:cs="宋体" w:eastAsia="宋体" w:hint="default"/>
                <w:sz w:val="18"/>
                <w:szCs w:val="18"/>
              </w:rPr>
              <w:t>主要为本期初偿还超短期融资券使得利 息费用减少及本期汇兑收益下降所致。</w:t>
            </w:r>
          </w:p>
        </w:tc>
      </w:tr>
      <w:tr>
        <w:trPr>
          <w:trHeight w:val="392" w:hRule="exact"/>
        </w:trPr>
        <w:tc>
          <w:tcPr>
            <w:tcW w:w="171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702" w:type="dxa"/>
            <w:vMerge/>
            <w:tcBorders>
              <w:left w:val="single" w:sz="9" w:space="0" w:color="D2D2D2"/>
              <w:right w:val="single" w:sz="4" w:space="0" w:color="000000"/>
            </w:tcBorders>
          </w:tcPr>
          <w:p>
            <w:pPr/>
          </w:p>
        </w:tc>
        <w:tc>
          <w:tcPr>
            <w:tcW w:w="1701" w:type="dxa"/>
            <w:vMerge/>
            <w:tcBorders>
              <w:left w:val="single" w:sz="4" w:space="0" w:color="000000"/>
              <w:right w:val="single" w:sz="4" w:space="0" w:color="000000"/>
            </w:tcBorders>
          </w:tcPr>
          <w:p>
            <w:pPr/>
          </w:p>
        </w:tc>
        <w:tc>
          <w:tcPr>
            <w:tcW w:w="1417" w:type="dxa"/>
            <w:vMerge/>
            <w:tcBorders>
              <w:left w:val="single" w:sz="4" w:space="0" w:color="000000"/>
              <w:right w:val="single" w:sz="4" w:space="0" w:color="000000"/>
            </w:tcBorders>
          </w:tcPr>
          <w:p>
            <w:pPr/>
          </w:p>
        </w:tc>
        <w:tc>
          <w:tcPr>
            <w:tcW w:w="3146" w:type="dxa"/>
            <w:vMerge/>
            <w:tcBorders>
              <w:left w:val="single" w:sz="4" w:space="0" w:color="000000"/>
              <w:right w:val="single" w:sz="4" w:space="0" w:color="000000"/>
            </w:tcBorders>
          </w:tcPr>
          <w:p>
            <w:pPr/>
          </w:p>
        </w:tc>
      </w:tr>
      <w:tr>
        <w:trPr>
          <w:trHeight w:val="161" w:hRule="exact"/>
        </w:trPr>
        <w:tc>
          <w:tcPr>
            <w:tcW w:w="1718" w:type="dxa"/>
            <w:tcBorders>
              <w:top w:val="nil" w:sz="6" w:space="0" w:color="auto"/>
              <w:left w:val="single" w:sz="4" w:space="0" w:color="000000"/>
              <w:bottom w:val="single" w:sz="4" w:space="0" w:color="000000"/>
              <w:right w:val="single" w:sz="4" w:space="0" w:color="000000"/>
            </w:tcBorders>
            <w:shd w:val="clear" w:color="auto" w:fill="D2D2D2"/>
          </w:tcPr>
          <w:p>
            <w:pPr/>
          </w:p>
        </w:tc>
        <w:tc>
          <w:tcPr>
            <w:tcW w:w="1702" w:type="dxa"/>
            <w:vMerge/>
            <w:tcBorders>
              <w:left w:val="single" w:sz="9" w:space="0" w:color="D2D2D2"/>
              <w:bottom w:val="single" w:sz="4" w:space="0" w:color="000000"/>
              <w:right w:val="single" w:sz="4" w:space="0" w:color="000000"/>
            </w:tcBorders>
          </w:tcPr>
          <w:p>
            <w:pPr/>
          </w:p>
        </w:tc>
        <w:tc>
          <w:tcPr>
            <w:tcW w:w="1701" w:type="dxa"/>
            <w:vMerge/>
            <w:tcBorders>
              <w:left w:val="single" w:sz="4" w:space="0" w:color="000000"/>
              <w:bottom w:val="single" w:sz="4" w:space="0" w:color="000000"/>
              <w:right w:val="single" w:sz="4" w:space="0" w:color="000000"/>
            </w:tcBorders>
          </w:tcPr>
          <w:p>
            <w:pPr/>
          </w:p>
        </w:tc>
        <w:tc>
          <w:tcPr>
            <w:tcW w:w="1417" w:type="dxa"/>
            <w:vMerge/>
            <w:tcBorders>
              <w:left w:val="single" w:sz="4" w:space="0" w:color="000000"/>
              <w:bottom w:val="single" w:sz="4" w:space="0" w:color="000000"/>
              <w:right w:val="single" w:sz="4" w:space="0" w:color="000000"/>
            </w:tcBorders>
          </w:tcPr>
          <w:p>
            <w:pPr/>
          </w:p>
        </w:tc>
        <w:tc>
          <w:tcPr>
            <w:tcW w:w="3146" w:type="dxa"/>
            <w:vMerge/>
            <w:tcBorders>
              <w:left w:val="single" w:sz="4" w:space="0" w:color="000000"/>
              <w:bottom w:val="single" w:sz="4" w:space="0" w:color="000000"/>
              <w:right w:val="single" w:sz="4" w:space="0" w:color="000000"/>
            </w:tcBorders>
          </w:tcPr>
          <w:p>
            <w:pPr/>
          </w:p>
        </w:tc>
      </w:tr>
      <w:tr>
        <w:trPr>
          <w:trHeight w:val="402" w:hRule="exact"/>
        </w:trPr>
        <w:tc>
          <w:tcPr>
            <w:tcW w:w="1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7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533" w:right="0"/>
              <w:jc w:val="left"/>
              <w:rPr>
                <w:rFonts w:ascii="Times New Roman" w:hAnsi="Times New Roman" w:cs="Times New Roman" w:eastAsia="Times New Roman" w:hint="default"/>
                <w:sz w:val="18"/>
                <w:szCs w:val="18"/>
              </w:rPr>
            </w:pPr>
            <w:r>
              <w:rPr>
                <w:rFonts w:ascii="Times New Roman"/>
                <w:sz w:val="18"/>
              </w:rPr>
              <w:t>102,446,959.62</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82,559,229.83</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24.09%</w:t>
            </w:r>
          </w:p>
        </w:tc>
        <w:tc>
          <w:tcPr>
            <w:tcW w:w="3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主要为本期研发投入加大所致。</w:t>
            </w:r>
          </w:p>
        </w:tc>
      </w:tr>
    </w:tbl>
    <w:p>
      <w:pPr>
        <w:spacing w:line="240" w:lineRule="auto" w:before="2"/>
        <w:rPr>
          <w:rFonts w:ascii="宋体" w:hAnsi="宋体" w:cs="宋体" w:eastAsia="宋体" w:hint="default"/>
          <w:sz w:val="19"/>
          <w:szCs w:val="19"/>
        </w:rPr>
      </w:pPr>
    </w:p>
    <w:p>
      <w:pPr>
        <w:pStyle w:val="Heading3"/>
        <w:spacing w:line="240" w:lineRule="auto" w:before="35"/>
        <w:ind w:left="134" w:right="7680"/>
        <w:jc w:val="left"/>
        <w:rPr>
          <w:b w:val="0"/>
          <w:bCs w:val="0"/>
        </w:rPr>
      </w:pPr>
      <w:bookmarkStart w:name="4、研发投入" w:id="49"/>
      <w:bookmarkEnd w:id="49"/>
      <w:r>
        <w:rPr>
          <w:b w:val="0"/>
          <w:bCs w:val="0"/>
        </w:rPr>
      </w:r>
      <w:r>
        <w:rPr>
          <w:rFonts w:ascii="Times New Roman" w:hAnsi="Times New Roman" w:cs="Times New Roman" w:eastAsia="Times New Roman" w:hint="default"/>
        </w:rPr>
        <w:t>4</w:t>
      </w:r>
      <w:r>
        <w:rPr/>
        <w:t>、研发投入</w:t>
      </w:r>
      <w:r>
        <w:rPr>
          <w:b w:val="0"/>
          <w:bCs w:val="0"/>
        </w:rPr>
      </w:r>
    </w:p>
    <w:p>
      <w:pPr>
        <w:spacing w:line="240" w:lineRule="auto" w:before="8"/>
        <w:rPr>
          <w:rFonts w:ascii="宋体" w:hAnsi="宋体" w:cs="宋体" w:eastAsia="宋体" w:hint="default"/>
          <w:b/>
          <w:bCs/>
          <w:sz w:val="26"/>
          <w:szCs w:val="26"/>
        </w:rPr>
      </w:pPr>
    </w:p>
    <w:p>
      <w:pPr>
        <w:pStyle w:val="BodyText"/>
        <w:spacing w:line="412" w:lineRule="auto"/>
        <w:ind w:left="494" w:right="1032" w:hanging="360"/>
        <w:jc w:val="left"/>
      </w:pPr>
      <w:r>
        <w:rPr>
          <w:rFonts w:ascii="宋体" w:hAnsi="宋体" w:cs="宋体" w:eastAsia="宋体" w:hint="default"/>
          <w:b/>
          <w:bCs/>
        </w:rPr>
        <w:t>√ 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w:t>
      </w:r>
      <w:r>
        <w:rPr>
          <w:spacing w:val="-2"/>
        </w:rPr>
        <w:t>持续的自主创新能力是市场竞争力的核心要素，公司自成立以来一直高度重视研发投入力度，近几年研发投入一直都保</w:t>
      </w:r>
    </w:p>
    <w:p>
      <w:pPr>
        <w:pStyle w:val="BodyText"/>
        <w:spacing w:line="477" w:lineRule="auto" w:before="103"/>
        <w:ind w:left="134" w:right="1032"/>
        <w:jc w:val="left"/>
      </w:pPr>
      <w:r>
        <w:rPr/>
        <w:pict>
          <v:shape style="position:absolute;margin-left:56.34pt;margin-top:47.551735pt;width:483.15pt;height:194.95pt;mso-position-horizontal-relative:page;mso-position-vertical-relative:paragraph;z-index:18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76"/>
                    <w:gridCol w:w="1843"/>
                    <w:gridCol w:w="5246"/>
                    <w:gridCol w:w="1276"/>
                  </w:tblGrid>
                  <w:tr>
                    <w:trPr>
                      <w:trHeight w:val="173" w:hRule="exact"/>
                    </w:trPr>
                    <w:tc>
                      <w:tcPr>
                        <w:tcW w:w="1276" w:type="dxa"/>
                        <w:tcBorders>
                          <w:top w:val="single" w:sz="6" w:space="0" w:color="000000"/>
                          <w:left w:val="single" w:sz="6" w:space="0" w:color="000000"/>
                          <w:bottom w:val="nil" w:sz="6" w:space="0" w:color="auto"/>
                          <w:right w:val="single" w:sz="6" w:space="0" w:color="000000"/>
                        </w:tcBorders>
                        <w:shd w:val="clear" w:color="auto" w:fill="D9D9D9"/>
                      </w:tcPr>
                      <w:p>
                        <w:pPr/>
                      </w:p>
                    </w:tc>
                    <w:tc>
                      <w:tcPr>
                        <w:tcW w:w="1843" w:type="dxa"/>
                        <w:tcBorders>
                          <w:top w:val="single" w:sz="6" w:space="0" w:color="000000"/>
                          <w:left w:val="single" w:sz="6" w:space="0" w:color="000000"/>
                          <w:bottom w:val="nil" w:sz="6" w:space="0" w:color="auto"/>
                          <w:right w:val="single" w:sz="6" w:space="0" w:color="000000"/>
                        </w:tcBorders>
                        <w:shd w:val="clear" w:color="auto" w:fill="D9D9D9"/>
                      </w:tcPr>
                      <w:p>
                        <w:pPr/>
                      </w:p>
                    </w:tc>
                    <w:tc>
                      <w:tcPr>
                        <w:tcW w:w="5246" w:type="dxa"/>
                        <w:tcBorders>
                          <w:top w:val="single" w:sz="6" w:space="0" w:color="000000"/>
                          <w:left w:val="single" w:sz="6" w:space="0" w:color="000000"/>
                          <w:bottom w:val="nil" w:sz="6" w:space="0" w:color="auto"/>
                          <w:right w:val="single" w:sz="6" w:space="0" w:color="000000"/>
                        </w:tcBorders>
                        <w:shd w:val="clear" w:color="auto" w:fill="D9D9D9"/>
                      </w:tcPr>
                      <w:p>
                        <w:pPr/>
                      </w:p>
                    </w:tc>
                    <w:tc>
                      <w:tcPr>
                        <w:tcW w:w="1276" w:type="dxa"/>
                        <w:vMerge w:val="restart"/>
                        <w:tcBorders>
                          <w:top w:val="single" w:sz="6" w:space="0" w:color="000000"/>
                          <w:left w:val="single" w:sz="6" w:space="0" w:color="000000"/>
                          <w:right w:val="single" w:sz="6" w:space="0" w:color="000000"/>
                        </w:tcBorders>
                        <w:shd w:val="clear" w:color="auto" w:fill="D9D9D9"/>
                      </w:tcPr>
                      <w:p>
                        <w:pPr>
                          <w:pStyle w:val="TableParagraph"/>
                          <w:spacing w:line="316" w:lineRule="auto" w:before="20"/>
                          <w:ind w:left="268" w:right="88" w:hanging="182"/>
                          <w:jc w:val="left"/>
                          <w:rPr>
                            <w:rFonts w:ascii="宋体" w:hAnsi="宋体" w:cs="宋体" w:eastAsia="宋体" w:hint="default"/>
                            <w:sz w:val="18"/>
                            <w:szCs w:val="18"/>
                          </w:rPr>
                        </w:pPr>
                        <w:r>
                          <w:rPr>
                            <w:rFonts w:ascii="宋体" w:hAnsi="宋体" w:cs="宋体" w:eastAsia="宋体" w:hint="default"/>
                            <w:b/>
                            <w:bCs/>
                            <w:sz w:val="18"/>
                            <w:szCs w:val="18"/>
                          </w:rPr>
                          <w:t>对公司生产经</w:t>
                        </w:r>
                        <w:r>
                          <w:rPr>
                            <w:rFonts w:ascii="宋体" w:hAnsi="宋体" w:cs="宋体" w:eastAsia="宋体" w:hint="default"/>
                            <w:b/>
                            <w:bCs/>
                            <w:w w:val="99"/>
                            <w:sz w:val="18"/>
                            <w:szCs w:val="18"/>
                          </w:rPr>
                          <w:t> </w:t>
                        </w:r>
                        <w:r>
                          <w:rPr>
                            <w:rFonts w:ascii="宋体" w:hAnsi="宋体" w:cs="宋体" w:eastAsia="宋体" w:hint="default"/>
                            <w:b/>
                            <w:bCs/>
                            <w:sz w:val="18"/>
                            <w:szCs w:val="18"/>
                          </w:rPr>
                          <w:t>营的影响</w:t>
                        </w:r>
                        <w:r>
                          <w:rPr>
                            <w:rFonts w:ascii="宋体" w:hAnsi="宋体" w:cs="宋体" w:eastAsia="宋体" w:hint="default"/>
                            <w:sz w:val="18"/>
                            <w:szCs w:val="18"/>
                          </w:rPr>
                        </w:r>
                      </w:p>
                    </w:tc>
                  </w:tr>
                  <w:tr>
                    <w:trPr>
                      <w:trHeight w:val="485" w:hRule="exact"/>
                    </w:trPr>
                    <w:tc>
                      <w:tcPr>
                        <w:tcW w:w="1276" w:type="dxa"/>
                        <w:tcBorders>
                          <w:top w:val="nil" w:sz="6" w:space="0" w:color="auto"/>
                          <w:left w:val="single" w:sz="6" w:space="0" w:color="000000"/>
                          <w:bottom w:val="single" w:sz="6" w:space="0" w:color="000000"/>
                          <w:right w:val="single" w:sz="6" w:space="0" w:color="000000"/>
                        </w:tcBorders>
                        <w:shd w:val="clear" w:color="auto" w:fill="D9D9D9"/>
                      </w:tcPr>
                      <w:p>
                        <w:pPr>
                          <w:pStyle w:val="TableParagraph"/>
                          <w:spacing w:line="240" w:lineRule="auto" w:before="10"/>
                          <w:ind w:left="268" w:right="0"/>
                          <w:jc w:val="left"/>
                          <w:rPr>
                            <w:rFonts w:ascii="宋体" w:hAnsi="宋体" w:cs="宋体" w:eastAsia="宋体" w:hint="default"/>
                            <w:sz w:val="18"/>
                            <w:szCs w:val="18"/>
                          </w:rPr>
                        </w:pPr>
                        <w:r>
                          <w:rPr>
                            <w:rFonts w:ascii="宋体" w:hAnsi="宋体" w:cs="宋体" w:eastAsia="宋体" w:hint="default"/>
                            <w:b/>
                            <w:bCs/>
                            <w:sz w:val="18"/>
                            <w:szCs w:val="18"/>
                          </w:rPr>
                          <w:t>项目名称</w:t>
                        </w:r>
                        <w:r>
                          <w:rPr>
                            <w:rFonts w:ascii="宋体" w:hAnsi="宋体" w:cs="宋体" w:eastAsia="宋体" w:hint="default"/>
                            <w:sz w:val="18"/>
                            <w:szCs w:val="18"/>
                          </w:rPr>
                        </w:r>
                      </w:p>
                    </w:tc>
                    <w:tc>
                      <w:tcPr>
                        <w:tcW w:w="1843" w:type="dxa"/>
                        <w:tcBorders>
                          <w:top w:val="nil" w:sz="6" w:space="0" w:color="auto"/>
                          <w:left w:val="single" w:sz="6" w:space="0" w:color="000000"/>
                          <w:bottom w:val="single" w:sz="6" w:space="0" w:color="000000"/>
                          <w:right w:val="single" w:sz="6" w:space="0" w:color="000000"/>
                        </w:tcBorders>
                        <w:shd w:val="clear" w:color="auto" w:fill="D9D9D9"/>
                      </w:tcPr>
                      <w:p>
                        <w:pPr>
                          <w:pStyle w:val="TableParagraph"/>
                          <w:spacing w:line="240" w:lineRule="auto" w:before="10"/>
                          <w:ind w:left="373" w:right="0"/>
                          <w:jc w:val="left"/>
                          <w:rPr>
                            <w:rFonts w:ascii="宋体" w:hAnsi="宋体" w:cs="宋体" w:eastAsia="宋体" w:hint="default"/>
                            <w:sz w:val="18"/>
                            <w:szCs w:val="18"/>
                          </w:rPr>
                        </w:pPr>
                        <w:r>
                          <w:rPr>
                            <w:rFonts w:ascii="宋体" w:hAnsi="宋体" w:cs="宋体" w:eastAsia="宋体" w:hint="default"/>
                            <w:b/>
                            <w:bCs/>
                            <w:sz w:val="18"/>
                            <w:szCs w:val="18"/>
                          </w:rPr>
                          <w:t>拟达到的目标</w:t>
                        </w:r>
                        <w:r>
                          <w:rPr>
                            <w:rFonts w:ascii="宋体" w:hAnsi="宋体" w:cs="宋体" w:eastAsia="宋体" w:hint="default"/>
                            <w:sz w:val="18"/>
                            <w:szCs w:val="18"/>
                          </w:rPr>
                        </w:r>
                      </w:p>
                    </w:tc>
                    <w:tc>
                      <w:tcPr>
                        <w:tcW w:w="5246" w:type="dxa"/>
                        <w:tcBorders>
                          <w:top w:val="nil" w:sz="6" w:space="0" w:color="auto"/>
                          <w:left w:val="single" w:sz="6" w:space="0" w:color="000000"/>
                          <w:bottom w:val="single" w:sz="6" w:space="0" w:color="000000"/>
                          <w:right w:val="single" w:sz="6" w:space="0" w:color="000000"/>
                        </w:tcBorders>
                        <w:shd w:val="clear" w:color="auto" w:fill="D9D9D9"/>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b/>
                            <w:bCs/>
                            <w:sz w:val="18"/>
                            <w:szCs w:val="18"/>
                          </w:rPr>
                          <w:t>研发项目的目的</w:t>
                        </w:r>
                        <w:r>
                          <w:rPr>
                            <w:rFonts w:ascii="宋体" w:hAnsi="宋体" w:cs="宋体" w:eastAsia="宋体" w:hint="default"/>
                            <w:sz w:val="18"/>
                            <w:szCs w:val="18"/>
                          </w:rPr>
                        </w:r>
                      </w:p>
                    </w:tc>
                    <w:tc>
                      <w:tcPr>
                        <w:tcW w:w="1276" w:type="dxa"/>
                        <w:vMerge/>
                        <w:tcBorders>
                          <w:left w:val="single" w:sz="6" w:space="0" w:color="000000"/>
                          <w:bottom w:val="single" w:sz="6" w:space="0" w:color="000000"/>
                          <w:right w:val="single" w:sz="6" w:space="0" w:color="000000"/>
                        </w:tcBorders>
                        <w:shd w:val="clear" w:color="auto" w:fill="D9D9D9"/>
                      </w:tcPr>
                      <w:p>
                        <w:pPr/>
                      </w:p>
                    </w:tc>
                  </w:tr>
                  <w:tr>
                    <w:trPr>
                      <w:trHeight w:val="1284" w:hRule="exact"/>
                    </w:trPr>
                    <w:tc>
                      <w:tcPr>
                        <w:tcW w:w="127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
                          <w:ind w:right="0"/>
                          <w:jc w:val="left"/>
                          <w:rPr>
                            <w:rFonts w:ascii="宋体" w:hAnsi="宋体" w:cs="宋体" w:eastAsia="宋体" w:hint="default"/>
                            <w:sz w:val="25"/>
                            <w:szCs w:val="25"/>
                          </w:rPr>
                        </w:pPr>
                      </w:p>
                      <w:p>
                        <w:pPr>
                          <w:pStyle w:val="TableParagraph"/>
                          <w:spacing w:line="316" w:lineRule="auto"/>
                          <w:ind w:left="2" w:right="177"/>
                          <w:jc w:val="left"/>
                          <w:rPr>
                            <w:rFonts w:ascii="宋体" w:hAnsi="宋体" w:cs="宋体" w:eastAsia="宋体" w:hint="default"/>
                            <w:sz w:val="18"/>
                            <w:szCs w:val="18"/>
                          </w:rPr>
                        </w:pPr>
                        <w:r>
                          <w:rPr>
                            <w:rFonts w:ascii="宋体" w:hAnsi="宋体" w:cs="宋体" w:eastAsia="宋体" w:hint="default"/>
                            <w:sz w:val="18"/>
                            <w:szCs w:val="18"/>
                          </w:rPr>
                          <w:t>智慧语义开放 创新平台</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3" w:right="23"/>
                          <w:jc w:val="both"/>
                          <w:rPr>
                            <w:rFonts w:ascii="宋体" w:hAnsi="宋体" w:cs="宋体" w:eastAsia="宋体" w:hint="default"/>
                            <w:sz w:val="18"/>
                            <w:szCs w:val="18"/>
                          </w:rPr>
                        </w:pPr>
                        <w:r>
                          <w:rPr>
                            <w:rFonts w:ascii="宋体" w:hAnsi="宋体" w:cs="宋体" w:eastAsia="宋体" w:hint="default"/>
                            <w:sz w:val="18"/>
                            <w:szCs w:val="18"/>
                          </w:rPr>
                          <w:t>建设和运营自然语言处 理领域的产学研一体化 开放创新生态平台。</w:t>
                        </w:r>
                      </w:p>
                    </w:tc>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312" w:lineRule="auto" w:before="21"/>
                          <w:ind w:left="2" w:right="7"/>
                          <w:jc w:val="both"/>
                          <w:rPr>
                            <w:rFonts w:ascii="宋体" w:hAnsi="宋体" w:cs="宋体" w:eastAsia="宋体" w:hint="default"/>
                            <w:sz w:val="18"/>
                            <w:szCs w:val="18"/>
                          </w:rPr>
                        </w:pPr>
                        <w:r>
                          <w:rPr>
                            <w:rFonts w:ascii="宋体" w:hAnsi="宋体" w:cs="宋体" w:eastAsia="宋体" w:hint="default"/>
                            <w:sz w:val="18"/>
                            <w:szCs w:val="18"/>
                          </w:rPr>
                          <w:t>智慧语义平台分为技术开放、应用创新、数据共享、培训互动四个 板块。完成页面信息展示，基础服务、应用服务、数据集的展示、 调用功能，完成</w:t>
                        </w:r>
                        <w:r>
                          <w:rPr>
                            <w:rFonts w:ascii="Times New Roman" w:hAnsi="Times New Roman" w:cs="Times New Roman" w:eastAsia="Times New Roman" w:hint="default"/>
                            <w:sz w:val="18"/>
                            <w:szCs w:val="18"/>
                          </w:rPr>
                          <w:t>NLP</w:t>
                        </w:r>
                        <w:r>
                          <w:rPr>
                            <w:rFonts w:ascii="宋体" w:hAnsi="宋体" w:cs="宋体" w:eastAsia="宋体" w:hint="default"/>
                            <w:sz w:val="18"/>
                            <w:szCs w:val="18"/>
                          </w:rPr>
                          <w:t>学院、生态平台、解决方案的宣传内容展示。 最终形成一个智慧语义平台的展示版本。</w:t>
                        </w:r>
                      </w:p>
                    </w:tc>
                    <w:tc>
                      <w:tcPr>
                        <w:tcW w:w="1276"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9"/>
                          <w:ind w:left="2" w:right="-2"/>
                          <w:jc w:val="left"/>
                          <w:rPr>
                            <w:rFonts w:ascii="宋体" w:hAnsi="宋体" w:cs="宋体" w:eastAsia="宋体" w:hint="default"/>
                            <w:sz w:val="18"/>
                            <w:szCs w:val="18"/>
                          </w:rPr>
                        </w:pPr>
                        <w:r>
                          <w:rPr>
                            <w:rFonts w:ascii="宋体" w:hAnsi="宋体" w:cs="宋体" w:eastAsia="宋体" w:hint="default"/>
                            <w:sz w:val="18"/>
                            <w:szCs w:val="18"/>
                          </w:rPr>
                          <w:t>提升公司在人 工智能领域的 核心技术能力， 助力公司业务 发展。</w:t>
                        </w:r>
                      </w:p>
                    </w:tc>
                  </w:tr>
                  <w:tr>
                    <w:trPr>
                      <w:trHeight w:val="971" w:hRule="exact"/>
                    </w:trPr>
                    <w:tc>
                      <w:tcPr>
                        <w:tcW w:w="127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
                          <w:ind w:right="0"/>
                          <w:jc w:val="left"/>
                          <w:rPr>
                            <w:rFonts w:ascii="宋体" w:hAnsi="宋体" w:cs="宋体" w:eastAsia="宋体" w:hint="default"/>
                            <w:sz w:val="13"/>
                            <w:szCs w:val="13"/>
                          </w:rPr>
                        </w:pPr>
                      </w:p>
                      <w:p>
                        <w:pPr>
                          <w:pStyle w:val="TableParagraph"/>
                          <w:spacing w:line="319" w:lineRule="auto"/>
                          <w:ind w:left="2" w:right="177"/>
                          <w:jc w:val="left"/>
                          <w:rPr>
                            <w:rFonts w:ascii="宋体" w:hAnsi="宋体" w:cs="宋体" w:eastAsia="宋体" w:hint="default"/>
                            <w:sz w:val="18"/>
                            <w:szCs w:val="18"/>
                          </w:rPr>
                        </w:pPr>
                        <w:r>
                          <w:rPr>
                            <w:rFonts w:ascii="宋体" w:hAnsi="宋体" w:cs="宋体" w:eastAsia="宋体" w:hint="default"/>
                            <w:sz w:val="18"/>
                            <w:szCs w:val="18"/>
                          </w:rPr>
                          <w:t>智脑侦查研判 系统</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319" w:lineRule="auto"/>
                          <w:ind w:left="3" w:right="23"/>
                          <w:jc w:val="left"/>
                          <w:rPr>
                            <w:rFonts w:ascii="宋体" w:hAnsi="宋体" w:cs="宋体" w:eastAsia="宋体" w:hint="default"/>
                            <w:sz w:val="18"/>
                            <w:szCs w:val="18"/>
                          </w:rPr>
                        </w:pPr>
                        <w:r>
                          <w:rPr>
                            <w:rFonts w:ascii="宋体" w:hAnsi="宋体" w:cs="宋体" w:eastAsia="宋体" w:hint="default"/>
                            <w:sz w:val="18"/>
                            <w:szCs w:val="18"/>
                          </w:rPr>
                          <w:t>建设一套辅助侦查人员 侦办案件的系统。</w:t>
                        </w:r>
                      </w:p>
                    </w:tc>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20"/>
                          <w:ind w:left="2" w:right="7"/>
                          <w:jc w:val="both"/>
                          <w:rPr>
                            <w:rFonts w:ascii="宋体" w:hAnsi="宋体" w:cs="宋体" w:eastAsia="宋体" w:hint="default"/>
                            <w:sz w:val="18"/>
                            <w:szCs w:val="18"/>
                          </w:rPr>
                        </w:pPr>
                        <w:r>
                          <w:rPr>
                            <w:rFonts w:ascii="宋体" w:hAnsi="宋体" w:cs="宋体" w:eastAsia="宋体" w:hint="default"/>
                            <w:sz w:val="18"/>
                            <w:szCs w:val="18"/>
                          </w:rPr>
                          <w:t>本项目将会基于自然语言处理技术，结合公安行业非结构化数据转 结构化需求，建设一套辅助侦查人员侦办案件的系统，起到提升情 报、侦查能力，减少民警工作量的作用。</w:t>
                        </w:r>
                      </w:p>
                    </w:tc>
                    <w:tc>
                      <w:tcPr>
                        <w:tcW w:w="1276" w:type="dxa"/>
                        <w:vMerge/>
                        <w:tcBorders>
                          <w:left w:val="single" w:sz="6" w:space="0" w:color="000000"/>
                          <w:right w:val="single" w:sz="6" w:space="0" w:color="000000"/>
                        </w:tcBorders>
                      </w:tcPr>
                      <w:p>
                        <w:pPr/>
                      </w:p>
                    </w:tc>
                  </w:tr>
                  <w:tr>
                    <w:trPr>
                      <w:trHeight w:val="971" w:hRule="exact"/>
                    </w:trPr>
                    <w:tc>
                      <w:tcPr>
                        <w:tcW w:w="127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2" w:right="0"/>
                          <w:jc w:val="left"/>
                          <w:rPr>
                            <w:rFonts w:ascii="宋体" w:hAnsi="宋体" w:cs="宋体" w:eastAsia="宋体" w:hint="default"/>
                            <w:sz w:val="18"/>
                            <w:szCs w:val="18"/>
                          </w:rPr>
                        </w:pPr>
                        <w:r>
                          <w:rPr>
                            <w:rFonts w:ascii="宋体" w:hAnsi="宋体" w:cs="宋体" w:eastAsia="宋体" w:hint="default"/>
                            <w:sz w:val="18"/>
                            <w:szCs w:val="18"/>
                          </w:rPr>
                          <w:t>智享云平台</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23"/>
                          <w:jc w:val="both"/>
                          <w:rPr>
                            <w:rFonts w:ascii="宋体" w:hAnsi="宋体" w:cs="宋体" w:eastAsia="宋体" w:hint="default"/>
                            <w:sz w:val="18"/>
                            <w:szCs w:val="18"/>
                          </w:rPr>
                        </w:pPr>
                        <w:r>
                          <w:rPr>
                            <w:rFonts w:ascii="宋体" w:hAnsi="宋体" w:cs="宋体" w:eastAsia="宋体" w:hint="default"/>
                            <w:sz w:val="18"/>
                            <w:szCs w:val="18"/>
                          </w:rPr>
                          <w:t>打造一款基于海量数据 和应用服务的一站式整 合、分析、创新的应用</w:t>
                        </w:r>
                      </w:p>
                    </w:tc>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309" w:lineRule="auto" w:before="21"/>
                          <w:ind w:left="2" w:right="1"/>
                          <w:jc w:val="both"/>
                          <w:rPr>
                            <w:rFonts w:ascii="宋体" w:hAnsi="宋体" w:cs="宋体" w:eastAsia="宋体" w:hint="default"/>
                            <w:sz w:val="18"/>
                            <w:szCs w:val="18"/>
                          </w:rPr>
                        </w:pPr>
                        <w:r>
                          <w:rPr>
                            <w:rFonts w:ascii="宋体" w:hAnsi="宋体" w:cs="宋体" w:eastAsia="宋体" w:hint="default"/>
                            <w:spacing w:val="-3"/>
                            <w:sz w:val="18"/>
                            <w:szCs w:val="18"/>
                          </w:rPr>
                          <w:t>本项目利用“数据</w:t>
                        </w:r>
                        <w:r>
                          <w:rPr>
                            <w:rFonts w:ascii="宋体" w:hAnsi="宋体" w:cs="宋体" w:eastAsia="宋体" w:hint="default"/>
                            <w:spacing w:val="-3"/>
                            <w:sz w:val="18"/>
                            <w:szCs w:val="18"/>
                          </w:rPr>
                          <w:t>+</w:t>
                        </w:r>
                        <w:r>
                          <w:rPr>
                            <w:rFonts w:ascii="宋体" w:hAnsi="宋体" w:cs="宋体" w:eastAsia="宋体" w:hint="default"/>
                            <w:spacing w:val="-3"/>
                            <w:sz w:val="18"/>
                            <w:szCs w:val="18"/>
                          </w:rPr>
                          <w:t>服务”，打造驱动业务创新的应用服务融合共享</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云平台。通过</w:t>
                        </w:r>
                        <w:r>
                          <w:rPr>
                            <w:rFonts w:ascii="Times New Roman" w:hAnsi="Times New Roman" w:cs="Times New Roman" w:eastAsia="Times New Roman" w:hint="default"/>
                            <w:sz w:val="18"/>
                            <w:szCs w:val="18"/>
                          </w:rPr>
                          <w:t>“</w:t>
                        </w:r>
                        <w:r>
                          <w:rPr>
                            <w:rFonts w:ascii="宋体" w:hAnsi="宋体" w:cs="宋体" w:eastAsia="宋体" w:hint="default"/>
                            <w:sz w:val="18"/>
                            <w:szCs w:val="18"/>
                          </w:rPr>
                          <w:t>业务共建、数据共享、生态共赢</w:t>
                        </w:r>
                        <w:r>
                          <w:rPr>
                            <w:rFonts w:ascii="Times New Roman" w:hAnsi="Times New Roman" w:cs="Times New Roman" w:eastAsia="Times New Roman" w:hint="default"/>
                            <w:sz w:val="18"/>
                            <w:szCs w:val="18"/>
                          </w:rPr>
                          <w:t>”</w:t>
                        </w:r>
                        <w:r>
                          <w:rPr>
                            <w:rFonts w:ascii="宋体" w:hAnsi="宋体" w:cs="宋体" w:eastAsia="宋体" w:hint="default"/>
                            <w:sz w:val="18"/>
                            <w:szCs w:val="18"/>
                          </w:rPr>
                          <w:t>的</w:t>
                        </w:r>
                        <w:r>
                          <w:rPr>
                            <w:rFonts w:ascii="Times New Roman" w:hAnsi="Times New Roman" w:cs="Times New Roman" w:eastAsia="Times New Roman" w:hint="default"/>
                            <w:sz w:val="18"/>
                            <w:szCs w:val="18"/>
                          </w:rPr>
                          <w:t>“</w:t>
                        </w:r>
                        <w:r>
                          <w:rPr>
                            <w:rFonts w:ascii="宋体" w:hAnsi="宋体" w:cs="宋体" w:eastAsia="宋体" w:hint="default"/>
                            <w:sz w:val="18"/>
                            <w:szCs w:val="18"/>
                          </w:rPr>
                          <w:t>人工智能</w:t>
                        </w:r>
                        <w:r>
                          <w:rPr>
                            <w:rFonts w:ascii="Times New Roman" w:hAnsi="Times New Roman" w:cs="Times New Roman" w:eastAsia="Times New Roman" w:hint="default"/>
                            <w:sz w:val="18"/>
                            <w:szCs w:val="18"/>
                          </w:rPr>
                          <w:t>+</w:t>
                        </w:r>
                        <w:r>
                          <w:rPr>
                            <w:rFonts w:ascii="宋体" w:hAnsi="宋体" w:cs="宋体" w:eastAsia="宋体" w:hint="default"/>
                            <w:sz w:val="18"/>
                            <w:szCs w:val="18"/>
                          </w:rPr>
                          <w:t>大数 </w:t>
                        </w:r>
                        <w:r>
                          <w:rPr>
                            <w:rFonts w:ascii="宋体" w:hAnsi="宋体" w:cs="宋体" w:eastAsia="宋体" w:hint="default"/>
                            <w:spacing w:val="-3"/>
                            <w:sz w:val="18"/>
                            <w:szCs w:val="18"/>
                          </w:rPr>
                          <w:t>据</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应用产品生态的创建，以原子服务为基础，无缝实现原有系统资</w:t>
                        </w:r>
                      </w:p>
                    </w:tc>
                    <w:tc>
                      <w:tcPr>
                        <w:tcW w:w="1276" w:type="dxa"/>
                        <w:vMerge/>
                        <w:tcBorders>
                          <w:left w:val="single" w:sz="6" w:space="0" w:color="000000"/>
                          <w:bottom w:val="single" w:sz="6" w:space="0" w:color="000000"/>
                          <w:right w:val="single" w:sz="6" w:space="0" w:color="000000"/>
                        </w:tcBorders>
                      </w:tcPr>
                      <w:p>
                        <w:pPr/>
                      </w:p>
                    </w:tc>
                  </w:tr>
                </w:tbl>
                <w:p>
                  <w:pPr/>
                </w:p>
              </w:txbxContent>
            </v:textbox>
            <w10:wrap type="none"/>
          </v:shape>
        </w:pict>
      </w:r>
      <w:r>
        <w:rPr>
          <w:spacing w:val="-2"/>
        </w:rPr>
        <w:t>持在一定规模，持续的研发投入为公司巩固和进一步提高技术竞争优势提供了有力的物质保障。报告期内，公司重点加强物</w:t>
      </w:r>
      <w:r>
        <w:rPr>
          <w:spacing w:val="-66"/>
        </w:rPr>
        <w:t> </w:t>
      </w:r>
      <w:r>
        <w:rPr>
          <w:spacing w:val="-66"/>
        </w:rPr>
      </w:r>
      <w:r>
        <w:rPr/>
        <w:t>联网和人工智能技术等方面的研发工作，主要资本化研发项目如下：</w:t>
      </w:r>
    </w:p>
    <w:p>
      <w:pPr>
        <w:spacing w:after="0" w:line="477" w:lineRule="auto"/>
        <w:jc w:val="left"/>
        <w:sectPr>
          <w:pgSz w:w="11910" w:h="16840"/>
          <w:pgMar w:header="851" w:footer="1187" w:top="1400" w:bottom="1380" w:left="1000" w:right="0"/>
        </w:sectPr>
      </w:pPr>
    </w:p>
    <w:tbl>
      <w:tblPr>
        <w:tblW w:w="0" w:type="auto"/>
        <w:jc w:val="left"/>
        <w:tblInd w:w="106" w:type="dxa"/>
        <w:tblLayout w:type="fixed"/>
        <w:tblCellMar>
          <w:top w:w="0" w:type="dxa"/>
          <w:left w:w="0" w:type="dxa"/>
          <w:bottom w:w="0" w:type="dxa"/>
          <w:right w:w="0" w:type="dxa"/>
        </w:tblCellMar>
        <w:tblLook w:val="01E0"/>
      </w:tblPr>
      <w:tblGrid>
        <w:gridCol w:w="1276"/>
        <w:gridCol w:w="1843"/>
        <w:gridCol w:w="5246"/>
        <w:gridCol w:w="1276"/>
      </w:tblGrid>
      <w:tr>
        <w:trPr>
          <w:trHeight w:val="985" w:hRule="exact"/>
        </w:trPr>
        <w:tc>
          <w:tcPr>
            <w:tcW w:w="1276" w:type="dxa"/>
            <w:tcBorders>
              <w:top w:val="single" w:sz="12" w:space="0" w:color="000000"/>
              <w:left w:val="single" w:sz="6" w:space="0" w:color="000000"/>
              <w:bottom w:val="single" w:sz="6" w:space="0" w:color="000000"/>
              <w:right w:val="single" w:sz="6" w:space="0" w:color="000000"/>
            </w:tcBorders>
            <w:shd w:val="clear" w:color="auto" w:fill="D9D9D9"/>
          </w:tcPr>
          <w:p>
            <w:pPr/>
          </w:p>
        </w:tc>
        <w:tc>
          <w:tcPr>
            <w:tcW w:w="184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1"/>
              <w:ind w:left="3" w:right="0"/>
              <w:jc w:val="left"/>
              <w:rPr>
                <w:rFonts w:ascii="宋体" w:hAnsi="宋体" w:cs="宋体" w:eastAsia="宋体" w:hint="default"/>
                <w:sz w:val="18"/>
                <w:szCs w:val="18"/>
              </w:rPr>
            </w:pPr>
            <w:r>
              <w:rPr>
                <w:rFonts w:ascii="宋体" w:hAnsi="宋体" w:cs="宋体" w:eastAsia="宋体" w:hint="default"/>
                <w:sz w:val="18"/>
                <w:szCs w:val="18"/>
              </w:rPr>
              <w:t>服务融合共享平台。</w:t>
            </w:r>
          </w:p>
        </w:tc>
        <w:tc>
          <w:tcPr>
            <w:tcW w:w="5246"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21"/>
              <w:ind w:left="2" w:right="7"/>
              <w:jc w:val="both"/>
              <w:rPr>
                <w:rFonts w:ascii="宋体" w:hAnsi="宋体" w:cs="宋体" w:eastAsia="宋体" w:hint="default"/>
                <w:sz w:val="18"/>
                <w:szCs w:val="18"/>
              </w:rPr>
            </w:pPr>
            <w:r>
              <w:rPr>
                <w:rFonts w:ascii="宋体" w:hAnsi="宋体" w:cs="宋体" w:eastAsia="宋体" w:hint="default"/>
                <w:sz w:val="18"/>
                <w:szCs w:val="18"/>
              </w:rPr>
              <w:t>源的高效拆分、服务的注册，统一管理与调度、新系统与新应用的 灵活组合搭建，提供数据、信息的共享，方便、安全、高效地快速 实现业务创新。</w:t>
            </w:r>
          </w:p>
        </w:tc>
        <w:tc>
          <w:tcPr>
            <w:tcW w:w="1276" w:type="dxa"/>
            <w:vMerge w:val="restart"/>
            <w:tcBorders>
              <w:top w:val="single" w:sz="12" w:space="0" w:color="000000"/>
              <w:left w:val="single" w:sz="6" w:space="0" w:color="000000"/>
              <w:right w:val="single" w:sz="6" w:space="0" w:color="000000"/>
            </w:tcBorders>
          </w:tcPr>
          <w:p>
            <w:pPr/>
          </w:p>
        </w:tc>
      </w:tr>
      <w:tr>
        <w:trPr>
          <w:trHeight w:val="2532" w:hRule="exact"/>
        </w:trPr>
        <w:tc>
          <w:tcPr>
            <w:tcW w:w="127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316" w:lineRule="auto"/>
              <w:ind w:left="2" w:right="177"/>
              <w:jc w:val="left"/>
              <w:rPr>
                <w:rFonts w:ascii="宋体" w:hAnsi="宋体" w:cs="宋体" w:eastAsia="宋体" w:hint="default"/>
                <w:sz w:val="18"/>
                <w:szCs w:val="18"/>
              </w:rPr>
            </w:pPr>
            <w:r>
              <w:rPr>
                <w:rFonts w:ascii="宋体" w:hAnsi="宋体" w:cs="宋体" w:eastAsia="宋体" w:hint="default"/>
                <w:sz w:val="18"/>
                <w:szCs w:val="18"/>
              </w:rPr>
              <w:t>智能警务合成 作战平台</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4"/>
                <w:szCs w:val="24"/>
              </w:rPr>
            </w:pPr>
          </w:p>
          <w:p>
            <w:pPr>
              <w:pStyle w:val="TableParagraph"/>
              <w:spacing w:line="316" w:lineRule="auto"/>
              <w:ind w:left="3" w:right="23"/>
              <w:jc w:val="both"/>
              <w:rPr>
                <w:rFonts w:ascii="宋体" w:hAnsi="宋体" w:cs="宋体" w:eastAsia="宋体" w:hint="default"/>
                <w:sz w:val="18"/>
                <w:szCs w:val="18"/>
              </w:rPr>
            </w:pPr>
            <w:r>
              <w:rPr>
                <w:rFonts w:ascii="宋体" w:hAnsi="宋体" w:cs="宋体" w:eastAsia="宋体" w:hint="default"/>
                <w:sz w:val="18"/>
                <w:szCs w:val="18"/>
              </w:rPr>
              <w:t>构建一款开放的、可扩 展的、灵活稳定的智能 警务合成作战平台。</w:t>
            </w:r>
          </w:p>
        </w:tc>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314" w:lineRule="auto" w:before="14"/>
              <w:ind w:left="2" w:right="6"/>
              <w:jc w:val="both"/>
              <w:rPr>
                <w:rFonts w:ascii="宋体" w:hAnsi="宋体" w:cs="宋体" w:eastAsia="宋体" w:hint="default"/>
                <w:sz w:val="18"/>
                <w:szCs w:val="18"/>
              </w:rPr>
            </w:pPr>
            <w:r>
              <w:rPr>
                <w:rFonts w:ascii="宋体" w:hAnsi="宋体" w:cs="宋体" w:eastAsia="宋体" w:hint="default"/>
                <w:sz w:val="18"/>
                <w:szCs w:val="18"/>
              </w:rPr>
              <w:t>本平台利用各个警种合成作战工作流的智能化管理功能，依托类案 研判、案源层报、侦查指令、合成侦办流程为业务主线，实现以情 报分析、刑侦打击为主的扁平化指挥，跨警种、多部门快速协同侦 办的效果。推动多次研判流转指令和审批、查询、反馈，高效通讯 提醒等</w:t>
            </w:r>
            <w:r>
              <w:rPr>
                <w:rFonts w:ascii="Times New Roman" w:hAnsi="Times New Roman" w:cs="Times New Roman" w:eastAsia="Times New Roman" w:hint="default"/>
                <w:sz w:val="18"/>
                <w:szCs w:val="18"/>
              </w:rPr>
              <w:t>“</w:t>
            </w:r>
            <w:r>
              <w:rPr>
                <w:rFonts w:ascii="宋体" w:hAnsi="宋体" w:cs="宋体" w:eastAsia="宋体" w:hint="default"/>
                <w:sz w:val="18"/>
                <w:szCs w:val="18"/>
              </w:rPr>
              <w:t>一体化</w:t>
            </w:r>
            <w:r>
              <w:rPr>
                <w:rFonts w:ascii="Times New Roman" w:hAnsi="Times New Roman" w:cs="Times New Roman" w:eastAsia="Times New Roman" w:hint="default"/>
                <w:sz w:val="18"/>
                <w:szCs w:val="18"/>
              </w:rPr>
              <w:t>”</w:t>
            </w:r>
            <w:r>
              <w:rPr>
                <w:rFonts w:ascii="宋体" w:hAnsi="宋体" w:cs="宋体" w:eastAsia="宋体" w:hint="default"/>
                <w:sz w:val="18"/>
                <w:szCs w:val="18"/>
              </w:rPr>
              <w:t>应用实战平台。可完成市、县多级之间的案件信息 层报、侦办指令流转、任务结果快速反馈、上下联合指挥打击等工 作，提升市县多级刑侦部门联动联查的工作效能，发挥指挥督导作 用，提高对系列性犯罪的打击效率。</w:t>
            </w:r>
          </w:p>
        </w:tc>
        <w:tc>
          <w:tcPr>
            <w:tcW w:w="1276" w:type="dxa"/>
            <w:vMerge/>
            <w:tcBorders>
              <w:left w:val="single" w:sz="6" w:space="0" w:color="000000"/>
              <w:bottom w:val="single" w:sz="6" w:space="0" w:color="000000"/>
              <w:right w:val="single" w:sz="6" w:space="0" w:color="000000"/>
            </w:tcBorders>
          </w:tcPr>
          <w:p>
            <w:pPr/>
          </w:p>
        </w:tc>
      </w:tr>
      <w:tr>
        <w:trPr>
          <w:trHeight w:val="971" w:hRule="exact"/>
        </w:trPr>
        <w:tc>
          <w:tcPr>
            <w:tcW w:w="127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2"/>
              <w:ind w:right="0"/>
              <w:jc w:val="left"/>
              <w:rPr>
                <w:rFonts w:ascii="宋体" w:hAnsi="宋体" w:cs="宋体" w:eastAsia="宋体" w:hint="default"/>
                <w:sz w:val="12"/>
                <w:szCs w:val="12"/>
              </w:rPr>
            </w:pPr>
          </w:p>
          <w:p>
            <w:pPr>
              <w:pStyle w:val="TableParagraph"/>
              <w:spacing w:line="300" w:lineRule="auto"/>
              <w:ind w:left="2" w:right="67"/>
              <w:jc w:val="left"/>
              <w:rPr>
                <w:rFonts w:ascii="宋体" w:hAnsi="宋体" w:cs="宋体" w:eastAsia="宋体" w:hint="default"/>
                <w:sz w:val="18"/>
                <w:szCs w:val="18"/>
              </w:rPr>
            </w:pPr>
            <w:r>
              <w:rPr>
                <w:rFonts w:ascii="Times New Roman" w:hAnsi="Times New Roman" w:cs="Times New Roman" w:eastAsia="Times New Roman" w:hint="default"/>
                <w:sz w:val="18"/>
                <w:szCs w:val="18"/>
              </w:rPr>
              <w:t>Nu-WiFi</w:t>
            </w:r>
            <w:r>
              <w:rPr>
                <w:rFonts w:ascii="宋体" w:hAnsi="宋体" w:cs="宋体" w:eastAsia="宋体" w:hint="default"/>
                <w:sz w:val="18"/>
                <w:szCs w:val="18"/>
              </w:rPr>
              <w:t>无线通 信系统</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3"/>
              <w:ind w:left="3" w:right="23"/>
              <w:jc w:val="both"/>
              <w:rPr>
                <w:rFonts w:ascii="宋体" w:hAnsi="宋体" w:cs="宋体" w:eastAsia="宋体" w:hint="default"/>
                <w:sz w:val="18"/>
                <w:szCs w:val="18"/>
              </w:rPr>
            </w:pPr>
            <w:r>
              <w:rPr>
                <w:rFonts w:ascii="宋体" w:hAnsi="宋体" w:cs="宋体" w:eastAsia="宋体" w:hint="default"/>
                <w:sz w:val="18"/>
                <w:szCs w:val="18"/>
              </w:rPr>
              <w:t>面向核电站应用场景， 提供顺应智能核电发展 路线的无线通信系统。</w:t>
            </w:r>
          </w:p>
        </w:tc>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309" w:lineRule="auto" w:before="13"/>
              <w:ind w:left="2" w:right="1"/>
              <w:jc w:val="both"/>
              <w:rPr>
                <w:rFonts w:ascii="宋体" w:hAnsi="宋体" w:cs="宋体" w:eastAsia="宋体" w:hint="default"/>
                <w:sz w:val="18"/>
                <w:szCs w:val="18"/>
              </w:rPr>
            </w:pPr>
            <w:r>
              <w:rPr>
                <w:rFonts w:ascii="宋体" w:hAnsi="宋体" w:cs="宋体" w:eastAsia="宋体" w:hint="default"/>
                <w:sz w:val="18"/>
                <w:szCs w:val="18"/>
              </w:rPr>
              <w:t>本项目将会建设一套专门适配核电行业需求的集语音通信、精确定 </w:t>
            </w:r>
            <w:r>
              <w:rPr>
                <w:rFonts w:ascii="宋体" w:hAnsi="宋体" w:cs="宋体" w:eastAsia="宋体" w:hint="default"/>
                <w:spacing w:val="-4"/>
                <w:sz w:val="18"/>
                <w:szCs w:val="18"/>
              </w:rPr>
              <w:t>位、宽带数据接入、物联网数据接入于一体的、的综合性的</w:t>
            </w:r>
            <w:r>
              <w:rPr>
                <w:rFonts w:ascii="Times New Roman" w:hAnsi="Times New Roman" w:cs="Times New Roman" w:eastAsia="Times New Roman" w:hint="default"/>
                <w:spacing w:val="-4"/>
                <w:sz w:val="18"/>
                <w:szCs w:val="18"/>
              </w:rPr>
              <w:t>Nu-WiFi</w:t>
            </w:r>
            <w:r>
              <w:rPr>
                <w:rFonts w:ascii="Times New Roman" w:hAnsi="Times New Roman" w:cs="Times New Roman" w:eastAsia="Times New Roman" w:hint="default"/>
                <w:spacing w:val="-21"/>
                <w:sz w:val="18"/>
                <w:szCs w:val="18"/>
              </w:rPr>
              <w:t> </w:t>
            </w:r>
            <w:r>
              <w:rPr>
                <w:rFonts w:ascii="Times New Roman" w:hAnsi="Times New Roman" w:cs="Times New Roman" w:eastAsia="Times New Roman" w:hint="default"/>
                <w:spacing w:val="-21"/>
                <w:sz w:val="18"/>
                <w:szCs w:val="18"/>
              </w:rPr>
            </w:r>
            <w:r>
              <w:rPr>
                <w:rFonts w:ascii="宋体" w:hAnsi="宋体" w:cs="宋体" w:eastAsia="宋体" w:hint="default"/>
                <w:sz w:val="18"/>
                <w:szCs w:val="18"/>
              </w:rPr>
              <w:t>无线通信系统。</w:t>
            </w:r>
          </w:p>
        </w:tc>
        <w:tc>
          <w:tcPr>
            <w:tcW w:w="1276" w:type="dxa"/>
            <w:tcBorders>
              <w:top w:val="single" w:sz="6" w:space="0" w:color="000000"/>
              <w:left w:val="single" w:sz="6" w:space="0" w:color="000000"/>
              <w:bottom w:val="nil" w:sz="6" w:space="0" w:color="auto"/>
              <w:right w:val="single" w:sz="6" w:space="0" w:color="000000"/>
            </w:tcBorders>
          </w:tcPr>
          <w:p>
            <w:pPr/>
          </w:p>
        </w:tc>
      </w:tr>
      <w:tr>
        <w:trPr>
          <w:trHeight w:val="1595" w:hRule="exact"/>
        </w:trPr>
        <w:tc>
          <w:tcPr>
            <w:tcW w:w="127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1"/>
              <w:ind w:right="0"/>
              <w:jc w:val="left"/>
              <w:rPr>
                <w:rFonts w:ascii="宋体" w:hAnsi="宋体" w:cs="宋体" w:eastAsia="宋体" w:hint="default"/>
                <w:sz w:val="24"/>
                <w:szCs w:val="24"/>
              </w:rPr>
            </w:pPr>
          </w:p>
          <w:p>
            <w:pPr>
              <w:pStyle w:val="TableParagraph"/>
              <w:spacing w:line="316" w:lineRule="auto"/>
              <w:ind w:left="2" w:right="177"/>
              <w:jc w:val="both"/>
              <w:rPr>
                <w:rFonts w:ascii="宋体" w:hAnsi="宋体" w:cs="宋体" w:eastAsia="宋体" w:hint="default"/>
                <w:sz w:val="18"/>
                <w:szCs w:val="18"/>
              </w:rPr>
            </w:pPr>
            <w:r>
              <w:rPr>
                <w:rFonts w:ascii="宋体" w:hAnsi="宋体" w:cs="宋体" w:eastAsia="宋体" w:hint="default"/>
                <w:sz w:val="18"/>
                <w:szCs w:val="18"/>
              </w:rPr>
              <w:t>城市管廊安防 通信一体化系 统</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316" w:lineRule="auto"/>
              <w:ind w:left="3" w:right="23"/>
              <w:jc w:val="both"/>
              <w:rPr>
                <w:rFonts w:ascii="宋体" w:hAnsi="宋体" w:cs="宋体" w:eastAsia="宋体" w:hint="default"/>
                <w:sz w:val="18"/>
                <w:szCs w:val="18"/>
              </w:rPr>
            </w:pPr>
            <w:r>
              <w:rPr>
                <w:rFonts w:ascii="宋体" w:hAnsi="宋体" w:cs="宋体" w:eastAsia="宋体" w:hint="default"/>
                <w:sz w:val="18"/>
                <w:szCs w:val="18"/>
              </w:rPr>
              <w:t>为城市综合管廊行业用 户提供集安防、通信、 物联、管理为一体的综 合服务平台。</w:t>
            </w:r>
          </w:p>
        </w:tc>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314" w:lineRule="auto" w:before="13"/>
              <w:ind w:left="2" w:right="7"/>
              <w:jc w:val="both"/>
              <w:rPr>
                <w:rFonts w:ascii="宋体" w:hAnsi="宋体" w:cs="宋体" w:eastAsia="宋体" w:hint="default"/>
                <w:sz w:val="18"/>
                <w:szCs w:val="18"/>
              </w:rPr>
            </w:pPr>
            <w:r>
              <w:rPr>
                <w:rFonts w:ascii="宋体" w:hAnsi="宋体" w:cs="宋体" w:eastAsia="宋体" w:hint="default"/>
                <w:sz w:val="18"/>
                <w:szCs w:val="18"/>
              </w:rPr>
              <w:t>本项目将会实现城市管廊安防通信一体化系统，包括安防、通信、 物联、管理四大业务功能。系统提供基础展示平台，能够展现各基 础功能，并可完成系统调试和运维工作。系统提供</w:t>
            </w:r>
            <w:r>
              <w:rPr>
                <w:rFonts w:ascii="Times New Roman" w:hAnsi="Times New Roman" w:cs="Times New Roman" w:eastAsia="Times New Roman" w:hint="default"/>
                <w:sz w:val="18"/>
                <w:szCs w:val="18"/>
              </w:rPr>
              <w:t>OpenAPI</w:t>
            </w:r>
            <w:r>
              <w:rPr>
                <w:rFonts w:ascii="宋体" w:hAnsi="宋体" w:cs="宋体" w:eastAsia="宋体" w:hint="default"/>
                <w:sz w:val="18"/>
                <w:szCs w:val="18"/>
              </w:rPr>
              <w:t>接口，</w:t>
            </w:r>
            <w:r>
              <w:rPr>
                <w:rFonts w:ascii="宋体" w:hAnsi="宋体" w:cs="宋体" w:eastAsia="宋体" w:hint="default"/>
                <w:w w:val="99"/>
                <w:sz w:val="18"/>
                <w:szCs w:val="18"/>
              </w:rPr>
              <w:t> </w:t>
            </w:r>
            <w:r>
              <w:rPr>
                <w:rFonts w:ascii="宋体" w:hAnsi="宋体" w:cs="宋体" w:eastAsia="宋体" w:hint="default"/>
                <w:sz w:val="18"/>
                <w:szCs w:val="18"/>
              </w:rPr>
              <w:t>可集成到用户统一平台，为用户平台提供设备信息，入侵报警，人</w:t>
            </w:r>
            <w:r>
              <w:rPr>
                <w:rFonts w:ascii="宋体" w:hAnsi="宋体" w:cs="宋体" w:eastAsia="宋体" w:hint="default"/>
                <w:w w:val="99"/>
                <w:sz w:val="18"/>
                <w:szCs w:val="18"/>
              </w:rPr>
              <w:t> </w:t>
            </w:r>
            <w:r>
              <w:rPr>
                <w:rFonts w:ascii="宋体" w:hAnsi="宋体" w:cs="宋体" w:eastAsia="宋体" w:hint="default"/>
                <w:sz w:val="18"/>
                <w:szCs w:val="18"/>
              </w:rPr>
              <w:t>员定位等基础数据，用户根据使用场景开发独特应用。</w:t>
            </w:r>
          </w:p>
        </w:tc>
        <w:tc>
          <w:tcPr>
            <w:tcW w:w="1276" w:type="dxa"/>
            <w:vMerge w:val="restart"/>
            <w:tcBorders>
              <w:top w:val="nil" w:sz="6" w:space="0" w:color="auto"/>
              <w:left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316" w:lineRule="auto"/>
              <w:ind w:left="2" w:right="1"/>
              <w:jc w:val="left"/>
              <w:rPr>
                <w:rFonts w:ascii="宋体" w:hAnsi="宋体" w:cs="宋体" w:eastAsia="宋体" w:hint="default"/>
                <w:sz w:val="18"/>
                <w:szCs w:val="18"/>
              </w:rPr>
            </w:pPr>
            <w:r>
              <w:rPr>
                <w:rFonts w:ascii="宋体" w:hAnsi="宋体" w:cs="宋体" w:eastAsia="宋体" w:hint="default"/>
                <w:sz w:val="18"/>
                <w:szCs w:val="18"/>
              </w:rPr>
              <w:t>拓展公司在物 联网技术应用 方向的产品，完 善产品功能，为 该业务打下坚 实基础。</w:t>
            </w:r>
          </w:p>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w:t>
            </w:r>
          </w:p>
        </w:tc>
      </w:tr>
      <w:tr>
        <w:trPr>
          <w:trHeight w:val="1595" w:hRule="exact"/>
        </w:trPr>
        <w:tc>
          <w:tcPr>
            <w:tcW w:w="127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319" w:lineRule="auto"/>
              <w:ind w:left="2" w:right="177"/>
              <w:jc w:val="left"/>
              <w:rPr>
                <w:rFonts w:ascii="宋体" w:hAnsi="宋体" w:cs="宋体" w:eastAsia="宋体" w:hint="default"/>
                <w:sz w:val="18"/>
                <w:szCs w:val="18"/>
              </w:rPr>
            </w:pPr>
            <w:r>
              <w:rPr>
                <w:rFonts w:ascii="宋体" w:hAnsi="宋体" w:cs="宋体" w:eastAsia="宋体" w:hint="default"/>
                <w:sz w:val="18"/>
                <w:szCs w:val="18"/>
              </w:rPr>
              <w:t>智慧墙入侵检 测系统</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319" w:lineRule="auto"/>
              <w:ind w:left="3" w:right="23"/>
              <w:jc w:val="both"/>
              <w:rPr>
                <w:rFonts w:ascii="宋体" w:hAnsi="宋体" w:cs="宋体" w:eastAsia="宋体" w:hint="default"/>
                <w:sz w:val="18"/>
                <w:szCs w:val="18"/>
              </w:rPr>
            </w:pPr>
            <w:r>
              <w:rPr>
                <w:rFonts w:ascii="宋体" w:hAnsi="宋体" w:cs="宋体" w:eastAsia="宋体" w:hint="default"/>
                <w:sz w:val="18"/>
                <w:szCs w:val="18"/>
              </w:rPr>
              <w:t>打造简化周界系统调试 并提高其对干扰的抑制 能力的系统。</w:t>
            </w:r>
          </w:p>
        </w:tc>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14"/>
              <w:ind w:left="2" w:right="7"/>
              <w:jc w:val="left"/>
              <w:rPr>
                <w:rFonts w:ascii="宋体" w:hAnsi="宋体" w:cs="宋体" w:eastAsia="宋体" w:hint="default"/>
                <w:sz w:val="18"/>
                <w:szCs w:val="18"/>
              </w:rPr>
            </w:pPr>
            <w:r>
              <w:rPr>
                <w:rFonts w:ascii="宋体" w:hAnsi="宋体" w:cs="宋体" w:eastAsia="宋体" w:hint="default"/>
                <w:sz w:val="18"/>
                <w:szCs w:val="18"/>
              </w:rPr>
              <w:t>本系统利用人工智能技术，通过样本的采集和训练，使系统可以更 好的适应各种复杂环境，并可以针对特定的场景进行定制化分析和 </w:t>
            </w:r>
            <w:r>
              <w:rPr>
                <w:rFonts w:ascii="宋体" w:hAnsi="宋体" w:cs="宋体" w:eastAsia="宋体" w:hint="default"/>
                <w:spacing w:val="-3"/>
                <w:sz w:val="18"/>
                <w:szCs w:val="18"/>
              </w:rPr>
              <w:t>警戒。也能更好的排除自然天气、信号干扰等因素对于系统的影响</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使系统可以简单、有效、稳定的运行，从而大大减少运维期间的成 本。</w:t>
            </w:r>
          </w:p>
        </w:tc>
        <w:tc>
          <w:tcPr>
            <w:tcW w:w="1276" w:type="dxa"/>
            <w:vMerge/>
            <w:tcBorders>
              <w:left w:val="single" w:sz="6" w:space="0" w:color="000000"/>
              <w:bottom w:val="nil" w:sz="6" w:space="0" w:color="auto"/>
              <w:right w:val="single" w:sz="6" w:space="0" w:color="000000"/>
            </w:tcBorders>
          </w:tcPr>
          <w:p>
            <w:pPr/>
          </w:p>
        </w:tc>
      </w:tr>
      <w:tr>
        <w:trPr>
          <w:trHeight w:val="1283" w:hRule="exact"/>
        </w:trPr>
        <w:tc>
          <w:tcPr>
            <w:tcW w:w="127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ind w:right="0"/>
              <w:jc w:val="left"/>
              <w:rPr>
                <w:rFonts w:ascii="宋体" w:hAnsi="宋体" w:cs="宋体" w:eastAsia="宋体" w:hint="default"/>
                <w:sz w:val="13"/>
                <w:szCs w:val="13"/>
              </w:rPr>
            </w:pPr>
          </w:p>
          <w:p>
            <w:pPr>
              <w:pStyle w:val="TableParagraph"/>
              <w:spacing w:line="316" w:lineRule="auto"/>
              <w:ind w:left="2" w:right="177"/>
              <w:jc w:val="both"/>
              <w:rPr>
                <w:rFonts w:ascii="宋体" w:hAnsi="宋体" w:cs="宋体" w:eastAsia="宋体" w:hint="default"/>
                <w:sz w:val="18"/>
                <w:szCs w:val="18"/>
              </w:rPr>
            </w:pPr>
            <w:r>
              <w:rPr>
                <w:rFonts w:ascii="宋体" w:hAnsi="宋体" w:cs="宋体" w:eastAsia="宋体" w:hint="default"/>
                <w:sz w:val="18"/>
                <w:szCs w:val="18"/>
              </w:rPr>
              <w:t>神州泰岳自动 化持续交付平 台</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3"/>
                <w:szCs w:val="13"/>
              </w:rPr>
            </w:pPr>
          </w:p>
          <w:p>
            <w:pPr>
              <w:pStyle w:val="TableParagraph"/>
              <w:spacing w:line="316" w:lineRule="auto"/>
              <w:ind w:left="3" w:right="23"/>
              <w:jc w:val="both"/>
              <w:rPr>
                <w:rFonts w:ascii="宋体" w:hAnsi="宋体" w:cs="宋体" w:eastAsia="宋体" w:hint="default"/>
                <w:sz w:val="18"/>
                <w:szCs w:val="18"/>
              </w:rPr>
            </w:pPr>
            <w:r>
              <w:rPr>
                <w:rFonts w:ascii="宋体" w:hAnsi="宋体" w:cs="宋体" w:eastAsia="宋体" w:hint="default"/>
                <w:sz w:val="18"/>
                <w:szCs w:val="18"/>
              </w:rPr>
              <w:t>搭建可靠、稳定、为客 户提供及时高效的服务 体验的</w:t>
            </w:r>
            <w:r>
              <w:rPr>
                <w:rFonts w:ascii="Times New Roman" w:hAnsi="Times New Roman" w:cs="Times New Roman" w:eastAsia="Times New Roman" w:hint="default"/>
                <w:sz w:val="18"/>
                <w:szCs w:val="18"/>
              </w:rPr>
              <w:t>DevOps</w:t>
            </w:r>
            <w:r>
              <w:rPr>
                <w:rFonts w:ascii="宋体" w:hAnsi="宋体" w:cs="宋体" w:eastAsia="宋体" w:hint="default"/>
                <w:sz w:val="18"/>
                <w:szCs w:val="18"/>
              </w:rPr>
              <w:t>平台。</w:t>
            </w:r>
          </w:p>
        </w:tc>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307" w:lineRule="auto" w:before="14"/>
              <w:ind w:left="2" w:right="3"/>
              <w:jc w:val="left"/>
              <w:rPr>
                <w:rFonts w:ascii="宋体" w:hAnsi="宋体" w:cs="宋体" w:eastAsia="宋体" w:hint="default"/>
                <w:sz w:val="18"/>
                <w:szCs w:val="18"/>
              </w:rPr>
            </w:pPr>
            <w:r>
              <w:rPr>
                <w:rFonts w:ascii="宋体" w:hAnsi="宋体" w:cs="宋体" w:eastAsia="宋体" w:hint="default"/>
                <w:sz w:val="18"/>
                <w:szCs w:val="18"/>
              </w:rPr>
              <w:t>本项目将会引入</w:t>
            </w:r>
            <w:r>
              <w:rPr>
                <w:rFonts w:ascii="Times New Roman" w:hAnsi="Times New Roman" w:cs="Times New Roman" w:eastAsia="Times New Roman" w:hint="default"/>
                <w:sz w:val="18"/>
                <w:szCs w:val="18"/>
              </w:rPr>
              <w:t>devops</w:t>
            </w:r>
            <w:r>
              <w:rPr>
                <w:rFonts w:ascii="宋体" w:hAnsi="宋体" w:cs="宋体" w:eastAsia="宋体" w:hint="default"/>
                <w:sz w:val="18"/>
                <w:szCs w:val="18"/>
              </w:rPr>
              <w:t>理念，完善全生命周期（开发、编译、构建 </w:t>
            </w:r>
            <w:r>
              <w:rPr>
                <w:rFonts w:ascii="宋体" w:hAnsi="宋体" w:cs="宋体" w:eastAsia="宋体" w:hint="default"/>
                <w:spacing w:val="-2"/>
                <w:sz w:val="18"/>
                <w:szCs w:val="18"/>
              </w:rPr>
              <w:t>测试、打包、发布、配置、监控等）的</w:t>
            </w:r>
            <w:r>
              <w:rPr>
                <w:rFonts w:ascii="Times New Roman" w:hAnsi="Times New Roman" w:cs="Times New Roman" w:eastAsia="Times New Roman" w:hint="default"/>
                <w:spacing w:val="-2"/>
                <w:sz w:val="18"/>
                <w:szCs w:val="18"/>
              </w:rPr>
              <w:t>DevOps</w:t>
            </w:r>
            <w:r>
              <w:rPr>
                <w:rFonts w:ascii="宋体" w:hAnsi="宋体" w:cs="宋体" w:eastAsia="宋体" w:hint="default"/>
                <w:spacing w:val="-2"/>
                <w:sz w:val="18"/>
                <w:szCs w:val="18"/>
              </w:rPr>
              <w:t>的工具链，实现高效</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5"/>
                <w:sz w:val="18"/>
                <w:szCs w:val="18"/>
              </w:rPr>
              <w:t>的编译部署、持续的集成交付、自动的测试审查，</w:t>
            </w:r>
            <w:r>
              <w:rPr>
                <w:rFonts w:ascii="宋体" w:hAnsi="宋体" w:cs="宋体" w:eastAsia="宋体" w:hint="default"/>
                <w:spacing w:val="-69"/>
                <w:sz w:val="18"/>
                <w:szCs w:val="18"/>
              </w:rPr>
              <w:t> </w:t>
            </w:r>
            <w:r>
              <w:rPr>
                <w:rFonts w:ascii="宋体" w:hAnsi="宋体" w:cs="宋体" w:eastAsia="宋体" w:hint="default"/>
                <w:sz w:val="18"/>
                <w:szCs w:val="18"/>
              </w:rPr>
              <w:t>打造从代码开发</w:t>
            </w:r>
            <w:r>
              <w:rPr>
                <w:rFonts w:ascii="宋体" w:hAnsi="宋体" w:cs="宋体" w:eastAsia="宋体" w:hint="default"/>
                <w:sz w:val="18"/>
                <w:szCs w:val="18"/>
              </w:rPr>
              <w:t> 编译构建、系统测试、上线发布的全流程持续交付平台。</w:t>
            </w:r>
          </w:p>
        </w:tc>
        <w:tc>
          <w:tcPr>
            <w:tcW w:w="127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21"/>
              <w:ind w:left="-109"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3"/>
              <w:ind w:left="-110" w:right="0"/>
              <w:jc w:val="left"/>
              <w:rPr>
                <w:rFonts w:ascii="宋体" w:hAnsi="宋体" w:cs="宋体" w:eastAsia="宋体" w:hint="default"/>
                <w:sz w:val="18"/>
                <w:szCs w:val="18"/>
              </w:rPr>
            </w:pPr>
            <w:r>
              <w:rPr>
                <w:rFonts w:ascii="宋体" w:hAnsi="宋体" w:cs="宋体" w:eastAsia="宋体" w:hint="default"/>
                <w:sz w:val="18"/>
                <w:szCs w:val="18"/>
              </w:rPr>
              <w:t>、</w:t>
            </w:r>
          </w:p>
        </w:tc>
      </w:tr>
      <w:tr>
        <w:trPr>
          <w:trHeight w:val="1907" w:hRule="exact"/>
        </w:trPr>
        <w:tc>
          <w:tcPr>
            <w:tcW w:w="127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 w:right="177"/>
              <w:jc w:val="left"/>
              <w:rPr>
                <w:rFonts w:ascii="宋体" w:hAnsi="宋体" w:cs="宋体" w:eastAsia="宋体" w:hint="default"/>
                <w:sz w:val="18"/>
                <w:szCs w:val="18"/>
              </w:rPr>
            </w:pPr>
            <w:r>
              <w:rPr>
                <w:rFonts w:ascii="宋体" w:hAnsi="宋体" w:cs="宋体" w:eastAsia="宋体" w:hint="default"/>
                <w:sz w:val="18"/>
                <w:szCs w:val="18"/>
              </w:rPr>
              <w:t>应用性能管理 系统</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316" w:lineRule="auto"/>
              <w:ind w:left="3" w:right="23"/>
              <w:jc w:val="left"/>
              <w:rPr>
                <w:rFonts w:ascii="宋体" w:hAnsi="宋体" w:cs="宋体" w:eastAsia="宋体" w:hint="default"/>
                <w:sz w:val="18"/>
                <w:szCs w:val="18"/>
              </w:rPr>
            </w:pPr>
            <w:r>
              <w:rPr>
                <w:rFonts w:ascii="宋体" w:hAnsi="宋体" w:cs="宋体" w:eastAsia="宋体" w:hint="default"/>
                <w:sz w:val="18"/>
                <w:szCs w:val="18"/>
              </w:rPr>
              <w:t>打造一个面向真实用户 体验、端到端的应用性 能管理大数据商用产 品。</w:t>
            </w:r>
          </w:p>
        </w:tc>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312" w:lineRule="auto" w:before="14"/>
              <w:ind w:left="2" w:right="-17"/>
              <w:jc w:val="both"/>
              <w:rPr>
                <w:rFonts w:ascii="宋体" w:hAnsi="宋体" w:cs="宋体" w:eastAsia="宋体" w:hint="default"/>
                <w:sz w:val="18"/>
                <w:szCs w:val="18"/>
              </w:rPr>
            </w:pPr>
            <w:r>
              <w:rPr>
                <w:rFonts w:ascii="宋体" w:hAnsi="宋体" w:cs="宋体" w:eastAsia="宋体" w:hint="default"/>
                <w:sz w:val="18"/>
                <w:szCs w:val="18"/>
              </w:rPr>
              <w:t>该项目可以提供完善的告警机制，降低</w:t>
            </w:r>
            <w:r>
              <w:rPr>
                <w:rFonts w:ascii="Times New Roman" w:hAnsi="Times New Roman" w:cs="Times New Roman" w:eastAsia="Times New Roman" w:hint="default"/>
                <w:sz w:val="18"/>
                <w:szCs w:val="18"/>
              </w:rPr>
              <w:t>IT</w:t>
            </w:r>
            <w:r>
              <w:rPr>
                <w:rFonts w:ascii="宋体" w:hAnsi="宋体" w:cs="宋体" w:eastAsia="宋体" w:hint="default"/>
                <w:sz w:val="18"/>
                <w:szCs w:val="18"/>
              </w:rPr>
              <w:t>管理人员的管理被动性， 将管理人员从网管监控界面前解放出来；拥有代码级别的应用性能 诊断和故障定位功能，帮助用户实现从代码类到数据库语句整条交 易链的快速性能诊断；可以自动发现应用交易拓扑，方便用户对事 </w:t>
            </w:r>
            <w:r>
              <w:rPr>
                <w:rFonts w:ascii="宋体" w:hAnsi="宋体" w:cs="宋体" w:eastAsia="宋体" w:hint="default"/>
                <w:spacing w:val="-5"/>
                <w:sz w:val="18"/>
                <w:szCs w:val="18"/>
              </w:rPr>
              <w:t>务进行追踪和快速追溯性能瓶颈；进行有据可依的</w:t>
            </w:r>
            <w:r>
              <w:rPr>
                <w:rFonts w:ascii="Times New Roman" w:hAnsi="Times New Roman" w:cs="Times New Roman" w:eastAsia="Times New Roman" w:hint="default"/>
                <w:spacing w:val="-5"/>
                <w:sz w:val="18"/>
                <w:szCs w:val="18"/>
              </w:rPr>
              <w:t>IT</w:t>
            </w:r>
            <w:r>
              <w:rPr>
                <w:rFonts w:ascii="宋体" w:hAnsi="宋体" w:cs="宋体" w:eastAsia="宋体" w:hint="default"/>
                <w:spacing w:val="-5"/>
                <w:sz w:val="18"/>
                <w:szCs w:val="18"/>
              </w:rPr>
              <w:t>运营决策分析，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帮助用户及时了解应用系统的各种异常波动。</w:t>
            </w:r>
          </w:p>
        </w:tc>
        <w:tc>
          <w:tcPr>
            <w:tcW w:w="1276"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312" w:lineRule="auto"/>
              <w:ind w:left="2" w:right="1"/>
              <w:jc w:val="left"/>
              <w:rPr>
                <w:rFonts w:ascii="宋体" w:hAnsi="宋体" w:cs="宋体" w:eastAsia="宋体" w:hint="default"/>
                <w:sz w:val="18"/>
                <w:szCs w:val="18"/>
              </w:rPr>
            </w:pPr>
            <w:r>
              <w:rPr>
                <w:rFonts w:ascii="宋体" w:hAnsi="宋体" w:cs="宋体" w:eastAsia="宋体" w:hint="default"/>
                <w:sz w:val="18"/>
                <w:szCs w:val="18"/>
              </w:rPr>
              <w:t>提升公司在</w:t>
            </w:r>
            <w:r>
              <w:rPr>
                <w:rFonts w:ascii="Times New Roman" w:hAnsi="Times New Roman" w:cs="Times New Roman" w:eastAsia="Times New Roman" w:hint="default"/>
                <w:sz w:val="18"/>
                <w:szCs w:val="18"/>
              </w:rPr>
              <w:t>ICT </w:t>
            </w:r>
            <w:r>
              <w:rPr>
                <w:rFonts w:ascii="宋体" w:hAnsi="宋体" w:cs="宋体" w:eastAsia="宋体" w:hint="default"/>
                <w:sz w:val="18"/>
                <w:szCs w:val="18"/>
              </w:rPr>
              <w:t>领域的技术能 力，助力业务落 地。</w:t>
            </w:r>
          </w:p>
        </w:tc>
      </w:tr>
      <w:tr>
        <w:trPr>
          <w:trHeight w:val="1283" w:hRule="exact"/>
        </w:trPr>
        <w:tc>
          <w:tcPr>
            <w:tcW w:w="127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2"/>
              <w:ind w:right="0"/>
              <w:jc w:val="left"/>
              <w:rPr>
                <w:rFonts w:ascii="宋体" w:hAnsi="宋体" w:cs="宋体" w:eastAsia="宋体" w:hint="default"/>
                <w:sz w:val="24"/>
                <w:szCs w:val="24"/>
              </w:rPr>
            </w:pPr>
          </w:p>
          <w:p>
            <w:pPr>
              <w:pStyle w:val="TableParagraph"/>
              <w:spacing w:line="316" w:lineRule="auto"/>
              <w:ind w:left="2" w:right="177"/>
              <w:jc w:val="left"/>
              <w:rPr>
                <w:rFonts w:ascii="宋体" w:hAnsi="宋体" w:cs="宋体" w:eastAsia="宋体" w:hint="default"/>
                <w:sz w:val="18"/>
                <w:szCs w:val="18"/>
              </w:rPr>
            </w:pPr>
            <w:r>
              <w:rPr>
                <w:rFonts w:ascii="宋体" w:hAnsi="宋体" w:cs="宋体" w:eastAsia="宋体" w:hint="default"/>
                <w:sz w:val="18"/>
                <w:szCs w:val="18"/>
              </w:rPr>
              <w:t>企业融合通信 中间件平台</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4"/>
              <w:ind w:left="3" w:right="23"/>
              <w:jc w:val="both"/>
              <w:rPr>
                <w:rFonts w:ascii="宋体" w:hAnsi="宋体" w:cs="宋体" w:eastAsia="宋体" w:hint="default"/>
                <w:sz w:val="18"/>
                <w:szCs w:val="18"/>
              </w:rPr>
            </w:pPr>
            <w:r>
              <w:rPr>
                <w:rFonts w:ascii="宋体" w:hAnsi="宋体" w:cs="宋体" w:eastAsia="宋体" w:hint="default"/>
                <w:sz w:val="18"/>
                <w:szCs w:val="18"/>
              </w:rPr>
              <w:t>为用户营造出一个可以 提供多种通信服务的方 便、可靠、集成、协作 的办公通信系统。</w:t>
            </w:r>
          </w:p>
        </w:tc>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3"/>
                <w:szCs w:val="13"/>
              </w:rPr>
            </w:pPr>
          </w:p>
          <w:p>
            <w:pPr>
              <w:pStyle w:val="TableParagraph"/>
              <w:spacing w:line="316" w:lineRule="auto"/>
              <w:ind w:left="2" w:right="7"/>
              <w:jc w:val="both"/>
              <w:rPr>
                <w:rFonts w:ascii="宋体" w:hAnsi="宋体" w:cs="宋体" w:eastAsia="宋体" w:hint="default"/>
                <w:sz w:val="18"/>
                <w:szCs w:val="18"/>
              </w:rPr>
            </w:pPr>
            <w:r>
              <w:rPr>
                <w:rFonts w:ascii="宋体" w:hAnsi="宋体" w:cs="宋体" w:eastAsia="宋体" w:hint="default"/>
                <w:sz w:val="18"/>
                <w:szCs w:val="18"/>
              </w:rPr>
              <w:t>本项目计划整合所有业务通信能力的富客户端业务，同时为终端用 户提供强大的、具有新通话、新联系的基于移动互联网的通讯交流 能力。</w:t>
            </w:r>
          </w:p>
        </w:tc>
        <w:tc>
          <w:tcPr>
            <w:tcW w:w="1276" w:type="dxa"/>
            <w:tcBorders>
              <w:top w:val="nil" w:sz="6" w:space="0" w:color="auto"/>
              <w:left w:val="single" w:sz="6" w:space="0" w:color="000000"/>
              <w:bottom w:val="single" w:sz="6" w:space="0" w:color="000000"/>
              <w:right w:val="single" w:sz="6" w:space="0" w:color="000000"/>
            </w:tcBorders>
          </w:tcPr>
          <w:p>
            <w:pPr/>
          </w:p>
        </w:tc>
      </w:tr>
      <w:tr>
        <w:trPr>
          <w:trHeight w:val="1596" w:hRule="exact"/>
        </w:trPr>
        <w:tc>
          <w:tcPr>
            <w:tcW w:w="127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3"/>
              <w:ind w:right="0"/>
              <w:jc w:val="left"/>
              <w:rPr>
                <w:rFonts w:ascii="宋体" w:hAnsi="宋体" w:cs="宋体" w:eastAsia="宋体" w:hint="default"/>
                <w:sz w:val="24"/>
                <w:szCs w:val="24"/>
              </w:rPr>
            </w:pPr>
          </w:p>
          <w:p>
            <w:pPr>
              <w:pStyle w:val="TableParagraph"/>
              <w:spacing w:line="300" w:lineRule="auto"/>
              <w:ind w:left="2" w:right="97"/>
              <w:jc w:val="left"/>
              <w:rPr>
                <w:rFonts w:ascii="Times New Roman" w:hAnsi="Times New Roman" w:cs="Times New Roman" w:eastAsia="Times New Roman" w:hint="default"/>
                <w:sz w:val="18"/>
                <w:szCs w:val="18"/>
              </w:rPr>
            </w:pPr>
            <w:r>
              <w:rPr>
                <w:rFonts w:ascii="宋体" w:hAnsi="宋体" w:cs="宋体" w:eastAsia="宋体" w:hint="default"/>
                <w:sz w:val="18"/>
                <w:szCs w:val="18"/>
              </w:rPr>
              <w:t>泰坦王座</w:t>
            </w:r>
            <w:r>
              <w:rPr>
                <w:rFonts w:ascii="Times New Roman" w:hAnsi="Times New Roman" w:cs="Times New Roman" w:eastAsia="Times New Roman" w:hint="default"/>
                <w:sz w:val="18"/>
                <w:szCs w:val="18"/>
              </w:rPr>
              <w:t>(Titan Throne</w:t>
            </w:r>
            <w:r>
              <w:rPr>
                <w:rFonts w:ascii="宋体" w:hAnsi="宋体" w:cs="宋体" w:eastAsia="宋体" w:hint="default"/>
                <w:sz w:val="18"/>
                <w:szCs w:val="18"/>
              </w:rPr>
              <w:t>手游项 目</w:t>
            </w:r>
            <w:r>
              <w:rPr>
                <w:rFonts w:ascii="Times New Roman" w:hAnsi="Times New Roman" w:cs="Times New Roman" w:eastAsia="Times New Roman" w:hint="default"/>
                <w:sz w:val="18"/>
                <w:szCs w:val="18"/>
              </w:rPr>
              <w:t>)</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14"/>
              <w:ind w:left="3" w:right="23"/>
              <w:jc w:val="both"/>
              <w:rPr>
                <w:rFonts w:ascii="宋体" w:hAnsi="宋体" w:cs="宋体" w:eastAsia="宋体" w:hint="default"/>
                <w:sz w:val="18"/>
                <w:szCs w:val="18"/>
              </w:rPr>
            </w:pPr>
            <w:r>
              <w:rPr>
                <w:rFonts w:ascii="宋体" w:hAnsi="宋体" w:cs="宋体" w:eastAsia="宋体" w:hint="default"/>
                <w:sz w:val="18"/>
                <w:szCs w:val="18"/>
              </w:rPr>
              <w:t>开发一款以奇幻世界为 背景，结合已经成为幻 想文化一部分的各种怪 物兵种和文明上各种耳 熟能详的英雄的游戏。</w:t>
            </w:r>
          </w:p>
        </w:tc>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316" w:lineRule="auto"/>
              <w:ind w:left="2" w:right="2"/>
              <w:jc w:val="left"/>
              <w:rPr>
                <w:rFonts w:ascii="宋体" w:hAnsi="宋体" w:cs="宋体" w:eastAsia="宋体" w:hint="default"/>
                <w:sz w:val="18"/>
                <w:szCs w:val="18"/>
              </w:rPr>
            </w:pPr>
            <w:r>
              <w:rPr>
                <w:rFonts w:ascii="宋体" w:hAnsi="宋体" w:cs="宋体" w:eastAsia="宋体" w:hint="default"/>
                <w:sz w:val="18"/>
                <w:szCs w:val="18"/>
              </w:rPr>
              <w:t>把实时的战斗表现加入到产品当中，创造出更生动更丰富的游戏趣</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味性，带来更好的游戏体验。</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3"/>
                <w:szCs w:val="13"/>
              </w:rPr>
            </w:pPr>
          </w:p>
          <w:p>
            <w:pPr>
              <w:pStyle w:val="TableParagraph"/>
              <w:spacing w:line="319" w:lineRule="auto"/>
              <w:ind w:left="2" w:right="-2"/>
              <w:jc w:val="left"/>
              <w:rPr>
                <w:rFonts w:ascii="宋体" w:hAnsi="宋体" w:cs="宋体" w:eastAsia="宋体" w:hint="default"/>
                <w:sz w:val="18"/>
                <w:szCs w:val="18"/>
              </w:rPr>
            </w:pPr>
            <w:r>
              <w:rPr>
                <w:rFonts w:ascii="宋体" w:hAnsi="宋体" w:cs="宋体" w:eastAsia="宋体" w:hint="default"/>
                <w:sz w:val="18"/>
                <w:szCs w:val="18"/>
              </w:rPr>
              <w:t>丰富游戏产品， 为公司在手游 方向带来新的 利润增长点。</w:t>
            </w:r>
          </w:p>
        </w:tc>
      </w:tr>
    </w:tbl>
    <w:p>
      <w:pPr>
        <w:spacing w:after="0" w:line="319" w:lineRule="auto"/>
        <w:jc w:val="left"/>
        <w:rPr>
          <w:rFonts w:ascii="宋体" w:hAnsi="宋体" w:cs="宋体" w:eastAsia="宋体" w:hint="default"/>
          <w:sz w:val="18"/>
          <w:szCs w:val="18"/>
        </w:rPr>
        <w:sectPr>
          <w:pgSz w:w="11910" w:h="16840"/>
          <w:pgMar w:header="851" w:footer="1187" w:top="1440" w:bottom="1380" w:left="1020" w:right="0"/>
        </w:sectPr>
      </w:pPr>
    </w:p>
    <w:p>
      <w:pPr>
        <w:spacing w:line="240" w:lineRule="auto" w:before="0"/>
        <w:rPr>
          <w:rFonts w:ascii="宋体" w:hAnsi="宋体" w:cs="宋体" w:eastAsia="宋体" w:hint="default"/>
          <w:sz w:val="3"/>
          <w:szCs w:val="3"/>
        </w:rPr>
      </w:pPr>
      <w:r>
        <w:rPr/>
        <w:pict>
          <v:shape style="position:absolute;margin-left:368.729004pt;margin-top:747.779968pt;width:171.1pt;height:15.6pt;mso-position-horizontal-relative:page;mso-position-vertical-relative:page;z-index:-1077568" type="#_x0000_t202" filled="false" stroked="false">
            <v:textbox inset="0,0,0,0">
              <w:txbxContent>
                <w:p>
                  <w:pPr>
                    <w:pStyle w:val="BodyText"/>
                    <w:spacing w:line="208" w:lineRule="exact"/>
                    <w:ind w:left="0" w:right="0"/>
                    <w:jc w:val="left"/>
                  </w:pPr>
                  <w:r>
                    <w:rPr/>
                    <w:t>减少民警工作量的作用。</w:t>
                  </w:r>
                </w:p>
              </w:txbxContent>
            </v:textbox>
            <w10:wrap type="none"/>
          </v:shape>
        </w:pict>
      </w:r>
      <w:r>
        <w:rPr/>
        <w:pict>
          <v:group style="position:absolute;margin-left:464.880005pt;margin-top:747.779968pt;width:74.95pt;height:15.6pt;mso-position-horizontal-relative:page;mso-position-vertical-relative:page;z-index:-1077544" coordorigin="9298,14956" coordsize="1499,312">
            <v:shape style="position:absolute;left:9298;top:14956;width:1499;height:312" coordorigin="9298,14956" coordsize="1499,312" path="m9298,15268l10796,15268,10796,14956,9298,14956,9298,15268xe" filled="true" fillcolor="#ffffff" stroked="false">
              <v:path arrowok="t"/>
              <v:fill type="solid"/>
            </v:shape>
            <w10:wrap type="none"/>
          </v:group>
        </w:pict>
      </w:r>
    </w:p>
    <w:tbl>
      <w:tblPr>
        <w:tblW w:w="0" w:type="auto"/>
        <w:jc w:val="left"/>
        <w:tblInd w:w="126" w:type="dxa"/>
        <w:tblLayout w:type="fixed"/>
        <w:tblCellMar>
          <w:top w:w="0" w:type="dxa"/>
          <w:left w:w="0" w:type="dxa"/>
          <w:bottom w:w="0" w:type="dxa"/>
          <w:right w:w="0" w:type="dxa"/>
        </w:tblCellMar>
        <w:tblLook w:val="01E0"/>
      </w:tblPr>
      <w:tblGrid>
        <w:gridCol w:w="1276"/>
        <w:gridCol w:w="1843"/>
        <w:gridCol w:w="5246"/>
        <w:gridCol w:w="1276"/>
      </w:tblGrid>
      <w:tr>
        <w:trPr>
          <w:trHeight w:val="1610" w:hRule="exact"/>
        </w:trPr>
        <w:tc>
          <w:tcPr>
            <w:tcW w:w="1276"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0"/>
              <w:ind w:right="0"/>
              <w:jc w:val="left"/>
              <w:rPr>
                <w:rFonts w:ascii="宋体" w:hAnsi="宋体" w:cs="宋体" w:eastAsia="宋体" w:hint="default"/>
                <w:sz w:val="26"/>
                <w:szCs w:val="26"/>
              </w:rPr>
            </w:pPr>
          </w:p>
          <w:p>
            <w:pPr>
              <w:pStyle w:val="TableParagraph"/>
              <w:spacing w:line="300" w:lineRule="auto"/>
              <w:ind w:left="2" w:right="55"/>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Z</w:t>
            </w:r>
            <w:r>
              <w:rPr>
                <w:rFonts w:ascii="宋体" w:hAnsi="宋体" w:cs="宋体" w:eastAsia="宋体" w:hint="default"/>
                <w:sz w:val="18"/>
                <w:szCs w:val="18"/>
              </w:rPr>
              <w:t>纪元 </w:t>
            </w:r>
            <w:r>
              <w:rPr>
                <w:rFonts w:ascii="Times New Roman" w:hAnsi="Times New Roman" w:cs="Times New Roman" w:eastAsia="Times New Roman" w:hint="default"/>
                <w:sz w:val="18"/>
                <w:szCs w:val="18"/>
              </w:rPr>
              <w:t>(Doomsday</w:t>
            </w:r>
            <w:r>
              <w:rPr>
                <w:rFonts w:ascii="宋体" w:hAnsi="宋体" w:cs="宋体" w:eastAsia="宋体" w:hint="default"/>
                <w:sz w:val="18"/>
                <w:szCs w:val="18"/>
              </w:rPr>
              <w:t>手游 项目</w:t>
            </w:r>
            <w:r>
              <w:rPr>
                <w:rFonts w:ascii="Times New Roman" w:hAnsi="Times New Roman" w:cs="Times New Roman" w:eastAsia="Times New Roman" w:hint="default"/>
                <w:sz w:val="18"/>
                <w:szCs w:val="18"/>
              </w:rPr>
              <w:t>)</w:t>
            </w:r>
          </w:p>
        </w:tc>
        <w:tc>
          <w:tcPr>
            <w:tcW w:w="1843" w:type="dxa"/>
            <w:tcBorders>
              <w:top w:val="single" w:sz="12" w:space="0" w:color="000000"/>
              <w:left w:val="single" w:sz="6" w:space="0" w:color="000000"/>
              <w:bottom w:val="single" w:sz="6" w:space="0" w:color="000000"/>
              <w:right w:val="single" w:sz="6" w:space="0" w:color="000000"/>
            </w:tcBorders>
          </w:tcPr>
          <w:p>
            <w:pPr>
              <w:pStyle w:val="TableParagraph"/>
              <w:spacing w:line="319" w:lineRule="auto" w:before="28"/>
              <w:ind w:left="3" w:right="23"/>
              <w:jc w:val="both"/>
              <w:rPr>
                <w:rFonts w:ascii="宋体" w:hAnsi="宋体" w:cs="宋体" w:eastAsia="宋体" w:hint="default"/>
                <w:sz w:val="18"/>
                <w:szCs w:val="18"/>
              </w:rPr>
            </w:pPr>
            <w:r>
              <w:rPr>
                <w:rFonts w:ascii="宋体" w:hAnsi="宋体" w:cs="宋体" w:eastAsia="宋体" w:hint="default"/>
                <w:sz w:val="18"/>
                <w:szCs w:val="18"/>
              </w:rPr>
              <w:t>是一款以时下最为流行 的末世为题材，依照当 代文明进程为背景进行 创作的即时战略手机游 戏。</w:t>
            </w:r>
          </w:p>
        </w:tc>
        <w:tc>
          <w:tcPr>
            <w:tcW w:w="524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26"/>
                <w:szCs w:val="26"/>
              </w:rPr>
            </w:pPr>
          </w:p>
          <w:p>
            <w:pPr>
              <w:pStyle w:val="TableParagraph"/>
              <w:spacing w:line="300" w:lineRule="auto"/>
              <w:ind w:left="2" w:right="3"/>
              <w:jc w:val="both"/>
              <w:rPr>
                <w:rFonts w:ascii="宋体" w:hAnsi="宋体" w:cs="宋体" w:eastAsia="宋体" w:hint="default"/>
                <w:sz w:val="18"/>
                <w:szCs w:val="18"/>
              </w:rPr>
            </w:pPr>
            <w:r>
              <w:rPr>
                <w:rFonts w:ascii="宋体" w:hAnsi="宋体" w:cs="宋体" w:eastAsia="宋体" w:hint="default"/>
                <w:spacing w:val="-2"/>
                <w:sz w:val="18"/>
                <w:szCs w:val="18"/>
              </w:rPr>
              <w:t>游戏采用</w:t>
            </w:r>
            <w:r>
              <w:rPr>
                <w:rFonts w:ascii="Times New Roman" w:hAnsi="Times New Roman" w:cs="Times New Roman" w:eastAsia="Times New Roman" w:hint="default"/>
                <w:spacing w:val="-2"/>
                <w:sz w:val="18"/>
                <w:szCs w:val="18"/>
              </w:rPr>
              <w:t>Unity3D</w:t>
            </w:r>
            <w:r>
              <w:rPr>
                <w:rFonts w:ascii="宋体" w:hAnsi="宋体" w:cs="宋体" w:eastAsia="宋体" w:hint="default"/>
                <w:spacing w:val="-2"/>
                <w:sz w:val="18"/>
                <w:szCs w:val="18"/>
              </w:rPr>
              <w:t>引擎进行开发，通过大量的</w:t>
            </w:r>
            <w:r>
              <w:rPr>
                <w:rFonts w:ascii="Times New Roman" w:hAnsi="Times New Roman" w:cs="Times New Roman" w:eastAsia="Times New Roman" w:hint="default"/>
                <w:spacing w:val="-2"/>
                <w:sz w:val="18"/>
                <w:szCs w:val="18"/>
              </w:rPr>
              <w:t>SLG</w:t>
            </w:r>
            <w:r>
              <w:rPr>
                <w:rFonts w:ascii="宋体" w:hAnsi="宋体" w:cs="宋体" w:eastAsia="宋体" w:hint="default"/>
                <w:spacing w:val="-2"/>
                <w:sz w:val="18"/>
                <w:szCs w:val="18"/>
              </w:rPr>
              <w:t>经验积累，对当前</w:t>
            </w:r>
            <w:r>
              <w:rPr>
                <w:rFonts w:ascii="宋体" w:hAnsi="宋体" w:cs="宋体" w:eastAsia="宋体" w:hint="default"/>
                <w:sz w:val="18"/>
                <w:szCs w:val="18"/>
              </w:rPr>
              <w:t> </w:t>
            </w:r>
            <w:r>
              <w:rPr>
                <w:rFonts w:ascii="Times New Roman" w:hAnsi="Times New Roman" w:cs="Times New Roman" w:eastAsia="Times New Roman" w:hint="default"/>
                <w:sz w:val="18"/>
                <w:szCs w:val="18"/>
              </w:rPr>
              <w:t>SLG</w:t>
            </w:r>
            <w:r>
              <w:rPr>
                <w:rFonts w:ascii="宋体" w:hAnsi="宋体" w:cs="宋体" w:eastAsia="宋体" w:hint="default"/>
                <w:sz w:val="18"/>
                <w:szCs w:val="18"/>
              </w:rPr>
              <w:t>类项目的可优化点进行分析设计与不断推敲，最终成立的具有</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足够市场竞争力的项目。</w:t>
            </w:r>
          </w:p>
        </w:tc>
        <w:tc>
          <w:tcPr>
            <w:tcW w:w="1276" w:type="dxa"/>
            <w:vMerge w:val="restart"/>
            <w:tcBorders>
              <w:top w:val="single" w:sz="12" w:space="0" w:color="000000"/>
              <w:left w:val="single" w:sz="6" w:space="0" w:color="000000"/>
              <w:right w:val="single" w:sz="6" w:space="0" w:color="000000"/>
            </w:tcBorders>
          </w:tcPr>
          <w:p>
            <w:pPr/>
          </w:p>
        </w:tc>
      </w:tr>
      <w:tr>
        <w:trPr>
          <w:trHeight w:val="660" w:hRule="exact"/>
        </w:trPr>
        <w:tc>
          <w:tcPr>
            <w:tcW w:w="127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00" w:lineRule="auto" w:before="21"/>
              <w:ind w:left="2" w:right="137"/>
              <w:jc w:val="left"/>
              <w:rPr>
                <w:rFonts w:ascii="宋体" w:hAnsi="宋体" w:cs="宋体" w:eastAsia="宋体" w:hint="default"/>
                <w:sz w:val="18"/>
                <w:szCs w:val="18"/>
              </w:rPr>
            </w:pPr>
            <w:r>
              <w:rPr>
                <w:rFonts w:ascii="Times New Roman" w:hAnsi="Times New Roman" w:cs="Times New Roman" w:eastAsia="Times New Roman" w:hint="default"/>
                <w:sz w:val="18"/>
                <w:szCs w:val="18"/>
              </w:rPr>
              <w:t>odyssey</w:t>
            </w:r>
            <w:r>
              <w:rPr>
                <w:rFonts w:ascii="宋体" w:hAnsi="宋体" w:cs="宋体" w:eastAsia="宋体" w:hint="default"/>
                <w:sz w:val="18"/>
                <w:szCs w:val="18"/>
              </w:rPr>
              <w:t>手游项 目</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23"/>
              <w:jc w:val="left"/>
              <w:rPr>
                <w:rFonts w:ascii="宋体" w:hAnsi="宋体" w:cs="宋体" w:eastAsia="宋体" w:hint="default"/>
                <w:sz w:val="18"/>
                <w:szCs w:val="18"/>
              </w:rPr>
            </w:pPr>
            <w:r>
              <w:rPr>
                <w:rFonts w:ascii="宋体" w:hAnsi="宋体" w:cs="宋体" w:eastAsia="宋体" w:hint="default"/>
                <w:sz w:val="18"/>
                <w:szCs w:val="18"/>
              </w:rPr>
              <w:t>打造一款立足科幻题材 的手机游戏。</w:t>
            </w:r>
          </w:p>
        </w:tc>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0"/>
              <w:jc w:val="left"/>
              <w:rPr>
                <w:rFonts w:ascii="宋体" w:hAnsi="宋体" w:cs="宋体" w:eastAsia="宋体" w:hint="default"/>
                <w:sz w:val="18"/>
                <w:szCs w:val="18"/>
              </w:rPr>
            </w:pPr>
            <w:r>
              <w:rPr>
                <w:rFonts w:ascii="宋体" w:hAnsi="宋体" w:cs="宋体" w:eastAsia="宋体" w:hint="default"/>
                <w:spacing w:val="-3"/>
                <w:sz w:val="18"/>
                <w:szCs w:val="18"/>
              </w:rPr>
              <w:t>游戏采用</w:t>
            </w:r>
            <w:r>
              <w:rPr>
                <w:rFonts w:ascii="Times New Roman" w:hAnsi="Times New Roman" w:cs="Times New Roman" w:eastAsia="Times New Roman" w:hint="default"/>
                <w:spacing w:val="-3"/>
                <w:sz w:val="18"/>
                <w:szCs w:val="18"/>
              </w:rPr>
              <w:t>Unity3D</w:t>
            </w:r>
            <w:r>
              <w:rPr>
                <w:rFonts w:ascii="宋体" w:hAnsi="宋体" w:cs="宋体" w:eastAsia="宋体" w:hint="default"/>
                <w:spacing w:val="-3"/>
                <w:sz w:val="18"/>
                <w:szCs w:val="18"/>
              </w:rPr>
              <w:t>引擎进行开发，立足科幻题材，打造符合世界观和</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公司传统</w:t>
            </w:r>
            <w:r>
              <w:rPr>
                <w:rFonts w:ascii="Times New Roman" w:hAnsi="Times New Roman" w:cs="Times New Roman" w:eastAsia="Times New Roman" w:hint="default"/>
                <w:sz w:val="18"/>
                <w:szCs w:val="18"/>
              </w:rPr>
              <w:t>SLG</w:t>
            </w:r>
            <w:r>
              <w:rPr>
                <w:rFonts w:ascii="宋体" w:hAnsi="宋体" w:cs="宋体" w:eastAsia="宋体" w:hint="default"/>
                <w:sz w:val="18"/>
                <w:szCs w:val="18"/>
              </w:rPr>
              <w:t>架构的创新型</w:t>
            </w:r>
            <w:r>
              <w:rPr>
                <w:rFonts w:ascii="Times New Roman" w:hAnsi="Times New Roman" w:cs="Times New Roman" w:eastAsia="Times New Roman" w:hint="default"/>
                <w:sz w:val="18"/>
                <w:szCs w:val="18"/>
              </w:rPr>
              <w:t>SLG</w:t>
            </w:r>
            <w:r>
              <w:rPr>
                <w:rFonts w:ascii="宋体" w:hAnsi="宋体" w:cs="宋体" w:eastAsia="宋体" w:hint="default"/>
                <w:sz w:val="18"/>
                <w:szCs w:val="18"/>
              </w:rPr>
              <w:t>产品。</w:t>
            </w:r>
          </w:p>
        </w:tc>
        <w:tc>
          <w:tcPr>
            <w:tcW w:w="1276" w:type="dxa"/>
            <w:vMerge/>
            <w:tcBorders>
              <w:left w:val="single" w:sz="6" w:space="0" w:color="000000"/>
              <w:bottom w:val="single" w:sz="6" w:space="0" w:color="000000"/>
              <w:right w:val="single" w:sz="6" w:space="0" w:color="000000"/>
            </w:tcBorders>
          </w:tcPr>
          <w:p>
            <w:pPr/>
          </w:p>
        </w:tc>
      </w:tr>
      <w:tr>
        <w:trPr>
          <w:trHeight w:val="1595" w:hRule="exact"/>
        </w:trPr>
        <w:tc>
          <w:tcPr>
            <w:tcW w:w="127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AI</w:t>
            </w:r>
            <w:r>
              <w:rPr>
                <w:rFonts w:ascii="宋体" w:hAnsi="宋体" w:cs="宋体" w:eastAsia="宋体" w:hint="default"/>
                <w:sz w:val="18"/>
                <w:szCs w:val="18"/>
              </w:rPr>
              <w:t>安全云平台</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316" w:lineRule="auto"/>
              <w:ind w:left="3" w:right="23"/>
              <w:jc w:val="both"/>
              <w:rPr>
                <w:rFonts w:ascii="宋体" w:hAnsi="宋体" w:cs="宋体" w:eastAsia="宋体" w:hint="default"/>
                <w:sz w:val="18"/>
                <w:szCs w:val="18"/>
              </w:rPr>
            </w:pPr>
            <w:r>
              <w:rPr>
                <w:rFonts w:ascii="宋体" w:hAnsi="宋体" w:cs="宋体" w:eastAsia="宋体" w:hint="default"/>
                <w:sz w:val="18"/>
                <w:szCs w:val="18"/>
              </w:rPr>
              <w:t>建设一款针对职业院校 的人工智能安全实训平 台。</w:t>
            </w:r>
          </w:p>
        </w:tc>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316" w:lineRule="auto"/>
              <w:ind w:left="2" w:right="7"/>
              <w:jc w:val="both"/>
              <w:rPr>
                <w:rFonts w:ascii="宋体" w:hAnsi="宋体" w:cs="宋体" w:eastAsia="宋体" w:hint="default"/>
                <w:sz w:val="18"/>
                <w:szCs w:val="18"/>
              </w:rPr>
            </w:pPr>
            <w:r>
              <w:rPr>
                <w:rFonts w:ascii="宋体" w:hAnsi="宋体" w:cs="宋体" w:eastAsia="宋体" w:hint="default"/>
                <w:sz w:val="18"/>
                <w:szCs w:val="18"/>
              </w:rPr>
              <w:t>本平台是基于对人工智能认知技术、语音处理安全技术、图像处理 安全技术、自然语言理解安全技术、人工智能算法安全技术、网络 安全技术、智能产品安全技术等核心技术的深入研究，自主研发出 针对职业院校的人工智能安全实训平台。</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2" w:right="1"/>
              <w:jc w:val="left"/>
              <w:rPr>
                <w:rFonts w:ascii="宋体" w:hAnsi="宋体" w:cs="宋体" w:eastAsia="宋体" w:hint="default"/>
                <w:sz w:val="18"/>
                <w:szCs w:val="18"/>
              </w:rPr>
            </w:pPr>
            <w:r>
              <w:rPr>
                <w:rFonts w:ascii="宋体" w:hAnsi="宋体" w:cs="宋体" w:eastAsia="宋体" w:hint="default"/>
                <w:sz w:val="18"/>
                <w:szCs w:val="18"/>
              </w:rPr>
              <w:t>拓展公司职业 教育领域的产 品，为公司的创 新服务业务贡 献力量。</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p>
      <w:pPr>
        <w:pStyle w:val="Heading5"/>
        <w:spacing w:line="240" w:lineRule="auto"/>
        <w:ind w:left="134" w:right="1032"/>
        <w:jc w:val="left"/>
        <w:rPr>
          <w:b w:val="0"/>
          <w:bCs w:val="0"/>
        </w:rPr>
      </w:pPr>
      <w:r>
        <w:rPr/>
        <w:t>近三年公司研发投入金额及占营业收入的比例</w:t>
      </w:r>
      <w:r>
        <w:rPr>
          <w:b w:val="0"/>
          <w:bCs w:val="0"/>
        </w:rPr>
      </w:r>
    </w:p>
    <w:p>
      <w:pPr>
        <w:spacing w:line="240" w:lineRule="auto" w:before="0"/>
        <w:rPr>
          <w:rFonts w:ascii="宋体" w:hAnsi="宋体" w:cs="宋体" w:eastAsia="宋体" w:hint="default"/>
          <w:b/>
          <w:bCs/>
          <w:sz w:val="14"/>
          <w:szCs w:val="14"/>
        </w:rPr>
      </w:pPr>
    </w:p>
    <w:tbl>
      <w:tblPr>
        <w:tblW w:w="0" w:type="auto"/>
        <w:jc w:val="left"/>
        <w:tblInd w:w="113" w:type="dxa"/>
        <w:tblLayout w:type="fixed"/>
        <w:tblCellMar>
          <w:top w:w="0" w:type="dxa"/>
          <w:left w:w="0" w:type="dxa"/>
          <w:bottom w:w="0" w:type="dxa"/>
          <w:right w:w="0" w:type="dxa"/>
        </w:tblCellMar>
        <w:tblLook w:val="01E0"/>
      </w:tblPr>
      <w:tblGrid>
        <w:gridCol w:w="3124"/>
        <w:gridCol w:w="2280"/>
        <w:gridCol w:w="2128"/>
        <w:gridCol w:w="2152"/>
      </w:tblGrid>
      <w:tr>
        <w:trPr>
          <w:trHeight w:val="402" w:hRule="exact"/>
        </w:trPr>
        <w:tc>
          <w:tcPr>
            <w:tcW w:w="312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2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1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1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2" w:hRule="exact"/>
        </w:trPr>
        <w:tc>
          <w:tcPr>
            <w:tcW w:w="31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28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1,351</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1,456</w:t>
            </w:r>
          </w:p>
        </w:tc>
        <w:tc>
          <w:tcPr>
            <w:tcW w:w="2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1,396</w:t>
            </w:r>
          </w:p>
        </w:tc>
      </w:tr>
      <w:tr>
        <w:trPr>
          <w:trHeight w:val="402" w:hRule="exact"/>
        </w:trPr>
        <w:tc>
          <w:tcPr>
            <w:tcW w:w="31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28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37.71%</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34.46%</w:t>
            </w:r>
          </w:p>
        </w:tc>
        <w:tc>
          <w:tcPr>
            <w:tcW w:w="2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32.71%</w:t>
            </w:r>
          </w:p>
        </w:tc>
      </w:tr>
      <w:tr>
        <w:trPr>
          <w:trHeight w:val="402" w:hRule="exact"/>
        </w:trPr>
        <w:tc>
          <w:tcPr>
            <w:tcW w:w="31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28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227,659,454.38</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204,388,448.99</w:t>
            </w:r>
          </w:p>
        </w:tc>
        <w:tc>
          <w:tcPr>
            <w:tcW w:w="2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196,055,419.98</w:t>
            </w:r>
          </w:p>
        </w:tc>
      </w:tr>
      <w:tr>
        <w:trPr>
          <w:trHeight w:val="402" w:hRule="exact"/>
        </w:trPr>
        <w:tc>
          <w:tcPr>
            <w:tcW w:w="31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28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11.27%</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10.09%</w:t>
            </w:r>
          </w:p>
        </w:tc>
        <w:tc>
          <w:tcPr>
            <w:tcW w:w="2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6.68%</w:t>
            </w:r>
          </w:p>
        </w:tc>
      </w:tr>
      <w:tr>
        <w:trPr>
          <w:trHeight w:val="402" w:hRule="exact"/>
        </w:trPr>
        <w:tc>
          <w:tcPr>
            <w:tcW w:w="31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研发支出资本化的金额（元）</w:t>
            </w:r>
          </w:p>
        </w:tc>
        <w:tc>
          <w:tcPr>
            <w:tcW w:w="228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125,212,494.76</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128,506,148.79</w:t>
            </w:r>
          </w:p>
        </w:tc>
        <w:tc>
          <w:tcPr>
            <w:tcW w:w="2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128,561,514.99</w:t>
            </w:r>
          </w:p>
        </w:tc>
      </w:tr>
      <w:tr>
        <w:trPr>
          <w:trHeight w:val="402" w:hRule="exact"/>
        </w:trPr>
        <w:tc>
          <w:tcPr>
            <w:tcW w:w="31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资本化研发支出占研发投入的比例</w:t>
            </w:r>
          </w:p>
        </w:tc>
        <w:tc>
          <w:tcPr>
            <w:tcW w:w="228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55.00%</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62.87%</w:t>
            </w:r>
          </w:p>
        </w:tc>
        <w:tc>
          <w:tcPr>
            <w:tcW w:w="2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65.57%</w:t>
            </w:r>
          </w:p>
        </w:tc>
      </w:tr>
      <w:tr>
        <w:trPr>
          <w:trHeight w:val="402" w:hRule="exact"/>
        </w:trPr>
        <w:tc>
          <w:tcPr>
            <w:tcW w:w="31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资本化研发支出占当期净利润的比重</w:t>
            </w:r>
          </w:p>
        </w:tc>
        <w:tc>
          <w:tcPr>
            <w:tcW w:w="228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158.81%</w:t>
            </w:r>
          </w:p>
        </w:tc>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132.40%</w:t>
            </w:r>
          </w:p>
        </w:tc>
        <w:tc>
          <w:tcPr>
            <w:tcW w:w="2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27.41%</w:t>
            </w:r>
          </w:p>
        </w:tc>
      </w:tr>
    </w:tbl>
    <w:p>
      <w:pPr>
        <w:spacing w:line="240" w:lineRule="auto" w:before="6"/>
        <w:rPr>
          <w:rFonts w:ascii="宋体" w:hAnsi="宋体" w:cs="宋体" w:eastAsia="宋体" w:hint="default"/>
          <w:b/>
          <w:bCs/>
          <w:sz w:val="6"/>
          <w:szCs w:val="6"/>
        </w:rPr>
      </w:pPr>
    </w:p>
    <w:p>
      <w:pPr>
        <w:pStyle w:val="Heading5"/>
        <w:spacing w:line="240" w:lineRule="auto" w:before="44"/>
        <w:ind w:left="134" w:right="1032"/>
        <w:jc w:val="left"/>
        <w:rPr>
          <w:b w:val="0"/>
          <w:bCs w:val="0"/>
        </w:rPr>
      </w:pPr>
      <w:r>
        <w:rPr/>
        <w:t>研发投入总额占营业收入的比重较上年发生显著变化的原因</w:t>
      </w:r>
      <w:r>
        <w:rPr>
          <w:b w:val="0"/>
          <w:bCs w:val="0"/>
        </w:rPr>
      </w:r>
    </w:p>
    <w:p>
      <w:pPr>
        <w:spacing w:line="240" w:lineRule="auto" w:before="12"/>
        <w:rPr>
          <w:rFonts w:ascii="宋体" w:hAnsi="宋体" w:cs="宋体" w:eastAsia="宋体" w:hint="default"/>
          <w:b/>
          <w:bCs/>
          <w:sz w:val="14"/>
          <w:szCs w:val="14"/>
        </w:rPr>
      </w:pPr>
    </w:p>
    <w:p>
      <w:pPr>
        <w:pStyle w:val="Heading5"/>
        <w:spacing w:line="412" w:lineRule="auto"/>
        <w:ind w:left="134" w:right="6776"/>
        <w:jc w:val="left"/>
        <w:rPr>
          <w:b w:val="0"/>
          <w:bCs w:val="0"/>
        </w:rPr>
      </w:pPr>
      <w:r>
        <w:rPr>
          <w:rFonts w:ascii="Times New Roman" w:hAnsi="Times New Roman" w:cs="Times New Roman" w:eastAsia="Times New Roman" w:hint="default"/>
          <w:b w:val="0"/>
          <w:bCs w:val="0"/>
        </w:rPr>
        <w:t>□ </w:t>
      </w:r>
      <w:r>
        <w:rPr>
          <w:rFonts w:ascii="宋体" w:hAnsi="宋体" w:cs="宋体" w:eastAsia="宋体" w:hint="default"/>
          <w:b w:val="0"/>
          <w:bCs w:val="0"/>
        </w:rPr>
        <w:t>适用 </w:t>
      </w:r>
      <w:r>
        <w:rPr/>
        <w:t>√</w:t>
      </w:r>
      <w:r>
        <w:rPr>
          <w:spacing w:val="-1"/>
        </w:rPr>
        <w:t> </w:t>
      </w:r>
      <w:r>
        <w:rPr/>
        <w:t>不适用</w:t>
      </w:r>
      <w:r>
        <w:rPr>
          <w:w w:val="99"/>
        </w:rPr>
        <w:t> </w:t>
      </w:r>
      <w:r>
        <w:rPr/>
        <w:t>研发投入资本化率大幅变动的原因及其合理性说明</w:t>
      </w:r>
      <w:r>
        <w:rPr>
          <w:b w:val="0"/>
          <w:bCs w:val="0"/>
        </w:rPr>
      </w:r>
    </w:p>
    <w:p>
      <w:pPr>
        <w:spacing w:before="64"/>
        <w:ind w:left="134" w:right="768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2"/>
        <w:rPr>
          <w:rFonts w:ascii="宋体" w:hAnsi="宋体" w:cs="宋体" w:eastAsia="宋体" w:hint="default"/>
          <w:b/>
          <w:bCs/>
          <w:sz w:val="13"/>
          <w:szCs w:val="13"/>
        </w:rPr>
      </w:pPr>
    </w:p>
    <w:p>
      <w:pPr>
        <w:pStyle w:val="BodyText"/>
        <w:spacing w:line="240" w:lineRule="auto"/>
        <w:ind w:left="134" w:right="1032"/>
        <w:jc w:val="left"/>
      </w:pPr>
      <w:r>
        <w:rPr/>
        <w:t>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上市公司从事软件与信息技术服务业务》的披露要求</w:t>
      </w:r>
    </w:p>
    <w:p>
      <w:pPr>
        <w:spacing w:line="240" w:lineRule="auto" w:before="5"/>
        <w:rPr>
          <w:rFonts w:ascii="宋体" w:hAnsi="宋体" w:cs="宋体" w:eastAsia="宋体" w:hint="default"/>
          <w:sz w:val="16"/>
          <w:szCs w:val="16"/>
        </w:rPr>
      </w:pPr>
    </w:p>
    <w:p>
      <w:pPr>
        <w:pStyle w:val="BodyText"/>
        <w:spacing w:line="240" w:lineRule="auto" w:before="44"/>
        <w:ind w:left="0" w:right="1130"/>
        <w:jc w:val="right"/>
      </w:pPr>
      <w:r>
        <w:rPr/>
        <w:pict>
          <v:shape style="position:absolute;margin-left:422.729004pt;margin-top:43.731716pt;width:117.1pt;height:31.2pt;mso-position-horizontal-relative:page;mso-position-vertical-relative:paragraph;z-index:-1077592" type="#_x0000_t202" filled="false" stroked="false">
            <v:textbox inset="0,0,0,0">
              <w:txbxContent>
                <w:p>
                  <w:pPr>
                    <w:spacing w:line="240" w:lineRule="auto" w:before="0"/>
                    <w:rPr>
                      <w:rFonts w:ascii="宋体" w:hAnsi="宋体" w:cs="宋体" w:eastAsia="宋体" w:hint="default"/>
                      <w:sz w:val="18"/>
                      <w:szCs w:val="18"/>
                    </w:rPr>
                  </w:pPr>
                </w:p>
                <w:p>
                  <w:pPr>
                    <w:pStyle w:val="BodyText"/>
                    <w:spacing w:line="240" w:lineRule="auto" w:before="126"/>
                    <w:ind w:left="0" w:right="0"/>
                    <w:jc w:val="left"/>
                  </w:pPr>
                  <w:r>
                    <w:rPr/>
                    <w:t>应用服务、</w:t>
                  </w:r>
                </w:p>
              </w:txbxContent>
            </v:textbox>
            <w10:wrap type="none"/>
          </v:shape>
        </w:pict>
      </w:r>
      <w:r>
        <w:rPr/>
        <w:t>单位：元</w:t>
      </w:r>
    </w:p>
    <w:p>
      <w:pPr>
        <w:spacing w:line="240" w:lineRule="auto" w:before="13"/>
        <w:rPr>
          <w:rFonts w:ascii="宋体" w:hAnsi="宋体" w:cs="宋体" w:eastAsia="宋体" w:hint="default"/>
          <w:sz w:val="13"/>
          <w:szCs w:val="13"/>
        </w:rPr>
      </w:pPr>
    </w:p>
    <w:tbl>
      <w:tblPr>
        <w:tblW w:w="0" w:type="auto"/>
        <w:jc w:val="left"/>
        <w:tblInd w:w="113" w:type="dxa"/>
        <w:tblLayout w:type="fixed"/>
        <w:tblCellMar>
          <w:top w:w="0" w:type="dxa"/>
          <w:left w:w="0" w:type="dxa"/>
          <w:bottom w:w="0" w:type="dxa"/>
          <w:right w:w="0" w:type="dxa"/>
        </w:tblCellMar>
        <w:tblLook w:val="01E0"/>
      </w:tblPr>
      <w:tblGrid>
        <w:gridCol w:w="2000"/>
        <w:gridCol w:w="1579"/>
        <w:gridCol w:w="4596"/>
        <w:gridCol w:w="1508"/>
      </w:tblGrid>
      <w:tr>
        <w:trPr>
          <w:trHeight w:val="401" w:hRule="exact"/>
        </w:trPr>
        <w:tc>
          <w:tcPr>
            <w:tcW w:w="20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28"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5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4" w:right="0"/>
              <w:jc w:val="left"/>
              <w:rPr>
                <w:rFonts w:ascii="宋体" w:hAnsi="宋体" w:cs="宋体" w:eastAsia="宋体" w:hint="default"/>
                <w:sz w:val="18"/>
                <w:szCs w:val="18"/>
              </w:rPr>
            </w:pPr>
            <w:r>
              <w:rPr>
                <w:rFonts w:ascii="宋体" w:hAnsi="宋体" w:cs="宋体" w:eastAsia="宋体" w:hint="default"/>
                <w:sz w:val="18"/>
                <w:szCs w:val="18"/>
              </w:rPr>
              <w:t>研发资本化金额</w:t>
            </w:r>
          </w:p>
        </w:tc>
        <w:tc>
          <w:tcPr>
            <w:tcW w:w="4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482" w:right="0"/>
              <w:jc w:val="left"/>
              <w:rPr>
                <w:rFonts w:ascii="宋体" w:hAnsi="宋体" w:cs="宋体" w:eastAsia="宋体" w:hint="default"/>
                <w:sz w:val="18"/>
                <w:szCs w:val="18"/>
              </w:rPr>
            </w:pPr>
            <w:r>
              <w:rPr>
                <w:rFonts w:ascii="宋体" w:hAnsi="宋体" w:cs="宋体" w:eastAsia="宋体" w:hint="default"/>
                <w:sz w:val="18"/>
                <w:szCs w:val="18"/>
              </w:rPr>
              <w:t>相关项目的基本情况</w:t>
            </w:r>
          </w:p>
        </w:tc>
        <w:tc>
          <w:tcPr>
            <w:tcW w:w="150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2"/>
              <w:ind w:left="390" w:right="0"/>
              <w:jc w:val="left"/>
              <w:rPr>
                <w:rFonts w:ascii="宋体" w:hAnsi="宋体" w:cs="宋体" w:eastAsia="宋体" w:hint="default"/>
                <w:sz w:val="18"/>
                <w:szCs w:val="18"/>
              </w:rPr>
            </w:pPr>
            <w:r>
              <w:rPr>
                <w:rFonts w:ascii="宋体" w:hAnsi="宋体" w:cs="宋体" w:eastAsia="宋体" w:hint="default"/>
                <w:sz w:val="18"/>
                <w:szCs w:val="18"/>
              </w:rPr>
              <w:t>实施进度</w:t>
            </w:r>
          </w:p>
        </w:tc>
      </w:tr>
      <w:tr>
        <w:trPr>
          <w:trHeight w:val="630" w:hRule="exact"/>
        </w:trPr>
        <w:tc>
          <w:tcPr>
            <w:tcW w:w="2000" w:type="dxa"/>
            <w:tcBorders>
              <w:top w:val="single" w:sz="4" w:space="0" w:color="000000"/>
              <w:left w:val="single" w:sz="4" w:space="0" w:color="000000"/>
              <w:bottom w:val="nil" w:sz="6" w:space="0" w:color="auto"/>
              <w:right w:val="single" w:sz="4" w:space="0" w:color="000000"/>
            </w:tcBorders>
            <w:shd w:val="clear" w:color="auto" w:fill="D2D2D2"/>
          </w:tcPr>
          <w:p>
            <w:pPr/>
          </w:p>
        </w:tc>
        <w:tc>
          <w:tcPr>
            <w:tcW w:w="1579"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511" w:right="0"/>
              <w:jc w:val="left"/>
              <w:rPr>
                <w:rFonts w:ascii="Times New Roman" w:hAnsi="Times New Roman" w:cs="Times New Roman" w:eastAsia="Times New Roman" w:hint="default"/>
                <w:sz w:val="18"/>
                <w:szCs w:val="18"/>
              </w:rPr>
            </w:pPr>
            <w:r>
              <w:rPr>
                <w:rFonts w:ascii="Times New Roman"/>
                <w:sz w:val="18"/>
              </w:rPr>
              <w:t>16,418,211.98</w:t>
            </w:r>
          </w:p>
        </w:tc>
        <w:tc>
          <w:tcPr>
            <w:tcW w:w="4596" w:type="dxa"/>
            <w:vMerge w:val="restart"/>
            <w:tcBorders>
              <w:top w:val="single" w:sz="4" w:space="0" w:color="000000"/>
              <w:left w:val="single" w:sz="4" w:space="0" w:color="000000"/>
              <w:right w:val="single" w:sz="4" w:space="0" w:color="000000"/>
            </w:tcBorders>
          </w:tcPr>
          <w:p>
            <w:pPr>
              <w:pStyle w:val="TableParagraph"/>
              <w:spacing w:line="314" w:lineRule="auto" w:before="52"/>
              <w:ind w:left="22" w:right="22"/>
              <w:jc w:val="left"/>
              <w:rPr>
                <w:rFonts w:ascii="宋体" w:hAnsi="宋体" w:cs="宋体" w:eastAsia="宋体" w:hint="default"/>
                <w:sz w:val="18"/>
                <w:szCs w:val="18"/>
              </w:rPr>
            </w:pPr>
            <w:r>
              <w:rPr>
                <w:rFonts w:ascii="宋体" w:hAnsi="宋体" w:cs="宋体" w:eastAsia="宋体" w:hint="default"/>
                <w:sz w:val="18"/>
                <w:szCs w:val="18"/>
              </w:rPr>
              <w:t>智慧语义平台分为技术开放、应用创新、数据共享、培训 互动四个板块。完成页面信息展示，基础服务、 数据集的展示、调用功能，完成</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NLP</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学院、生态平台、解 决方案的宣传内容展示。最终形成一个智慧语义平台的展 示版本。</w:t>
            </w:r>
          </w:p>
        </w:tc>
        <w:tc>
          <w:tcPr>
            <w:tcW w:w="1508" w:type="dxa"/>
            <w:vMerge w:val="restart"/>
            <w:tcBorders>
              <w:top w:val="single" w:sz="4" w:space="0" w:color="000000"/>
              <w:left w:val="single" w:sz="4" w:space="0" w:color="000000"/>
              <w:right w:val="single" w:sz="4" w:space="0" w:color="000000"/>
            </w:tcBorders>
          </w:tcPr>
          <w:p>
            <w:pPr>
              <w:pStyle w:val="TableParagraph"/>
              <w:spacing w:line="624" w:lineRule="exact"/>
              <w:ind w:right="-51"/>
              <w:jc w:val="left"/>
              <w:rPr>
                <w:rFonts w:ascii="宋体" w:hAnsi="宋体" w:cs="宋体" w:eastAsia="宋体" w:hint="default"/>
                <w:sz w:val="20"/>
                <w:szCs w:val="20"/>
              </w:rPr>
            </w:pPr>
            <w:r>
              <w:rPr>
                <w:rFonts w:ascii="宋体" w:hAnsi="宋体" w:cs="宋体" w:eastAsia="宋体" w:hint="default"/>
                <w:position w:val="-11"/>
                <w:sz w:val="20"/>
                <w:szCs w:val="20"/>
              </w:rPr>
              <w:pict>
                <v:group style="width:74.95pt;height:31.2pt;mso-position-horizontal-relative:char;mso-position-vertical-relative:line" coordorigin="0,0" coordsize="1499,624">
                  <v:group style="position:absolute;left:0;top:0;width:1499;height:624" coordorigin="0,0" coordsize="1499,624">
                    <v:shape style="position:absolute;left:0;top:0;width:1499;height:624" coordorigin="0,0" coordsize="1499,624" path="m0,624l1499,624,1499,0,0,0,0,624xe" filled="true" fillcolor="#ffffff" stroked="false">
                      <v:path arrowok="t"/>
                      <v:fill type="solid"/>
                    </v:shape>
                  </v:group>
                </v:group>
              </w:pict>
            </w:r>
            <w:r>
              <w:rPr>
                <w:rFonts w:ascii="宋体" w:hAnsi="宋体" w:cs="宋体" w:eastAsia="宋体" w:hint="default"/>
                <w:position w:val="-11"/>
                <w:sz w:val="20"/>
                <w:szCs w:val="20"/>
              </w:rPr>
            </w:r>
          </w:p>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391" w:hRule="exact"/>
        </w:trPr>
        <w:tc>
          <w:tcPr>
            <w:tcW w:w="200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智慧语义开放创新平台</w:t>
            </w:r>
          </w:p>
        </w:tc>
        <w:tc>
          <w:tcPr>
            <w:tcW w:w="1579" w:type="dxa"/>
            <w:vMerge/>
            <w:tcBorders>
              <w:left w:val="single" w:sz="9" w:space="0" w:color="D2D2D2"/>
              <w:right w:val="single" w:sz="4" w:space="0" w:color="000000"/>
            </w:tcBorders>
          </w:tcPr>
          <w:p>
            <w:pPr/>
          </w:p>
        </w:tc>
        <w:tc>
          <w:tcPr>
            <w:tcW w:w="4596" w:type="dxa"/>
            <w:vMerge/>
            <w:tcBorders>
              <w:left w:val="single" w:sz="4" w:space="0" w:color="000000"/>
              <w:right w:val="single" w:sz="4" w:space="0" w:color="000000"/>
            </w:tcBorders>
          </w:tcPr>
          <w:p>
            <w:pPr/>
          </w:p>
        </w:tc>
        <w:tc>
          <w:tcPr>
            <w:tcW w:w="1508" w:type="dxa"/>
            <w:vMerge/>
            <w:tcBorders>
              <w:left w:val="single" w:sz="4" w:space="0" w:color="000000"/>
              <w:right w:val="single" w:sz="4" w:space="0" w:color="000000"/>
            </w:tcBorders>
          </w:tcPr>
          <w:p>
            <w:pPr/>
          </w:p>
        </w:tc>
      </w:tr>
      <w:tr>
        <w:trPr>
          <w:trHeight w:val="629" w:hRule="exact"/>
        </w:trPr>
        <w:tc>
          <w:tcPr>
            <w:tcW w:w="2000" w:type="dxa"/>
            <w:tcBorders>
              <w:top w:val="nil" w:sz="6" w:space="0" w:color="auto"/>
              <w:left w:val="single" w:sz="4" w:space="0" w:color="000000"/>
              <w:bottom w:val="single" w:sz="4" w:space="0" w:color="000000"/>
              <w:right w:val="single" w:sz="4" w:space="0" w:color="000000"/>
            </w:tcBorders>
            <w:shd w:val="clear" w:color="auto" w:fill="D2D2D2"/>
          </w:tcPr>
          <w:p>
            <w:pPr/>
          </w:p>
        </w:tc>
        <w:tc>
          <w:tcPr>
            <w:tcW w:w="1579" w:type="dxa"/>
            <w:vMerge/>
            <w:tcBorders>
              <w:left w:val="single" w:sz="9" w:space="0" w:color="D2D2D2"/>
              <w:bottom w:val="single" w:sz="4" w:space="0" w:color="000000"/>
              <w:right w:val="single" w:sz="4" w:space="0" w:color="000000"/>
            </w:tcBorders>
          </w:tcPr>
          <w:p>
            <w:pPr/>
          </w:p>
        </w:tc>
        <w:tc>
          <w:tcPr>
            <w:tcW w:w="4596" w:type="dxa"/>
            <w:vMerge/>
            <w:tcBorders>
              <w:left w:val="single" w:sz="4" w:space="0" w:color="000000"/>
              <w:bottom w:val="single" w:sz="4" w:space="0" w:color="000000"/>
              <w:right w:val="single" w:sz="4" w:space="0" w:color="000000"/>
            </w:tcBorders>
          </w:tcPr>
          <w:p>
            <w:pPr/>
          </w:p>
        </w:tc>
        <w:tc>
          <w:tcPr>
            <w:tcW w:w="1508" w:type="dxa"/>
            <w:vMerge/>
            <w:tcBorders>
              <w:left w:val="single" w:sz="4" w:space="0" w:color="000000"/>
              <w:bottom w:val="single" w:sz="4" w:space="0" w:color="000000"/>
              <w:right w:val="single" w:sz="4" w:space="0" w:color="000000"/>
            </w:tcBorders>
          </w:tcPr>
          <w:p>
            <w:pPr/>
          </w:p>
        </w:tc>
      </w:tr>
      <w:tr>
        <w:trPr>
          <w:trHeight w:val="318" w:hRule="exact"/>
        </w:trPr>
        <w:tc>
          <w:tcPr>
            <w:tcW w:w="2000" w:type="dxa"/>
            <w:tcBorders>
              <w:top w:val="single" w:sz="4" w:space="0" w:color="000000"/>
              <w:left w:val="single" w:sz="4" w:space="0" w:color="000000"/>
              <w:bottom w:val="nil" w:sz="6" w:space="0" w:color="auto"/>
              <w:right w:val="single" w:sz="4" w:space="0" w:color="000000"/>
            </w:tcBorders>
            <w:shd w:val="clear" w:color="auto" w:fill="D2D2D2"/>
          </w:tcPr>
          <w:p>
            <w:pPr/>
          </w:p>
        </w:tc>
        <w:tc>
          <w:tcPr>
            <w:tcW w:w="1579"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505" w:right="0"/>
              <w:jc w:val="left"/>
              <w:rPr>
                <w:rFonts w:ascii="Times New Roman" w:hAnsi="Times New Roman" w:cs="Times New Roman" w:eastAsia="Times New Roman" w:hint="default"/>
                <w:sz w:val="18"/>
                <w:szCs w:val="18"/>
              </w:rPr>
            </w:pPr>
            <w:r>
              <w:rPr>
                <w:rFonts w:ascii="Times New Roman"/>
                <w:sz w:val="18"/>
              </w:rPr>
              <w:t>16,620,932.57</w:t>
            </w:r>
          </w:p>
        </w:tc>
        <w:tc>
          <w:tcPr>
            <w:tcW w:w="4596" w:type="dxa"/>
            <w:vMerge w:val="restart"/>
            <w:tcBorders>
              <w:top w:val="single" w:sz="4" w:space="0" w:color="000000"/>
              <w:left w:val="single" w:sz="4" w:space="0" w:color="000000"/>
              <w:right w:val="single" w:sz="4" w:space="0" w:color="000000"/>
            </w:tcBorders>
          </w:tcPr>
          <w:p>
            <w:pPr>
              <w:pStyle w:val="TableParagraph"/>
              <w:spacing w:line="316" w:lineRule="auto" w:before="52"/>
              <w:ind w:left="22" w:right="61"/>
              <w:jc w:val="both"/>
              <w:rPr>
                <w:rFonts w:ascii="宋体" w:hAnsi="宋体" w:cs="宋体" w:eastAsia="宋体" w:hint="default"/>
                <w:sz w:val="18"/>
                <w:szCs w:val="18"/>
              </w:rPr>
            </w:pPr>
            <w:r>
              <w:rPr>
                <w:rFonts w:ascii="宋体" w:hAnsi="宋体" w:cs="宋体" w:eastAsia="宋体" w:hint="default"/>
                <w:sz w:val="18"/>
                <w:szCs w:val="18"/>
              </w:rPr>
              <w:t>本项目将会基于自然语言处理技术，结合公安行业非结构 化数据转结构化需求，建设一套辅助侦查人员侦办案件的 </w:t>
            </w:r>
            <w:r>
              <w:rPr>
                <w:rFonts w:ascii="宋体" w:hAnsi="宋体" w:cs="宋体" w:eastAsia="宋体" w:hint="default"/>
                <w:spacing w:val="-3"/>
                <w:sz w:val="18"/>
                <w:szCs w:val="18"/>
              </w:rPr>
              <w:t>系统，起到提升情报、侦查能力，</w:t>
            </w:r>
          </w:p>
        </w:tc>
        <w:tc>
          <w:tcPr>
            <w:tcW w:w="150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4"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391" w:hRule="exact"/>
        </w:trPr>
        <w:tc>
          <w:tcPr>
            <w:tcW w:w="200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智脑侦查研判系统</w:t>
            </w:r>
          </w:p>
        </w:tc>
        <w:tc>
          <w:tcPr>
            <w:tcW w:w="1579" w:type="dxa"/>
            <w:vMerge/>
            <w:tcBorders>
              <w:left w:val="single" w:sz="9" w:space="0" w:color="D2D2D2"/>
              <w:right w:val="single" w:sz="4" w:space="0" w:color="000000"/>
            </w:tcBorders>
          </w:tcPr>
          <w:p>
            <w:pPr/>
          </w:p>
        </w:tc>
        <w:tc>
          <w:tcPr>
            <w:tcW w:w="4596" w:type="dxa"/>
            <w:vMerge/>
            <w:tcBorders>
              <w:left w:val="single" w:sz="4" w:space="0" w:color="000000"/>
              <w:right w:val="single" w:sz="4" w:space="0" w:color="000000"/>
            </w:tcBorders>
          </w:tcPr>
          <w:p>
            <w:pPr/>
          </w:p>
        </w:tc>
        <w:tc>
          <w:tcPr>
            <w:tcW w:w="1508" w:type="dxa"/>
            <w:vMerge/>
            <w:tcBorders>
              <w:left w:val="single" w:sz="4" w:space="0" w:color="000000"/>
              <w:right w:val="single" w:sz="4" w:space="0" w:color="000000"/>
            </w:tcBorders>
          </w:tcPr>
          <w:p>
            <w:pPr/>
          </w:p>
        </w:tc>
      </w:tr>
      <w:tr>
        <w:trPr>
          <w:trHeight w:val="318" w:hRule="exact"/>
        </w:trPr>
        <w:tc>
          <w:tcPr>
            <w:tcW w:w="2000" w:type="dxa"/>
            <w:tcBorders>
              <w:top w:val="nil" w:sz="6" w:space="0" w:color="auto"/>
              <w:left w:val="single" w:sz="4" w:space="0" w:color="000000"/>
              <w:bottom w:val="single" w:sz="4" w:space="0" w:color="000000"/>
              <w:right w:val="single" w:sz="4" w:space="0" w:color="000000"/>
            </w:tcBorders>
            <w:shd w:val="clear" w:color="auto" w:fill="D2D2D2"/>
          </w:tcPr>
          <w:p>
            <w:pPr/>
          </w:p>
        </w:tc>
        <w:tc>
          <w:tcPr>
            <w:tcW w:w="1579" w:type="dxa"/>
            <w:vMerge/>
            <w:tcBorders>
              <w:left w:val="single" w:sz="9" w:space="0" w:color="D2D2D2"/>
              <w:bottom w:val="single" w:sz="4" w:space="0" w:color="000000"/>
              <w:right w:val="single" w:sz="4" w:space="0" w:color="000000"/>
            </w:tcBorders>
          </w:tcPr>
          <w:p>
            <w:pPr/>
          </w:p>
        </w:tc>
        <w:tc>
          <w:tcPr>
            <w:tcW w:w="4596" w:type="dxa"/>
            <w:vMerge/>
            <w:tcBorders>
              <w:left w:val="single" w:sz="4" w:space="0" w:color="000000"/>
              <w:bottom w:val="single" w:sz="4" w:space="0" w:color="000000"/>
              <w:right w:val="single" w:sz="4" w:space="0" w:color="000000"/>
            </w:tcBorders>
          </w:tcPr>
          <w:p>
            <w:pPr/>
          </w:p>
        </w:tc>
        <w:tc>
          <w:tcPr>
            <w:tcW w:w="1508" w:type="dxa"/>
            <w:vMerge/>
            <w:tcBorders>
              <w:left w:val="single" w:sz="4" w:space="0" w:color="000000"/>
              <w:bottom w:val="single" w:sz="4" w:space="0" w:color="000000"/>
              <w:right w:val="single" w:sz="4" w:space="0" w:color="000000"/>
            </w:tcBorders>
          </w:tcPr>
          <w:p>
            <w:pPr/>
          </w:p>
        </w:tc>
      </w:tr>
    </w:tbl>
    <w:p>
      <w:pPr>
        <w:spacing w:after="0"/>
        <w:sectPr>
          <w:pgSz w:w="11910" w:h="16840"/>
          <w:pgMar w:header="851" w:footer="1187" w:top="1400" w:bottom="1380" w:left="1000" w:right="0"/>
        </w:sectPr>
      </w:pPr>
    </w:p>
    <w:tbl>
      <w:tblPr>
        <w:tblW w:w="0" w:type="auto"/>
        <w:jc w:val="left"/>
        <w:tblInd w:w="101" w:type="dxa"/>
        <w:tblLayout w:type="fixed"/>
        <w:tblCellMar>
          <w:top w:w="0" w:type="dxa"/>
          <w:left w:w="0" w:type="dxa"/>
          <w:bottom w:w="0" w:type="dxa"/>
          <w:right w:w="0" w:type="dxa"/>
        </w:tblCellMar>
        <w:tblLook w:val="01E0"/>
      </w:tblPr>
      <w:tblGrid>
        <w:gridCol w:w="2011"/>
        <w:gridCol w:w="1580"/>
        <w:gridCol w:w="4596"/>
        <w:gridCol w:w="1508"/>
      </w:tblGrid>
      <w:tr>
        <w:trPr>
          <w:trHeight w:val="2286" w:hRule="exact"/>
        </w:trPr>
        <w:tc>
          <w:tcPr>
            <w:tcW w:w="2011"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智享云平台</w:t>
            </w:r>
          </w:p>
        </w:tc>
        <w:tc>
          <w:tcPr>
            <w:tcW w:w="158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12,493,012.91</w:t>
            </w:r>
          </w:p>
        </w:tc>
        <w:tc>
          <w:tcPr>
            <w:tcW w:w="4596" w:type="dxa"/>
            <w:tcBorders>
              <w:top w:val="single" w:sz="10" w:space="0" w:color="000000"/>
              <w:left w:val="single" w:sz="4" w:space="0" w:color="000000"/>
              <w:bottom w:val="single" w:sz="4" w:space="0" w:color="000000"/>
              <w:right w:val="single" w:sz="4" w:space="0" w:color="000000"/>
            </w:tcBorders>
          </w:tcPr>
          <w:p>
            <w:pPr>
              <w:pStyle w:val="TableParagraph"/>
              <w:spacing w:line="312" w:lineRule="auto" w:before="52"/>
              <w:ind w:left="22" w:right="21"/>
              <w:jc w:val="both"/>
              <w:rPr>
                <w:rFonts w:ascii="宋体" w:hAnsi="宋体" w:cs="宋体" w:eastAsia="宋体" w:hint="default"/>
                <w:sz w:val="18"/>
                <w:szCs w:val="18"/>
              </w:rPr>
            </w:pPr>
            <w:r>
              <w:rPr>
                <w:rFonts w:ascii="宋体" w:hAnsi="宋体" w:cs="宋体" w:eastAsia="宋体" w:hint="default"/>
                <w:spacing w:val="-2"/>
                <w:sz w:val="18"/>
                <w:szCs w:val="18"/>
              </w:rPr>
              <w:t>本项目利用“数据</w:t>
            </w:r>
            <w:r>
              <w:rPr>
                <w:rFonts w:ascii="宋体" w:hAnsi="宋体" w:cs="宋体" w:eastAsia="宋体" w:hint="default"/>
                <w:spacing w:val="-2"/>
                <w:sz w:val="18"/>
                <w:szCs w:val="18"/>
              </w:rPr>
              <w:t>+</w:t>
            </w:r>
            <w:r>
              <w:rPr>
                <w:rFonts w:ascii="宋体" w:hAnsi="宋体" w:cs="宋体" w:eastAsia="宋体" w:hint="default"/>
                <w:spacing w:val="-2"/>
                <w:sz w:val="18"/>
                <w:szCs w:val="18"/>
              </w:rPr>
              <w:t>服务”，打造驱动业务创新的应用服务</w:t>
            </w:r>
            <w:r>
              <w:rPr>
                <w:rFonts w:ascii="宋体" w:hAnsi="宋体" w:cs="宋体" w:eastAsia="宋体" w:hint="default"/>
                <w:sz w:val="18"/>
                <w:szCs w:val="18"/>
              </w:rPr>
              <w:t> 融合共享云平台。通过</w:t>
            </w:r>
            <w:r>
              <w:rPr>
                <w:rFonts w:ascii="Times New Roman" w:hAnsi="Times New Roman" w:cs="Times New Roman" w:eastAsia="Times New Roman" w:hint="default"/>
                <w:sz w:val="18"/>
                <w:szCs w:val="18"/>
              </w:rPr>
              <w:t>“</w:t>
            </w:r>
            <w:r>
              <w:rPr>
                <w:rFonts w:ascii="宋体" w:hAnsi="宋体" w:cs="宋体" w:eastAsia="宋体" w:hint="default"/>
                <w:sz w:val="18"/>
                <w:szCs w:val="18"/>
              </w:rPr>
              <w:t>业务共建、数据共享、生态共赢</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pacing w:val="-2"/>
                <w:sz w:val="18"/>
                <w:szCs w:val="18"/>
              </w:rPr>
              <w:t>的</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人工智能</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大数据</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应用产品生态的创建，以原子服务为</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基础，无缝实现原有系统资源的高效拆分、服务的注册， 统一管理与调度、新系统与新应用的灵活组合搭建，提供 数据、信息的共享，方便、安全、高效地快速实现业务创 新。</w:t>
            </w:r>
          </w:p>
        </w:tc>
        <w:tc>
          <w:tcPr>
            <w:tcW w:w="150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2898" w:hRule="exact"/>
        </w:trPr>
        <w:tc>
          <w:tcPr>
            <w:tcW w:w="20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8"/>
              <w:ind w:left="22" w:right="0"/>
              <w:jc w:val="left"/>
              <w:rPr>
                <w:rFonts w:ascii="宋体" w:hAnsi="宋体" w:cs="宋体" w:eastAsia="宋体" w:hint="default"/>
                <w:sz w:val="18"/>
                <w:szCs w:val="18"/>
              </w:rPr>
            </w:pPr>
            <w:r>
              <w:rPr>
                <w:rFonts w:ascii="宋体" w:hAnsi="宋体" w:cs="宋体" w:eastAsia="宋体" w:hint="default"/>
                <w:sz w:val="18"/>
                <w:szCs w:val="18"/>
              </w:rPr>
              <w:t>智能警务合成作战平台</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right="20"/>
              <w:jc w:val="right"/>
              <w:rPr>
                <w:rFonts w:ascii="Times New Roman" w:hAnsi="Times New Roman" w:cs="Times New Roman" w:eastAsia="Times New Roman" w:hint="default"/>
                <w:sz w:val="18"/>
                <w:szCs w:val="18"/>
              </w:rPr>
            </w:pPr>
            <w:r>
              <w:rPr>
                <w:rFonts w:ascii="Times New Roman"/>
                <w:spacing w:val="-1"/>
                <w:sz w:val="18"/>
              </w:rPr>
              <w:t>4,094,931.29</w:t>
            </w:r>
          </w:p>
        </w:tc>
        <w:tc>
          <w:tcPr>
            <w:tcW w:w="45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7"/>
              <w:ind w:left="22" w:right="61"/>
              <w:jc w:val="left"/>
              <w:rPr>
                <w:rFonts w:ascii="宋体" w:hAnsi="宋体" w:cs="宋体" w:eastAsia="宋体" w:hint="default"/>
                <w:sz w:val="18"/>
                <w:szCs w:val="18"/>
              </w:rPr>
            </w:pPr>
            <w:r>
              <w:rPr>
                <w:rFonts w:ascii="宋体" w:hAnsi="宋体" w:cs="宋体" w:eastAsia="宋体" w:hint="default"/>
                <w:sz w:val="18"/>
                <w:szCs w:val="18"/>
              </w:rPr>
              <w:t>本平台利用各个警种合成作战工作流的智能化管理功能， 依托类案研判、案源层报、侦查指令、合成侦办流程为业 务主线，实现以情报分析、刑侦打击为主的扁平化指挥， 跨警种、多部门快速协同侦办的效果。推动多次研判流转 指令和审批、查询、反馈，高效通讯提醒等</w:t>
            </w:r>
            <w:r>
              <w:rPr>
                <w:rFonts w:ascii="Times New Roman" w:hAnsi="Times New Roman" w:cs="Times New Roman" w:eastAsia="Times New Roman" w:hint="default"/>
                <w:sz w:val="18"/>
                <w:szCs w:val="18"/>
              </w:rPr>
              <w:t>“</w:t>
            </w:r>
            <w:r>
              <w:rPr>
                <w:rFonts w:ascii="宋体" w:hAnsi="宋体" w:cs="宋体" w:eastAsia="宋体" w:hint="default"/>
                <w:sz w:val="18"/>
                <w:szCs w:val="18"/>
              </w:rPr>
              <w:t>一体化</w:t>
            </w:r>
            <w:r>
              <w:rPr>
                <w:rFonts w:ascii="Times New Roman" w:hAnsi="Times New Roman" w:cs="Times New Roman" w:eastAsia="Times New Roman" w:hint="default"/>
                <w:sz w:val="18"/>
                <w:szCs w:val="18"/>
              </w:rPr>
              <w:t>”</w:t>
            </w:r>
            <w:r>
              <w:rPr>
                <w:rFonts w:ascii="宋体" w:hAnsi="宋体" w:cs="宋体" w:eastAsia="宋体" w:hint="default"/>
                <w:sz w:val="18"/>
                <w:szCs w:val="18"/>
              </w:rPr>
              <w:t>应用 实战平台。可完成市、县多级之间的案件信息层报、侦办 指令流转、任务结果快速反馈、 提升市县多级刑侦部门联动联查的工作效能，发挥指挥督 导作用，提高对系列性犯罪的打击效率。</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8"/>
              <w:ind w:left="24"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1026" w:hRule="exact"/>
        </w:trPr>
        <w:tc>
          <w:tcPr>
            <w:tcW w:w="20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Nu-WiFi</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无线通信系统</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10,526,389.31</w:t>
            </w:r>
          </w:p>
        </w:tc>
        <w:tc>
          <w:tcPr>
            <w:tcW w:w="45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6"/>
              <w:ind w:left="22" w:right="-34"/>
              <w:jc w:val="left"/>
              <w:rPr>
                <w:rFonts w:ascii="宋体" w:hAnsi="宋体" w:cs="宋体" w:eastAsia="宋体" w:hint="default"/>
                <w:sz w:val="18"/>
                <w:szCs w:val="18"/>
              </w:rPr>
            </w:pPr>
            <w:r>
              <w:rPr>
                <w:rFonts w:ascii="宋体" w:hAnsi="宋体" w:cs="宋体" w:eastAsia="宋体" w:hint="default"/>
                <w:sz w:val="18"/>
                <w:szCs w:val="18"/>
              </w:rPr>
              <w:t>本项目将会建设一套专门适配核电行业需求的集语音通 </w:t>
            </w:r>
            <w:r>
              <w:rPr>
                <w:rFonts w:ascii="宋体" w:hAnsi="宋体" w:cs="宋体" w:eastAsia="宋体" w:hint="default"/>
                <w:spacing w:val="-4"/>
                <w:sz w:val="18"/>
                <w:szCs w:val="18"/>
              </w:rPr>
              <w:t>信、精确定位、宽带数据接入、物联网数据接入于一体的、</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综合性的</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Nu-WiFi</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无线通信系统。</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left="24"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1962" w:hRule="exact"/>
        </w:trPr>
        <w:tc>
          <w:tcPr>
            <w:tcW w:w="20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319" w:lineRule="auto"/>
              <w:ind w:left="22" w:right="176"/>
              <w:jc w:val="left"/>
              <w:rPr>
                <w:rFonts w:ascii="宋体" w:hAnsi="宋体" w:cs="宋体" w:eastAsia="宋体" w:hint="default"/>
                <w:sz w:val="18"/>
                <w:szCs w:val="18"/>
              </w:rPr>
            </w:pPr>
            <w:r>
              <w:rPr>
                <w:rFonts w:ascii="宋体" w:hAnsi="宋体" w:cs="宋体" w:eastAsia="宋体" w:hint="default"/>
                <w:sz w:val="18"/>
                <w:szCs w:val="18"/>
              </w:rPr>
              <w:t>城市管廊安防通信一体 化系统</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0"/>
              <w:ind w:right="20"/>
              <w:jc w:val="right"/>
              <w:rPr>
                <w:rFonts w:ascii="Times New Roman" w:hAnsi="Times New Roman" w:cs="Times New Roman" w:eastAsia="Times New Roman" w:hint="default"/>
                <w:sz w:val="18"/>
                <w:szCs w:val="18"/>
              </w:rPr>
            </w:pPr>
            <w:r>
              <w:rPr>
                <w:rFonts w:ascii="Times New Roman"/>
                <w:spacing w:val="-1"/>
                <w:sz w:val="18"/>
              </w:rPr>
              <w:t>5,124,842.35</w:t>
            </w:r>
          </w:p>
        </w:tc>
        <w:tc>
          <w:tcPr>
            <w:tcW w:w="459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6"/>
              <w:ind w:left="22" w:right="22"/>
              <w:jc w:val="left"/>
              <w:rPr>
                <w:rFonts w:ascii="宋体" w:hAnsi="宋体" w:cs="宋体" w:eastAsia="宋体" w:hint="default"/>
                <w:sz w:val="18"/>
                <w:szCs w:val="18"/>
              </w:rPr>
            </w:pPr>
            <w:r>
              <w:rPr>
                <w:rFonts w:ascii="宋体" w:hAnsi="宋体" w:cs="宋体" w:eastAsia="宋体" w:hint="default"/>
                <w:spacing w:val="-3"/>
                <w:sz w:val="18"/>
                <w:szCs w:val="18"/>
              </w:rPr>
              <w:t>本项目将会实现城市管廊安防通信一体化系统，包括安防</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3"/>
                <w:sz w:val="18"/>
                <w:szCs w:val="18"/>
              </w:rPr>
              <w:t>通信、物联、管理四大业务功能。</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能够展现各基础功能，并可完成系统调试和运维工作。系 统提供</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OpenAPI</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接口，可集成到用户统一平台，为用户平 台提供设备信息，入侵报警，人员定位等基础数据，用户 根据使用场景开发独特应用。</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780" w:lineRule="exact"/>
              <w:ind w:right="-51"/>
              <w:jc w:val="left"/>
              <w:rPr>
                <w:rFonts w:ascii="宋体" w:hAnsi="宋体" w:cs="宋体" w:eastAsia="宋体" w:hint="default"/>
                <w:sz w:val="20"/>
                <w:szCs w:val="20"/>
              </w:rPr>
            </w:pPr>
            <w:r>
              <w:rPr>
                <w:rFonts w:ascii="宋体" w:hAnsi="宋体" w:cs="宋体" w:eastAsia="宋体" w:hint="default"/>
                <w:position w:val="-15"/>
                <w:sz w:val="20"/>
                <w:szCs w:val="20"/>
              </w:rPr>
              <w:pict>
                <v:group style="width:74.95pt;height:39.050pt;mso-position-horizontal-relative:char;mso-position-vertical-relative:line" coordorigin="0,0" coordsize="1499,781">
                  <v:group style="position:absolute;left:0;top:0;width:1499;height:781" coordorigin="0,0" coordsize="1499,781">
                    <v:shape style="position:absolute;left:0;top:0;width:1499;height:781" coordorigin="0,0" coordsize="1499,781" path="m0,780l1499,780,1499,0,0,0,0,780xe" filled="true" fillcolor="#ffffff" stroked="false">
                      <v:path arrowok="t"/>
                      <v:fill type="solid"/>
                    </v:shape>
                  </v:group>
                </v:group>
              </w:pict>
            </w:r>
            <w:r>
              <w:rPr>
                <w:rFonts w:ascii="宋体" w:hAnsi="宋体" w:cs="宋体" w:eastAsia="宋体" w:hint="default"/>
                <w:position w:val="-15"/>
                <w:sz w:val="20"/>
                <w:szCs w:val="20"/>
              </w:rPr>
            </w:r>
          </w:p>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1650" w:hRule="exact"/>
        </w:trPr>
        <w:tc>
          <w:tcPr>
            <w:tcW w:w="20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智慧墙入侵检测系统</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5,151,461.63</w:t>
            </w:r>
          </w:p>
        </w:tc>
        <w:tc>
          <w:tcPr>
            <w:tcW w:w="45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6"/>
              <w:ind w:left="22" w:right="61"/>
              <w:jc w:val="both"/>
              <w:rPr>
                <w:rFonts w:ascii="宋体" w:hAnsi="宋体" w:cs="宋体" w:eastAsia="宋体" w:hint="default"/>
                <w:sz w:val="18"/>
                <w:szCs w:val="18"/>
              </w:rPr>
            </w:pPr>
            <w:r>
              <w:rPr>
                <w:rFonts w:ascii="宋体" w:hAnsi="宋体" w:cs="宋体" w:eastAsia="宋体" w:hint="default"/>
                <w:sz w:val="18"/>
                <w:szCs w:val="18"/>
              </w:rPr>
              <w:t>本系统利用人工智能技术，通过样本的采集和训练，使系 统可以更好的适应各种复杂环境，并可以针对特定的场景 进行定制化分析和警戒。也能更好的排除自然天气、信号 干扰等因素对于系统的影响，使系统可以简单、有效、稳 定的运行，从而大大减少运维期间的成本。</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1650" w:hRule="exact"/>
        </w:trPr>
        <w:tc>
          <w:tcPr>
            <w:tcW w:w="20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319" w:lineRule="auto"/>
              <w:ind w:left="22" w:right="176"/>
              <w:jc w:val="left"/>
              <w:rPr>
                <w:rFonts w:ascii="宋体" w:hAnsi="宋体" w:cs="宋体" w:eastAsia="宋体" w:hint="default"/>
                <w:sz w:val="18"/>
                <w:szCs w:val="18"/>
              </w:rPr>
            </w:pPr>
            <w:r>
              <w:rPr>
                <w:rFonts w:ascii="宋体" w:hAnsi="宋体" w:cs="宋体" w:eastAsia="宋体" w:hint="default"/>
                <w:sz w:val="18"/>
                <w:szCs w:val="18"/>
              </w:rPr>
              <w:t>神州泰岳自动化持续交 付平台</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8,900,145.66</w:t>
            </w:r>
          </w:p>
        </w:tc>
        <w:tc>
          <w:tcPr>
            <w:tcW w:w="4596"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6"/>
              <w:ind w:left="22" w:right="20"/>
              <w:jc w:val="both"/>
              <w:rPr>
                <w:rFonts w:ascii="宋体" w:hAnsi="宋体" w:cs="宋体" w:eastAsia="宋体" w:hint="default"/>
                <w:sz w:val="18"/>
                <w:szCs w:val="18"/>
              </w:rPr>
            </w:pPr>
            <w:r>
              <w:rPr>
                <w:rFonts w:ascii="宋体" w:hAnsi="宋体" w:cs="宋体" w:eastAsia="宋体" w:hint="default"/>
                <w:sz w:val="18"/>
                <w:szCs w:val="18"/>
              </w:rPr>
              <w:t>本项目将会引入</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devops</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理念，完善全生命周期（开发、编 </w:t>
            </w:r>
            <w:r>
              <w:rPr>
                <w:rFonts w:ascii="宋体" w:hAnsi="宋体" w:cs="宋体" w:eastAsia="宋体" w:hint="default"/>
                <w:spacing w:val="-3"/>
                <w:sz w:val="18"/>
                <w:szCs w:val="18"/>
              </w:rPr>
              <w:t>译、构建、测试、打包、发布、配置、监控等）的</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DevOps</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的工具链，实现高效的编译部署、持续的集成交付、自动 的测试审查， </w:t>
            </w:r>
            <w:r>
              <w:rPr>
                <w:rFonts w:ascii="宋体" w:hAnsi="宋体" w:cs="宋体" w:eastAsia="宋体" w:hint="default"/>
                <w:spacing w:val="-3"/>
                <w:sz w:val="18"/>
                <w:szCs w:val="18"/>
              </w:rPr>
              <w:t>打造从代码开发、编译构建、系统测试、上</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线发布的全流程持续交付平台。</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2274" w:hRule="exact"/>
        </w:trPr>
        <w:tc>
          <w:tcPr>
            <w:tcW w:w="20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应用性能管理系统</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10,282,964.17</w:t>
            </w:r>
          </w:p>
        </w:tc>
        <w:tc>
          <w:tcPr>
            <w:tcW w:w="459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46"/>
              <w:ind w:left="22" w:right="21"/>
              <w:jc w:val="both"/>
              <w:rPr>
                <w:rFonts w:ascii="宋体" w:hAnsi="宋体" w:cs="宋体" w:eastAsia="宋体" w:hint="default"/>
                <w:sz w:val="18"/>
                <w:szCs w:val="18"/>
              </w:rPr>
            </w:pPr>
            <w:r>
              <w:rPr>
                <w:rFonts w:ascii="宋体" w:hAnsi="宋体" w:cs="宋体" w:eastAsia="宋体" w:hint="default"/>
                <w:spacing w:val="-3"/>
                <w:sz w:val="18"/>
                <w:szCs w:val="18"/>
              </w:rPr>
              <w:t>该项目可以提供完善的告警机制，降低</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IT</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管理人员的管理 被动性，将管理人员从网管监控界面前解放出来；拥有代 码级别的应用性能诊断和故障定位功能，帮助用户实现从 代码类到数据库语句整条交易链的快速性能诊断；可以自 动发现应用交易拓扑，方便用户对事务进行追踪和快速追 溯性能瓶颈；进行有据可依的</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IT</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运营决策分析，帮助用户 及时了解应用系统的各种异常波动。</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已经结项</w:t>
            </w:r>
          </w:p>
        </w:tc>
      </w:tr>
    </w:tbl>
    <w:p>
      <w:pPr>
        <w:rPr>
          <w:sz w:val="2"/>
          <w:szCs w:val="2"/>
        </w:rPr>
      </w:pPr>
      <w:r>
        <w:rPr/>
        <w:pict>
          <v:shape style="position:absolute;margin-left:359.720001pt;margin-top:269.359985pt;width:180.1pt;height:62.4pt;mso-position-horizontal-relative:page;mso-position-vertical-relative:page;z-index:-1077496" type="#_x0000_t202" filled="false" stroked="false">
            <v:textbox inset="0,0,0,0">
              <w:txbxContent>
                <w:p>
                  <w:pPr>
                    <w:spacing w:line="240" w:lineRule="auto" w:before="8"/>
                    <w:rPr>
                      <w:rFonts w:ascii="宋体" w:hAnsi="宋体" w:cs="宋体" w:eastAsia="宋体" w:hint="default"/>
                      <w:sz w:val="21"/>
                      <w:szCs w:val="21"/>
                    </w:rPr>
                  </w:pPr>
                </w:p>
                <w:p>
                  <w:pPr>
                    <w:pStyle w:val="BodyText"/>
                    <w:spacing w:line="240" w:lineRule="auto"/>
                    <w:ind w:left="0" w:right="0"/>
                    <w:jc w:val="left"/>
                  </w:pPr>
                  <w:r>
                    <w:rPr/>
                    <w:t>上下联合指挥打击等工作，</w:t>
                  </w:r>
                </w:p>
              </w:txbxContent>
            </v:textbox>
            <w10:wrap type="none"/>
          </v:shape>
        </w:pict>
      </w:r>
      <w:r>
        <w:rPr/>
        <w:pict>
          <v:shape style="position:absolute;margin-left:368.729004pt;margin-top:383.539978pt;width:171.1pt;height:39.050pt;mso-position-horizontal-relative:page;mso-position-vertical-relative:page;z-index:-1077472" type="#_x0000_t202" filled="false" stroked="false">
            <v:textbox inset="0,0,0,0">
              <w:txbxContent>
                <w:p>
                  <w:pPr>
                    <w:pStyle w:val="BodyText"/>
                    <w:spacing w:line="316" w:lineRule="auto" w:before="51"/>
                    <w:ind w:left="0" w:right="1439" w:firstLine="1799"/>
                    <w:jc w:val="left"/>
                  </w:pPr>
                  <w:r>
                    <w:rPr/>
                    <w:t>、 系统提供基础展示平台，</w:t>
                  </w:r>
                </w:p>
              </w:txbxContent>
            </v:textbox>
            <w10:wrap type="none"/>
          </v:shape>
        </w:pict>
      </w:r>
      <w:r>
        <w:rPr/>
        <w:pict>
          <v:group style="position:absolute;margin-left:464.880005pt;margin-top:269.359985pt;width:74.95pt;height:62.4pt;mso-position-horizontal-relative:page;mso-position-vertical-relative:page;z-index:-1077448" coordorigin="9298,5387" coordsize="1499,1248">
            <v:shape style="position:absolute;left:9298;top:5387;width:1499;height:1248" coordorigin="9298,5387" coordsize="1499,1248" path="m9298,6635l10796,6635,10796,5387,9298,5387,9298,6635xe" filled="true" fillcolor="#ffffff" stroked="false">
              <v:path arrowok="t"/>
              <v:fill type="solid"/>
            </v:shape>
            <w10:wrap type="none"/>
          </v:group>
        </w:pict>
      </w:r>
      <w:r>
        <w:rPr/>
        <w:pict>
          <v:group style="position:absolute;margin-left:464.880005pt;margin-top:347.23999pt;width:73.8pt;height:20.85pt;mso-position-horizontal-relative:page;mso-position-vertical-relative:page;z-index:-1077424" coordorigin="9298,6945" coordsize="1476,417">
            <v:group style="position:absolute;left:9310;top:6957;width:2;height:393" coordorigin="9310,6957" coordsize="2,393">
              <v:shape style="position:absolute;left:9310;top:6957;width:2;height:393" coordorigin="9310,6957" coordsize="0,393" path="m9310,6957l9310,7349e" filled="false" stroked="true" strokeweight="1.2pt" strokecolor="#ffffff">
                <v:path arrowok="t"/>
              </v:shape>
            </v:group>
            <v:group style="position:absolute;left:9322;top:6957;width:1452;height:393" coordorigin="9322,6957" coordsize="1452,393">
              <v:shape style="position:absolute;left:9322;top:6957;width:1452;height:393" coordorigin="9322,6957" coordsize="1452,393" path="m9322,7349l10774,7349,10774,6957,9322,6957,9322,7349xe" filled="true" fillcolor="#ffffff" stroked="false">
                <v:path arrowok="t"/>
                <v:fill type="solid"/>
              </v:shape>
            </v:group>
            <w10:wrap type="none"/>
          </v:group>
        </w:pict>
      </w:r>
    </w:p>
    <w:p>
      <w:pPr>
        <w:spacing w:after="0"/>
        <w:rPr>
          <w:sz w:val="2"/>
          <w:szCs w:val="2"/>
        </w:rPr>
        <w:sectPr>
          <w:pgSz w:w="11910" w:h="16840"/>
          <w:pgMar w:header="851" w:footer="1187" w:top="1440" w:bottom="1380" w:left="1000" w:right="0"/>
        </w:sectPr>
      </w:pPr>
    </w:p>
    <w:p>
      <w:pPr>
        <w:spacing w:line="240" w:lineRule="auto" w:before="3"/>
        <w:rPr>
          <w:rFonts w:ascii="宋体" w:hAnsi="宋体" w:cs="宋体" w:eastAsia="宋体" w:hint="default"/>
          <w:sz w:val="3"/>
          <w:szCs w:val="3"/>
        </w:rPr>
      </w:pPr>
    </w:p>
    <w:tbl>
      <w:tblPr>
        <w:tblW w:w="0" w:type="auto"/>
        <w:jc w:val="left"/>
        <w:tblInd w:w="101" w:type="dxa"/>
        <w:tblLayout w:type="fixed"/>
        <w:tblCellMar>
          <w:top w:w="0" w:type="dxa"/>
          <w:left w:w="0" w:type="dxa"/>
          <w:bottom w:w="0" w:type="dxa"/>
          <w:right w:w="0" w:type="dxa"/>
        </w:tblCellMar>
        <w:tblLook w:val="01E0"/>
      </w:tblPr>
      <w:tblGrid>
        <w:gridCol w:w="2011"/>
        <w:gridCol w:w="1580"/>
        <w:gridCol w:w="4596"/>
        <w:gridCol w:w="1508"/>
      </w:tblGrid>
      <w:tr>
        <w:trPr>
          <w:trHeight w:val="1038" w:hRule="exact"/>
        </w:trPr>
        <w:tc>
          <w:tcPr>
            <w:tcW w:w="2011"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6"/>
                <w:szCs w:val="16"/>
              </w:rPr>
            </w:pPr>
          </w:p>
          <w:p>
            <w:pPr>
              <w:pStyle w:val="TableParagraph"/>
              <w:spacing w:line="316" w:lineRule="auto"/>
              <w:ind w:left="22" w:right="176"/>
              <w:jc w:val="left"/>
              <w:rPr>
                <w:rFonts w:ascii="宋体" w:hAnsi="宋体" w:cs="宋体" w:eastAsia="宋体" w:hint="default"/>
                <w:sz w:val="18"/>
                <w:szCs w:val="18"/>
              </w:rPr>
            </w:pPr>
            <w:r>
              <w:rPr>
                <w:rFonts w:ascii="宋体" w:hAnsi="宋体" w:cs="宋体" w:eastAsia="宋体" w:hint="default"/>
                <w:sz w:val="18"/>
                <w:szCs w:val="18"/>
              </w:rPr>
              <w:t>企业融合通信中间件平 台</w:t>
            </w:r>
          </w:p>
        </w:tc>
        <w:tc>
          <w:tcPr>
            <w:tcW w:w="158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2,705,251.16</w:t>
            </w:r>
          </w:p>
        </w:tc>
        <w:tc>
          <w:tcPr>
            <w:tcW w:w="4596" w:type="dxa"/>
            <w:tcBorders>
              <w:top w:val="single" w:sz="10" w:space="0" w:color="000000"/>
              <w:left w:val="single" w:sz="4" w:space="0" w:color="000000"/>
              <w:bottom w:val="single" w:sz="4" w:space="0" w:color="000000"/>
              <w:right w:val="single" w:sz="4" w:space="0" w:color="000000"/>
            </w:tcBorders>
          </w:tcPr>
          <w:p>
            <w:pPr>
              <w:pStyle w:val="TableParagraph"/>
              <w:spacing w:line="316" w:lineRule="auto" w:before="57"/>
              <w:ind w:left="22" w:right="61"/>
              <w:jc w:val="both"/>
              <w:rPr>
                <w:rFonts w:ascii="宋体" w:hAnsi="宋体" w:cs="宋体" w:eastAsia="宋体" w:hint="default"/>
                <w:sz w:val="18"/>
                <w:szCs w:val="18"/>
              </w:rPr>
            </w:pPr>
            <w:r>
              <w:rPr>
                <w:rFonts w:ascii="宋体" w:hAnsi="宋体" w:cs="宋体" w:eastAsia="宋体" w:hint="default"/>
                <w:sz w:val="18"/>
                <w:szCs w:val="18"/>
              </w:rPr>
              <w:t>本项目计划整合所有业务通信能力的富客户端业务，同时 为终端用户提供强大的、具有新通话、新联系的基于移动 互联网的通讯交流能力。</w:t>
            </w:r>
          </w:p>
        </w:tc>
        <w:tc>
          <w:tcPr>
            <w:tcW w:w="150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4"/>
              <w:ind w:left="24"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714" w:hRule="exact"/>
        </w:trPr>
        <w:tc>
          <w:tcPr>
            <w:tcW w:w="20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22" w:right="35"/>
              <w:jc w:val="left"/>
              <w:rPr>
                <w:rFonts w:ascii="Times New Roman" w:hAnsi="Times New Roman" w:cs="Times New Roman" w:eastAsia="Times New Roman" w:hint="default"/>
                <w:sz w:val="18"/>
                <w:szCs w:val="18"/>
              </w:rPr>
            </w:pPr>
            <w:r>
              <w:rPr>
                <w:rFonts w:ascii="宋体" w:hAnsi="宋体" w:cs="宋体" w:eastAsia="宋体" w:hint="default"/>
                <w:sz w:val="18"/>
                <w:szCs w:val="18"/>
              </w:rPr>
              <w:t>泰坦王座</w:t>
            </w:r>
            <w:r>
              <w:rPr>
                <w:rFonts w:ascii="Times New Roman" w:hAnsi="Times New Roman" w:cs="Times New Roman" w:eastAsia="Times New Roman" w:hint="default"/>
                <w:sz w:val="18"/>
                <w:szCs w:val="18"/>
              </w:rPr>
              <w:t>(Titan Throne</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手 游项目</w:t>
            </w:r>
            <w:r>
              <w:rPr>
                <w:rFonts w:ascii="Times New Roman" w:hAnsi="Times New Roman" w:cs="Times New Roman" w:eastAsia="Times New Roman" w:hint="default"/>
                <w:sz w:val="18"/>
                <w:szCs w:val="18"/>
              </w:rPr>
              <w:t>)</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7,799,402.01</w:t>
            </w:r>
          </w:p>
        </w:tc>
        <w:tc>
          <w:tcPr>
            <w:tcW w:w="45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22" w:right="61"/>
              <w:jc w:val="left"/>
              <w:rPr>
                <w:rFonts w:ascii="宋体" w:hAnsi="宋体" w:cs="宋体" w:eastAsia="宋体" w:hint="default"/>
                <w:sz w:val="18"/>
                <w:szCs w:val="18"/>
              </w:rPr>
            </w:pPr>
            <w:r>
              <w:rPr>
                <w:rFonts w:ascii="宋体" w:hAnsi="宋体" w:cs="宋体" w:eastAsia="宋体" w:hint="default"/>
                <w:sz w:val="18"/>
                <w:szCs w:val="18"/>
              </w:rPr>
              <w:t>把实时的战斗表现加入到产品当中，创造出更生动更丰富 的游戏趣味性，带来更好的游戏体验。</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1026" w:hRule="exact"/>
        </w:trPr>
        <w:tc>
          <w:tcPr>
            <w:tcW w:w="20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00" w:lineRule="auto"/>
              <w:ind w:left="22" w:right="35"/>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Z </w:t>
            </w:r>
            <w:r>
              <w:rPr>
                <w:rFonts w:ascii="宋体" w:hAnsi="宋体" w:cs="宋体" w:eastAsia="宋体" w:hint="default"/>
                <w:sz w:val="18"/>
                <w:szCs w:val="18"/>
              </w:rPr>
              <w:t>纪元</w:t>
            </w:r>
            <w:r>
              <w:rPr>
                <w:rFonts w:ascii="Times New Roman" w:hAnsi="Times New Roman" w:cs="Times New Roman" w:eastAsia="Times New Roman" w:hint="default"/>
                <w:sz w:val="18"/>
                <w:szCs w:val="18"/>
              </w:rPr>
              <w:t>(Doomsday</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手游项 目</w:t>
            </w:r>
            <w:r>
              <w:rPr>
                <w:rFonts w:ascii="Times New Roman" w:hAnsi="Times New Roman" w:cs="Times New Roman" w:eastAsia="Times New Roman" w:hint="default"/>
                <w:sz w:val="18"/>
                <w:szCs w:val="18"/>
              </w:rPr>
              <w:t>)</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14,167,760.23</w:t>
            </w:r>
          </w:p>
        </w:tc>
        <w:tc>
          <w:tcPr>
            <w:tcW w:w="4596"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21"/>
              <w:jc w:val="both"/>
              <w:rPr>
                <w:rFonts w:ascii="宋体" w:hAnsi="宋体" w:cs="宋体" w:eastAsia="宋体" w:hint="default"/>
                <w:sz w:val="18"/>
                <w:szCs w:val="18"/>
              </w:rPr>
            </w:pPr>
            <w:r>
              <w:rPr>
                <w:rFonts w:ascii="宋体" w:hAnsi="宋体" w:cs="宋体" w:eastAsia="宋体" w:hint="default"/>
                <w:sz w:val="18"/>
                <w:szCs w:val="18"/>
              </w:rPr>
              <w:t>游戏采用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Unity3D </w:t>
            </w:r>
            <w:r>
              <w:rPr>
                <w:rFonts w:ascii="宋体" w:hAnsi="宋体" w:cs="宋体" w:eastAsia="宋体" w:hint="default"/>
                <w:spacing w:val="-3"/>
                <w:sz w:val="18"/>
                <w:szCs w:val="18"/>
              </w:rPr>
              <w:t>引擎进行开发，通过大量的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SLG </w:t>
            </w:r>
            <w:r>
              <w:rPr>
                <w:rFonts w:ascii="宋体" w:hAnsi="宋体" w:cs="宋体" w:eastAsia="宋体" w:hint="default"/>
                <w:sz w:val="18"/>
                <w:szCs w:val="18"/>
              </w:rPr>
              <w:t>经验积 </w:t>
            </w:r>
            <w:r>
              <w:rPr>
                <w:rFonts w:ascii="宋体" w:hAnsi="宋体" w:cs="宋体" w:eastAsia="宋体" w:hint="default"/>
                <w:spacing w:val="-7"/>
                <w:sz w:val="18"/>
                <w:szCs w:val="18"/>
              </w:rPr>
              <w:t>累，对当前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SLG </w:t>
            </w:r>
            <w:r>
              <w:rPr>
                <w:rFonts w:ascii="宋体" w:hAnsi="宋体" w:cs="宋体" w:eastAsia="宋体" w:hint="default"/>
                <w:sz w:val="18"/>
                <w:szCs w:val="18"/>
              </w:rPr>
              <w:t>类项目的可优化点进行分析设计与不断推 敲，最终成立的具有足够市场竞争力的项目。</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4" w:right="0"/>
              <w:jc w:val="left"/>
              <w:rPr>
                <w:rFonts w:ascii="宋体" w:hAnsi="宋体" w:cs="宋体" w:eastAsia="宋体" w:hint="default"/>
                <w:sz w:val="18"/>
                <w:szCs w:val="18"/>
              </w:rPr>
            </w:pPr>
            <w:r>
              <w:rPr>
                <w:rFonts w:ascii="宋体" w:hAnsi="宋体" w:cs="宋体" w:eastAsia="宋体" w:hint="default"/>
                <w:sz w:val="18"/>
                <w:szCs w:val="18"/>
              </w:rPr>
              <w:t>已经结项</w:t>
            </w:r>
          </w:p>
        </w:tc>
      </w:tr>
      <w:tr>
        <w:trPr>
          <w:trHeight w:val="714" w:hRule="exact"/>
        </w:trPr>
        <w:tc>
          <w:tcPr>
            <w:tcW w:w="20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odyssey</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手游项目</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7,485,371.07</w:t>
            </w:r>
          </w:p>
        </w:tc>
        <w:tc>
          <w:tcPr>
            <w:tcW w:w="4596"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60"/>
              <w:jc w:val="left"/>
              <w:rPr>
                <w:rFonts w:ascii="宋体" w:hAnsi="宋体" w:cs="宋体" w:eastAsia="宋体" w:hint="default"/>
                <w:sz w:val="18"/>
                <w:szCs w:val="18"/>
              </w:rPr>
            </w:pPr>
            <w:r>
              <w:rPr>
                <w:rFonts w:ascii="宋体" w:hAnsi="宋体" w:cs="宋体" w:eastAsia="宋体" w:hint="default"/>
                <w:sz w:val="18"/>
                <w:szCs w:val="18"/>
              </w:rPr>
              <w:t>游戏采用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Unity3D</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引擎进行开发，立足科幻题材，打造符 合世界观和公司传统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SLG</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架构的创新型</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SLG</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产品。</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正在研发中，预计</w:t>
            </w:r>
          </w:p>
          <w:p>
            <w:pPr>
              <w:pStyle w:val="TableParagraph"/>
              <w:spacing w:line="240" w:lineRule="auto" w:before="76"/>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月结项</w:t>
            </w:r>
          </w:p>
        </w:tc>
      </w:tr>
      <w:tr>
        <w:trPr>
          <w:trHeight w:val="1650" w:hRule="exact"/>
        </w:trPr>
        <w:tc>
          <w:tcPr>
            <w:tcW w:w="20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AI</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安全云平台</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3,441,818.42</w:t>
            </w:r>
          </w:p>
        </w:tc>
        <w:tc>
          <w:tcPr>
            <w:tcW w:w="45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61"/>
              <w:jc w:val="both"/>
              <w:rPr>
                <w:rFonts w:ascii="宋体" w:hAnsi="宋体" w:cs="宋体" w:eastAsia="宋体" w:hint="default"/>
                <w:sz w:val="18"/>
                <w:szCs w:val="18"/>
              </w:rPr>
            </w:pPr>
            <w:r>
              <w:rPr>
                <w:rFonts w:ascii="宋体" w:hAnsi="宋体" w:cs="宋体" w:eastAsia="宋体" w:hint="default"/>
                <w:sz w:val="18"/>
                <w:szCs w:val="18"/>
              </w:rPr>
              <w:t>本平台是基于对人工智能认知技术、语音处理安全技术、 图像处理安全技术、自然语言理解安全技术、人工智能算 法安全技术、网络安全技术、智能产品安全技术等核心技 术的深入研究，自主研发出针对职业院校的人工智能安全 实训平台。</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月结项</w:t>
            </w:r>
          </w:p>
        </w:tc>
      </w:tr>
    </w:tbl>
    <w:p>
      <w:pPr>
        <w:spacing w:line="477" w:lineRule="auto" w:before="88"/>
        <w:ind w:left="134" w:right="2112" w:firstLine="0"/>
        <w:jc w:val="left"/>
        <w:rPr>
          <w:rFonts w:ascii="宋体" w:hAnsi="宋体" w:cs="宋体" w:eastAsia="宋体" w:hint="default"/>
          <w:sz w:val="18"/>
          <w:szCs w:val="18"/>
        </w:rPr>
      </w:pPr>
      <w:r>
        <w:rPr>
          <w:rFonts w:ascii="宋体" w:hAnsi="宋体" w:cs="宋体" w:eastAsia="宋体" w:hint="default"/>
          <w:b/>
          <w:bCs/>
          <w:sz w:val="18"/>
          <w:szCs w:val="18"/>
        </w:rPr>
        <w:t>公司研发投入资本化的依据及相关内控制度的内容和执行情况：</w:t>
      </w:r>
      <w:r>
        <w:rPr>
          <w:rFonts w:ascii="宋体" w:hAnsi="宋体" w:cs="宋体" w:eastAsia="宋体" w:hint="default"/>
          <w:b/>
          <w:bCs/>
          <w:w w:val="99"/>
          <w:sz w:val="18"/>
          <w:szCs w:val="18"/>
        </w:rPr>
        <w:t> </w:t>
      </w:r>
      <w:r>
        <w:rPr>
          <w:rFonts w:ascii="宋体" w:hAnsi="宋体" w:cs="宋体" w:eastAsia="宋体" w:hint="default"/>
          <w:sz w:val="18"/>
          <w:szCs w:val="18"/>
        </w:rPr>
        <w:t>公司内部研究开发项目的支出分为研究阶段支出和开发阶段支出。研究阶段的支出，在发生时计入当期损益。 内部研究开发项目开发阶段的支出，同时满足下列条件时确认为无形资产：</w:t>
      </w:r>
    </w:p>
    <w:p>
      <w:pPr>
        <w:pStyle w:val="BodyText"/>
        <w:spacing w:line="240" w:lineRule="auto" w:before="54"/>
        <w:ind w:left="134" w:right="1032"/>
        <w:jc w:val="left"/>
      </w:pPr>
      <w:r>
        <w:rPr/>
        <w:t>（</w:t>
      </w:r>
      <w:r>
        <w:rPr>
          <w:rFonts w:ascii="Times New Roman" w:hAnsi="Times New Roman" w:cs="Times New Roman" w:eastAsia="Times New Roman" w:hint="default"/>
        </w:rPr>
        <w:t>1</w:t>
      </w:r>
      <w:r>
        <w:rPr/>
        <w:t>）完成该无形资产以使其能够使用或出售在技术上具有可行性；</w:t>
      </w:r>
    </w:p>
    <w:p>
      <w:pPr>
        <w:spacing w:line="240" w:lineRule="auto" w:before="10"/>
        <w:rPr>
          <w:rFonts w:ascii="宋体" w:hAnsi="宋体" w:cs="宋体" w:eastAsia="宋体" w:hint="default"/>
          <w:sz w:val="16"/>
          <w:szCs w:val="16"/>
        </w:rPr>
      </w:pPr>
    </w:p>
    <w:p>
      <w:pPr>
        <w:pStyle w:val="BodyText"/>
        <w:spacing w:line="240" w:lineRule="auto"/>
        <w:ind w:left="134" w:right="1032"/>
        <w:jc w:val="left"/>
      </w:pPr>
      <w:r>
        <w:rPr/>
        <w:t>（</w:t>
      </w:r>
      <w:r>
        <w:rPr>
          <w:rFonts w:ascii="Times New Roman" w:hAnsi="Times New Roman" w:cs="Times New Roman" w:eastAsia="Times New Roman" w:hint="default"/>
        </w:rPr>
        <w:t>2</w:t>
      </w:r>
      <w:r>
        <w:rPr/>
        <w:t>）具有完成该无形资产并使用或出售的意图；</w:t>
      </w:r>
    </w:p>
    <w:p>
      <w:pPr>
        <w:spacing w:line="240" w:lineRule="auto" w:before="9"/>
        <w:rPr>
          <w:rFonts w:ascii="宋体" w:hAnsi="宋体" w:cs="宋体" w:eastAsia="宋体" w:hint="default"/>
          <w:sz w:val="16"/>
          <w:szCs w:val="16"/>
        </w:rPr>
      </w:pPr>
    </w:p>
    <w:p>
      <w:pPr>
        <w:pStyle w:val="BodyText"/>
        <w:spacing w:line="451" w:lineRule="auto"/>
        <w:ind w:left="134" w:right="1122"/>
        <w:jc w:val="left"/>
      </w:pPr>
      <w:r>
        <w:rPr/>
        <w:t>（</w:t>
      </w:r>
      <w:r>
        <w:rPr>
          <w:rFonts w:ascii="Times New Roman" w:hAnsi="Times New Roman" w:cs="Times New Roman" w:eastAsia="Times New Roman" w:hint="default"/>
        </w:rPr>
        <w:t>3</w:t>
      </w:r>
      <w:r>
        <w:rPr/>
        <w:t>）无形资产产生经济利益的方式，包括能够证明运用该无形资产生产的产品存在市场或无形资产自身存在市场，无形资 产将在内部使用的，能够证明其有用性；</w:t>
      </w:r>
    </w:p>
    <w:p>
      <w:pPr>
        <w:pStyle w:val="BodyText"/>
        <w:spacing w:line="240" w:lineRule="auto" w:before="74"/>
        <w:ind w:left="134" w:right="1032"/>
        <w:jc w:val="left"/>
      </w:pPr>
      <w:r>
        <w:rPr/>
        <w:t>（</w:t>
      </w:r>
      <w:r>
        <w:rPr>
          <w:rFonts w:ascii="Times New Roman" w:hAnsi="Times New Roman" w:cs="Times New Roman" w:eastAsia="Times New Roman" w:hint="default"/>
        </w:rPr>
        <w:t>4</w:t>
      </w:r>
      <w:r>
        <w:rPr/>
        <w:t>）有足够的技术、财务资源和其他资源支持，以完成该无形资产的开发，并有能力使用或出售该无形资产；</w:t>
      </w:r>
    </w:p>
    <w:p>
      <w:pPr>
        <w:spacing w:line="240" w:lineRule="auto" w:before="9"/>
        <w:rPr>
          <w:rFonts w:ascii="宋体" w:hAnsi="宋体" w:cs="宋体" w:eastAsia="宋体" w:hint="default"/>
          <w:sz w:val="16"/>
          <w:szCs w:val="16"/>
        </w:rPr>
      </w:pPr>
    </w:p>
    <w:p>
      <w:pPr>
        <w:pStyle w:val="BodyText"/>
        <w:spacing w:line="468" w:lineRule="auto"/>
        <w:ind w:left="134" w:right="1032"/>
        <w:jc w:val="left"/>
      </w:pPr>
      <w:r>
        <w:rPr/>
        <w:t>（</w:t>
      </w:r>
      <w:r>
        <w:rPr>
          <w:rFonts w:ascii="Times New Roman" w:hAnsi="Times New Roman" w:cs="Times New Roman" w:eastAsia="Times New Roman" w:hint="default"/>
        </w:rPr>
        <w:t>5</w:t>
      </w:r>
      <w:r>
        <w:rPr/>
        <w:t>）归属于该无形资产开发阶段的支出能够可靠地计量。 开发阶段的支出，若不满足上列条件的，于发生时计入当期损益。 </w:t>
      </w:r>
      <w:r>
        <w:rPr>
          <w:spacing w:val="-2"/>
        </w:rPr>
        <w:t>公司研究开发项目在满足上述条件，根据相关立项及审批文件，进入开发阶段。公司制定了《关于研发支出归集及内部控制</w:t>
      </w:r>
      <w:r>
        <w:rPr>
          <w:spacing w:val="-66"/>
        </w:rPr>
        <w:t> </w:t>
      </w:r>
      <w:r>
        <w:rPr>
          <w:spacing w:val="-66"/>
        </w:rPr>
      </w:r>
      <w:r>
        <w:rPr/>
        <w:t>管理制度》，依据管理制度执行，对研究开发项目单独归集核算，确保资本化的准确。</w:t>
      </w:r>
    </w:p>
    <w:p>
      <w:pPr>
        <w:spacing w:line="240" w:lineRule="auto" w:before="11"/>
        <w:rPr>
          <w:rFonts w:ascii="宋体" w:hAnsi="宋体" w:cs="宋体" w:eastAsia="宋体" w:hint="default"/>
          <w:sz w:val="19"/>
          <w:szCs w:val="19"/>
        </w:rPr>
      </w:pPr>
    </w:p>
    <w:p>
      <w:pPr>
        <w:pStyle w:val="Heading3"/>
        <w:spacing w:line="240" w:lineRule="auto"/>
        <w:ind w:left="134" w:right="7680"/>
        <w:jc w:val="left"/>
        <w:rPr>
          <w:b w:val="0"/>
          <w:bCs w:val="0"/>
        </w:rPr>
      </w:pPr>
      <w:bookmarkStart w:name="5、现金流" w:id="50"/>
      <w:bookmarkEnd w:id="50"/>
      <w:r>
        <w:rPr>
          <w:b w:val="0"/>
          <w:bCs w:val="0"/>
        </w:rPr>
      </w:r>
      <w:r>
        <w:rPr>
          <w:rFonts w:ascii="Times New Roman" w:hAnsi="Times New Roman" w:cs="Times New Roman" w:eastAsia="Times New Roman" w:hint="default"/>
        </w:rPr>
        <w:t>5</w:t>
      </w:r>
      <w:r>
        <w:rPr/>
        <w:t>、现金流</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13" w:type="dxa"/>
        <w:tblLayout w:type="fixed"/>
        <w:tblCellMar>
          <w:top w:w="0" w:type="dxa"/>
          <w:left w:w="0" w:type="dxa"/>
          <w:bottom w:w="0" w:type="dxa"/>
          <w:right w:w="0" w:type="dxa"/>
        </w:tblCellMar>
        <w:tblLook w:val="01E0"/>
      </w:tblPr>
      <w:tblGrid>
        <w:gridCol w:w="2400"/>
        <w:gridCol w:w="2435"/>
        <w:gridCol w:w="2424"/>
        <w:gridCol w:w="2424"/>
      </w:tblGrid>
      <w:tr>
        <w:trPr>
          <w:trHeight w:val="402" w:hRule="exact"/>
        </w:trPr>
        <w:tc>
          <w:tcPr>
            <w:tcW w:w="2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4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4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2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43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2,176,348,713.82</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3,073,355,300.25</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-29.19%</w:t>
            </w:r>
          </w:p>
        </w:tc>
      </w:tr>
      <w:tr>
        <w:trPr>
          <w:trHeight w:val="402" w:hRule="exact"/>
        </w:trPr>
        <w:tc>
          <w:tcPr>
            <w:tcW w:w="2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43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1,904,200,512.85</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2,532,690,497.95</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-24.82%</w:t>
            </w:r>
          </w:p>
        </w:tc>
      </w:tr>
      <w:tr>
        <w:trPr>
          <w:trHeight w:val="402" w:hRule="exact"/>
        </w:trPr>
        <w:tc>
          <w:tcPr>
            <w:tcW w:w="2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43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272,148,200.97</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540,664,802.30</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-49.66%</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1187" w:top="1400" w:bottom="1380" w:left="1000" w:right="0"/>
        </w:sectPr>
      </w:pPr>
    </w:p>
    <w:p>
      <w:pPr>
        <w:spacing w:line="240" w:lineRule="auto" w:before="3"/>
        <w:rPr>
          <w:rFonts w:ascii="宋体" w:hAnsi="宋体" w:cs="宋体" w:eastAsia="宋体" w:hint="default"/>
          <w:sz w:val="3"/>
          <w:szCs w:val="3"/>
        </w:rPr>
      </w:pPr>
    </w:p>
    <w:tbl>
      <w:tblPr>
        <w:tblW w:w="0" w:type="auto"/>
        <w:jc w:val="left"/>
        <w:tblInd w:w="101" w:type="dxa"/>
        <w:tblLayout w:type="fixed"/>
        <w:tblCellMar>
          <w:top w:w="0" w:type="dxa"/>
          <w:left w:w="0" w:type="dxa"/>
          <w:bottom w:w="0" w:type="dxa"/>
          <w:right w:w="0" w:type="dxa"/>
        </w:tblCellMar>
        <w:tblLook w:val="01E0"/>
      </w:tblPr>
      <w:tblGrid>
        <w:gridCol w:w="2423"/>
        <w:gridCol w:w="2423"/>
        <w:gridCol w:w="2424"/>
        <w:gridCol w:w="2424"/>
      </w:tblGrid>
      <w:tr>
        <w:trPr>
          <w:trHeight w:val="414" w:hRule="exact"/>
        </w:trPr>
        <w:tc>
          <w:tcPr>
            <w:tcW w:w="2423"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42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0"/>
              <w:jc w:val="right"/>
              <w:rPr>
                <w:rFonts w:ascii="Times New Roman" w:hAnsi="Times New Roman" w:cs="Times New Roman" w:eastAsia="Times New Roman" w:hint="default"/>
                <w:sz w:val="18"/>
                <w:szCs w:val="18"/>
              </w:rPr>
            </w:pPr>
            <w:r>
              <w:rPr>
                <w:rFonts w:ascii="Times New Roman"/>
                <w:spacing w:val="-1"/>
                <w:sz w:val="18"/>
              </w:rPr>
              <w:t>656,271,064.15</w:t>
            </w:r>
          </w:p>
        </w:tc>
        <w:tc>
          <w:tcPr>
            <w:tcW w:w="242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Times New Roman" w:hAnsi="Times New Roman" w:cs="Times New Roman" w:eastAsia="Times New Roman" w:hint="default"/>
                <w:sz w:val="18"/>
                <w:szCs w:val="18"/>
              </w:rPr>
            </w:pPr>
            <w:r>
              <w:rPr>
                <w:rFonts w:ascii="Times New Roman"/>
                <w:spacing w:val="-1"/>
                <w:sz w:val="18"/>
              </w:rPr>
              <w:t>902,077,123.47</w:t>
            </w:r>
          </w:p>
        </w:tc>
        <w:tc>
          <w:tcPr>
            <w:tcW w:w="242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Times New Roman" w:hAnsi="Times New Roman" w:cs="Times New Roman" w:eastAsia="Times New Roman" w:hint="default"/>
                <w:sz w:val="18"/>
                <w:szCs w:val="18"/>
              </w:rPr>
            </w:pPr>
            <w:r>
              <w:rPr>
                <w:rFonts w:ascii="Times New Roman"/>
                <w:sz w:val="18"/>
              </w:rPr>
              <w:t>-27.25%</w:t>
            </w:r>
          </w:p>
        </w:tc>
      </w:tr>
      <w:tr>
        <w:trPr>
          <w:trHeight w:val="402" w:hRule="exact"/>
        </w:trPr>
        <w:tc>
          <w:tcPr>
            <w:tcW w:w="24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753,557,851.42</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1,181,855,872.77</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-36.24%</w:t>
            </w:r>
          </w:p>
        </w:tc>
      </w:tr>
      <w:tr>
        <w:trPr>
          <w:trHeight w:val="402" w:hRule="exact"/>
        </w:trPr>
        <w:tc>
          <w:tcPr>
            <w:tcW w:w="24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2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-97,286,787.27</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-279,778,749.30</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-65.23%</w:t>
            </w:r>
          </w:p>
        </w:tc>
      </w:tr>
      <w:tr>
        <w:trPr>
          <w:trHeight w:val="402" w:hRule="exact"/>
        </w:trPr>
        <w:tc>
          <w:tcPr>
            <w:tcW w:w="24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584,890,081.35</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1,264,758,475.99</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-53.75%</w:t>
            </w:r>
          </w:p>
        </w:tc>
      </w:tr>
      <w:tr>
        <w:trPr>
          <w:trHeight w:val="402" w:hRule="exact"/>
        </w:trPr>
        <w:tc>
          <w:tcPr>
            <w:tcW w:w="24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1,036,009,352.67</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1,576,424,144.86</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-34.28%</w:t>
            </w:r>
          </w:p>
        </w:tc>
      </w:tr>
      <w:tr>
        <w:trPr>
          <w:trHeight w:val="402" w:hRule="exact"/>
        </w:trPr>
        <w:tc>
          <w:tcPr>
            <w:tcW w:w="24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2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-451,119,271.32</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-311,665,668.87</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44.74%</w:t>
            </w:r>
          </w:p>
        </w:tc>
      </w:tr>
      <w:tr>
        <w:trPr>
          <w:trHeight w:val="403" w:hRule="exact"/>
        </w:trPr>
        <w:tc>
          <w:tcPr>
            <w:tcW w:w="24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-269,970,287.05</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-65,675,449.01</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2"/>
                <w:sz w:val="18"/>
              </w:rPr>
              <w:t>311.07%</w:t>
            </w:r>
          </w:p>
        </w:tc>
      </w:tr>
    </w:tbl>
    <w:p>
      <w:pPr>
        <w:spacing w:line="240" w:lineRule="auto" w:before="6"/>
        <w:rPr>
          <w:rFonts w:ascii="宋体" w:hAnsi="宋体" w:cs="宋体" w:eastAsia="宋体" w:hint="default"/>
          <w:sz w:val="6"/>
          <w:szCs w:val="6"/>
        </w:rPr>
      </w:pPr>
    </w:p>
    <w:p>
      <w:pPr>
        <w:pStyle w:val="Heading5"/>
        <w:spacing w:line="240" w:lineRule="auto" w:before="44"/>
        <w:ind w:left="134" w:right="1032"/>
        <w:jc w:val="left"/>
        <w:rPr>
          <w:b w:val="0"/>
          <w:bCs w:val="0"/>
        </w:rPr>
      </w:pPr>
      <w:r>
        <w:rPr/>
        <w:t>相关数据同比发生重大变动的主要影响因素说明</w:t>
      </w:r>
      <w:r>
        <w:rPr>
          <w:b w:val="0"/>
          <w:bCs w:val="0"/>
        </w:rPr>
      </w:r>
    </w:p>
    <w:p>
      <w:pPr>
        <w:spacing w:line="240" w:lineRule="auto" w:before="10"/>
        <w:rPr>
          <w:rFonts w:ascii="宋体" w:hAnsi="宋体" w:cs="宋体" w:eastAsia="宋体" w:hint="default"/>
          <w:b/>
          <w:bCs/>
          <w:sz w:val="20"/>
          <w:szCs w:val="20"/>
        </w:rPr>
      </w:pPr>
    </w:p>
    <w:p>
      <w:pPr>
        <w:spacing w:before="0"/>
        <w:ind w:left="134" w:right="7680"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19"/>
          <w:szCs w:val="19"/>
        </w:rPr>
      </w:pPr>
    </w:p>
    <w:p>
      <w:pPr>
        <w:pStyle w:val="BodyText"/>
        <w:spacing w:line="451" w:lineRule="auto"/>
        <w:ind w:left="134" w:right="1122"/>
        <w:jc w:val="left"/>
      </w:pPr>
      <w:r>
        <w:rPr/>
        <w:t>（</w:t>
      </w:r>
      <w:r>
        <w:rPr>
          <w:rFonts w:ascii="Times New Roman" w:hAnsi="Times New Roman" w:cs="Times New Roman" w:eastAsia="Times New Roman" w:hint="default"/>
        </w:rPr>
        <w:t>1</w:t>
      </w:r>
      <w:r>
        <w:rPr/>
        <w:t>）经营活动产生的现金流量净流入较上年同期下降，主要是公司上年同期开始进行战略调整，系统集成业务销售回款及 采购付款减少所致。</w:t>
      </w:r>
    </w:p>
    <w:p>
      <w:pPr>
        <w:pStyle w:val="BodyText"/>
        <w:spacing w:line="240" w:lineRule="auto" w:before="74"/>
        <w:ind w:left="134" w:right="1032"/>
        <w:jc w:val="left"/>
      </w:pPr>
      <w:r>
        <w:rPr/>
        <w:t>（</w:t>
      </w:r>
      <w:r>
        <w:rPr>
          <w:rFonts w:ascii="Times New Roman" w:hAnsi="Times New Roman" w:cs="Times New Roman" w:eastAsia="Times New Roman" w:hint="default"/>
        </w:rPr>
        <w:t>2</w:t>
      </w:r>
      <w:r>
        <w:rPr/>
        <w:t>）投资活动现金流出较上年同期下降，主要是本期购买理财产品支出减少及上年同期预付科研楼土地出让金所致。</w:t>
      </w:r>
    </w:p>
    <w:p>
      <w:pPr>
        <w:spacing w:line="240" w:lineRule="auto" w:before="9"/>
        <w:rPr>
          <w:rFonts w:ascii="宋体" w:hAnsi="宋体" w:cs="宋体" w:eastAsia="宋体" w:hint="default"/>
          <w:sz w:val="16"/>
          <w:szCs w:val="16"/>
        </w:rPr>
      </w:pPr>
    </w:p>
    <w:p>
      <w:pPr>
        <w:pStyle w:val="BodyText"/>
        <w:spacing w:line="451" w:lineRule="auto"/>
        <w:ind w:left="134" w:right="1122"/>
        <w:jc w:val="left"/>
      </w:pPr>
      <w:r>
        <w:rPr/>
        <w:t>（</w:t>
      </w:r>
      <w:r>
        <w:rPr>
          <w:rFonts w:ascii="Times New Roman" w:hAnsi="Times New Roman" w:cs="Times New Roman" w:eastAsia="Times New Roman" w:hint="default"/>
        </w:rPr>
        <w:t>3</w:t>
      </w:r>
      <w:r>
        <w:rPr/>
        <w:t>）投资活动产生的现金流量净流出较上年同期下降，主要是本期购买理财产品支出减少、上年同期预付科研楼土地出让 金，及上期收回北京中清龙图网络技术有限公司投资款所致。</w:t>
      </w:r>
    </w:p>
    <w:p>
      <w:pPr>
        <w:pStyle w:val="BodyText"/>
        <w:spacing w:line="240" w:lineRule="auto" w:before="74"/>
        <w:ind w:left="134" w:right="1032"/>
        <w:jc w:val="left"/>
      </w:pPr>
      <w:r>
        <w:rPr/>
        <w:t>（</w:t>
      </w:r>
      <w:r>
        <w:rPr>
          <w:rFonts w:ascii="Times New Roman" w:hAnsi="Times New Roman" w:cs="Times New Roman" w:eastAsia="Times New Roman" w:hint="default"/>
        </w:rPr>
        <w:t>4</w:t>
      </w:r>
      <w:r>
        <w:rPr/>
        <w:t>）筹资活动现金流入较上年同期下降，主要是本期借款规模较上年同期减少所致。</w:t>
      </w:r>
    </w:p>
    <w:p>
      <w:pPr>
        <w:spacing w:line="240" w:lineRule="auto" w:before="10"/>
        <w:rPr>
          <w:rFonts w:ascii="宋体" w:hAnsi="宋体" w:cs="宋体" w:eastAsia="宋体" w:hint="default"/>
          <w:sz w:val="16"/>
          <w:szCs w:val="16"/>
        </w:rPr>
      </w:pPr>
    </w:p>
    <w:p>
      <w:pPr>
        <w:spacing w:line="489" w:lineRule="auto" w:before="0"/>
        <w:ind w:left="134" w:right="1842"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）筹资活动现金流出较上年同期下降，主要是本期偿还借款减少及代扣子公司股东股权转让款个税减少所致。 </w:t>
      </w:r>
      <w:r>
        <w:rPr>
          <w:rFonts w:ascii="宋体" w:hAnsi="宋体" w:cs="宋体" w:eastAsia="宋体" w:hint="default"/>
          <w:b/>
          <w:bCs/>
          <w:sz w:val="18"/>
          <w:szCs w:val="18"/>
        </w:rPr>
        <w:t>报告期内公司经营活动产生的现金净流量与本年度净利润存在重大差异的原因说明</w:t>
      </w:r>
      <w:r>
        <w:rPr>
          <w:rFonts w:ascii="宋体" w:hAnsi="宋体" w:cs="宋体" w:eastAsia="宋体" w:hint="default"/>
          <w:sz w:val="18"/>
          <w:szCs w:val="18"/>
        </w:rPr>
      </w:r>
    </w:p>
    <w:p>
      <w:pPr>
        <w:pStyle w:val="BodyText"/>
        <w:spacing w:line="487" w:lineRule="auto" w:before="86"/>
        <w:ind w:left="134" w:right="1032"/>
        <w:jc w:val="left"/>
      </w:pPr>
      <w:r>
        <w:rPr>
          <w:rFonts w:ascii="宋体" w:hAnsi="宋体" w:cs="宋体" w:eastAsia="宋体" w:hint="default"/>
          <w:b/>
          <w:bCs/>
        </w:rPr>
        <w:t>√ 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经营活动产生的现金净流量与本年度净利润存在差异，主要是长期资产折旧与摊销、资产减值损失计提等非付现成本导致。</w:t>
      </w:r>
    </w:p>
    <w:p>
      <w:pPr>
        <w:spacing w:line="240" w:lineRule="auto" w:before="12"/>
        <w:rPr>
          <w:rFonts w:ascii="宋体" w:hAnsi="宋体" w:cs="宋体" w:eastAsia="宋体" w:hint="default"/>
          <w:sz w:val="16"/>
          <w:szCs w:val="16"/>
        </w:rPr>
      </w:pPr>
    </w:p>
    <w:p>
      <w:pPr>
        <w:pStyle w:val="Heading2"/>
        <w:spacing w:line="240" w:lineRule="auto"/>
        <w:ind w:left="134" w:right="7680"/>
        <w:jc w:val="left"/>
        <w:rPr>
          <w:b w:val="0"/>
          <w:bCs w:val="0"/>
        </w:rPr>
      </w:pPr>
      <w:bookmarkStart w:name="三、非主营业务情况" w:id="51"/>
      <w:bookmarkEnd w:id="51"/>
      <w:r>
        <w:rPr>
          <w:b w:val="0"/>
          <w:bCs w:val="0"/>
        </w:rPr>
      </w:r>
      <w:r>
        <w:rPr/>
        <w:t>三、非主营业务情况</w:t>
      </w:r>
      <w:r>
        <w:rPr>
          <w:b w:val="0"/>
          <w:bCs w:val="0"/>
        </w:rPr>
      </w:r>
    </w:p>
    <w:p>
      <w:pPr>
        <w:spacing w:line="240" w:lineRule="auto" w:before="3"/>
        <w:rPr>
          <w:rFonts w:ascii="宋体" w:hAnsi="宋体" w:cs="宋体" w:eastAsia="宋体" w:hint="default"/>
          <w:b/>
          <w:bCs/>
          <w:sz w:val="23"/>
          <w:szCs w:val="23"/>
        </w:rPr>
      </w:pPr>
    </w:p>
    <w:p>
      <w:pPr>
        <w:spacing w:before="44"/>
        <w:ind w:left="134" w:right="7680"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pStyle w:val="BodyText"/>
        <w:spacing w:line="240" w:lineRule="auto" w:before="102"/>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13" w:type="dxa"/>
        <w:tblLayout w:type="fixed"/>
        <w:tblCellMar>
          <w:top w:w="0" w:type="dxa"/>
          <w:left w:w="0" w:type="dxa"/>
          <w:bottom w:w="0" w:type="dxa"/>
          <w:right w:w="0" w:type="dxa"/>
        </w:tblCellMar>
        <w:tblLook w:val="01E0"/>
      </w:tblPr>
      <w:tblGrid>
        <w:gridCol w:w="1281"/>
        <w:gridCol w:w="1438"/>
        <w:gridCol w:w="1580"/>
        <w:gridCol w:w="3016"/>
        <w:gridCol w:w="2369"/>
      </w:tblGrid>
      <w:tr>
        <w:trPr>
          <w:trHeight w:val="402" w:hRule="exact"/>
        </w:trPr>
        <w:tc>
          <w:tcPr>
            <w:tcW w:w="128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4" w:right="0"/>
              <w:jc w:val="left"/>
              <w:rPr>
                <w:rFonts w:ascii="宋体" w:hAnsi="宋体" w:cs="宋体" w:eastAsia="宋体" w:hint="default"/>
                <w:sz w:val="18"/>
                <w:szCs w:val="18"/>
              </w:rPr>
            </w:pPr>
            <w:r>
              <w:rPr>
                <w:rFonts w:ascii="宋体" w:hAnsi="宋体" w:cs="宋体" w:eastAsia="宋体" w:hint="default"/>
                <w:sz w:val="18"/>
                <w:szCs w:val="18"/>
              </w:rPr>
              <w:t>占利润总额比例</w:t>
            </w:r>
          </w:p>
        </w:tc>
        <w:tc>
          <w:tcPr>
            <w:tcW w:w="30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形成原因说明</w:t>
            </w:r>
          </w:p>
        </w:tc>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58" w:right="0"/>
              <w:jc w:val="left"/>
              <w:rPr>
                <w:rFonts w:ascii="宋体" w:hAnsi="宋体" w:cs="宋体" w:eastAsia="宋体" w:hint="default"/>
                <w:sz w:val="18"/>
                <w:szCs w:val="18"/>
              </w:rPr>
            </w:pPr>
            <w:r>
              <w:rPr>
                <w:rFonts w:ascii="宋体" w:hAnsi="宋体" w:cs="宋体" w:eastAsia="宋体" w:hint="default"/>
                <w:sz w:val="18"/>
                <w:szCs w:val="18"/>
              </w:rPr>
              <w:t>是否具有可持续性</w:t>
            </w:r>
          </w:p>
        </w:tc>
      </w:tr>
      <w:tr>
        <w:trPr>
          <w:trHeight w:val="474" w:hRule="exact"/>
        </w:trPr>
        <w:tc>
          <w:tcPr>
            <w:tcW w:w="1281" w:type="dxa"/>
            <w:tcBorders>
              <w:top w:val="single" w:sz="4" w:space="0" w:color="000000"/>
              <w:left w:val="single" w:sz="4" w:space="0" w:color="000000"/>
              <w:bottom w:val="nil" w:sz="6" w:space="0" w:color="auto"/>
              <w:right w:val="single" w:sz="4" w:space="0" w:color="000000"/>
            </w:tcBorders>
            <w:shd w:val="clear" w:color="auto" w:fill="D2D2D2"/>
          </w:tcPr>
          <w:p>
            <w:pPr/>
          </w:p>
        </w:tc>
        <w:tc>
          <w:tcPr>
            <w:tcW w:w="1438"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453" w:right="0"/>
              <w:jc w:val="left"/>
              <w:rPr>
                <w:rFonts w:ascii="Times New Roman" w:hAnsi="Times New Roman" w:cs="Times New Roman" w:eastAsia="Times New Roman" w:hint="default"/>
                <w:sz w:val="18"/>
                <w:szCs w:val="18"/>
              </w:rPr>
            </w:pPr>
            <w:r>
              <w:rPr>
                <w:rFonts w:ascii="Times New Roman"/>
                <w:sz w:val="18"/>
              </w:rPr>
              <w:t>7,060,956.20</w:t>
            </w:r>
          </w:p>
        </w:tc>
        <w:tc>
          <w:tcPr>
            <w:tcW w:w="15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992" w:right="0"/>
              <w:jc w:val="left"/>
              <w:rPr>
                <w:rFonts w:ascii="Times New Roman" w:hAnsi="Times New Roman" w:cs="Times New Roman" w:eastAsia="Times New Roman" w:hint="default"/>
                <w:sz w:val="18"/>
                <w:szCs w:val="18"/>
              </w:rPr>
            </w:pPr>
            <w:r>
              <w:rPr>
                <w:rFonts w:ascii="Times New Roman"/>
                <w:sz w:val="18"/>
              </w:rPr>
              <w:t>10.30%</w:t>
            </w:r>
          </w:p>
        </w:tc>
        <w:tc>
          <w:tcPr>
            <w:tcW w:w="3016" w:type="dxa"/>
            <w:vMerge w:val="restart"/>
            <w:tcBorders>
              <w:top w:val="single" w:sz="4" w:space="0" w:color="000000"/>
              <w:left w:val="single" w:sz="4" w:space="0" w:color="000000"/>
              <w:right w:val="single" w:sz="4" w:space="0" w:color="000000"/>
            </w:tcBorders>
          </w:tcPr>
          <w:p>
            <w:pPr>
              <w:pStyle w:val="TableParagraph"/>
              <w:spacing w:line="312" w:lineRule="auto" w:before="52"/>
              <w:ind w:left="23" w:right="21"/>
              <w:jc w:val="left"/>
              <w:rPr>
                <w:rFonts w:ascii="宋体" w:hAnsi="宋体" w:cs="宋体" w:eastAsia="宋体" w:hint="default"/>
                <w:sz w:val="18"/>
                <w:szCs w:val="18"/>
              </w:rPr>
            </w:pPr>
            <w:r>
              <w:rPr>
                <w:rFonts w:ascii="宋体" w:hAnsi="宋体" w:cs="宋体" w:eastAsia="宋体" w:hint="default"/>
                <w:sz w:val="18"/>
                <w:szCs w:val="18"/>
              </w:rPr>
              <w:t>主要为可供出售金融资产的分红，按 权益法核算的投资收益，本期处置 </w:t>
            </w:r>
            <w:r>
              <w:rPr>
                <w:rFonts w:ascii="Times New Roman" w:hAnsi="Times New Roman" w:cs="Times New Roman" w:eastAsia="Times New Roman" w:hint="default"/>
                <w:sz w:val="18"/>
                <w:szCs w:val="18"/>
              </w:rPr>
              <w:t>Ultrapower 360 Pte</w:t>
            </w:r>
            <w:r>
              <w:rPr>
                <w:rFonts w:ascii="Times New Roman" w:hAnsi="Times New Roman" w:cs="Times New Roman" w:eastAsia="Times New Roman" w:hint="default"/>
                <w:spacing w:val="-9"/>
                <w:sz w:val="18"/>
                <w:szCs w:val="18"/>
              </w:rPr>
              <w:t> </w:t>
            </w:r>
            <w:r>
              <w:rPr>
                <w:rFonts w:ascii="Times New Roman" w:hAnsi="Times New Roman" w:cs="Times New Roman" w:eastAsia="Times New Roman" w:hint="default"/>
                <w:sz w:val="18"/>
                <w:szCs w:val="18"/>
              </w:rPr>
              <w:t>Ltd</w:t>
            </w:r>
            <w:r>
              <w:rPr>
                <w:rFonts w:ascii="宋体" w:hAnsi="宋体" w:cs="宋体" w:eastAsia="宋体" w:hint="default"/>
                <w:sz w:val="18"/>
                <w:szCs w:val="18"/>
              </w:rPr>
              <w:t>、北京玄一科技 有限公司收益。</w:t>
            </w:r>
          </w:p>
        </w:tc>
        <w:tc>
          <w:tcPr>
            <w:tcW w:w="236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174"/>
              <w:jc w:val="both"/>
              <w:rPr>
                <w:rFonts w:ascii="宋体" w:hAnsi="宋体" w:cs="宋体" w:eastAsia="宋体" w:hint="default"/>
                <w:sz w:val="18"/>
                <w:szCs w:val="18"/>
              </w:rPr>
            </w:pPr>
            <w:r>
              <w:rPr>
                <w:rFonts w:ascii="宋体" w:hAnsi="宋体" w:cs="宋体" w:eastAsia="宋体" w:hint="default"/>
                <w:sz w:val="18"/>
                <w:szCs w:val="18"/>
              </w:rPr>
              <w:t>可供出售金融资产的分红以 及按权益法核算的投资收益 具有持续性。</w:t>
            </w:r>
          </w:p>
        </w:tc>
      </w:tr>
      <w:tr>
        <w:trPr>
          <w:trHeight w:val="391" w:hRule="exact"/>
        </w:trPr>
        <w:tc>
          <w:tcPr>
            <w:tcW w:w="128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438" w:type="dxa"/>
            <w:vMerge/>
            <w:tcBorders>
              <w:left w:val="single" w:sz="9" w:space="0" w:color="D2D2D2"/>
              <w:right w:val="single" w:sz="4" w:space="0" w:color="000000"/>
            </w:tcBorders>
          </w:tcPr>
          <w:p>
            <w:pPr/>
          </w:p>
        </w:tc>
        <w:tc>
          <w:tcPr>
            <w:tcW w:w="1580" w:type="dxa"/>
            <w:vMerge/>
            <w:tcBorders>
              <w:left w:val="single" w:sz="4" w:space="0" w:color="000000"/>
              <w:right w:val="single" w:sz="4" w:space="0" w:color="000000"/>
            </w:tcBorders>
          </w:tcPr>
          <w:p>
            <w:pPr/>
          </w:p>
        </w:tc>
        <w:tc>
          <w:tcPr>
            <w:tcW w:w="3016" w:type="dxa"/>
            <w:vMerge/>
            <w:tcBorders>
              <w:left w:val="single" w:sz="4" w:space="0" w:color="000000"/>
              <w:right w:val="single" w:sz="4" w:space="0" w:color="000000"/>
            </w:tcBorders>
          </w:tcPr>
          <w:p>
            <w:pPr/>
          </w:p>
        </w:tc>
        <w:tc>
          <w:tcPr>
            <w:tcW w:w="2369" w:type="dxa"/>
            <w:vMerge/>
            <w:tcBorders>
              <w:left w:val="single" w:sz="4" w:space="0" w:color="000000"/>
              <w:right w:val="single" w:sz="4" w:space="0" w:color="000000"/>
            </w:tcBorders>
          </w:tcPr>
          <w:p>
            <w:pPr/>
          </w:p>
        </w:tc>
      </w:tr>
      <w:tr>
        <w:trPr>
          <w:trHeight w:val="473" w:hRule="exact"/>
        </w:trPr>
        <w:tc>
          <w:tcPr>
            <w:tcW w:w="1281" w:type="dxa"/>
            <w:tcBorders>
              <w:top w:val="nil" w:sz="6" w:space="0" w:color="auto"/>
              <w:left w:val="single" w:sz="4" w:space="0" w:color="000000"/>
              <w:bottom w:val="single" w:sz="4" w:space="0" w:color="000000"/>
              <w:right w:val="single" w:sz="4" w:space="0" w:color="000000"/>
            </w:tcBorders>
            <w:shd w:val="clear" w:color="auto" w:fill="D2D2D2"/>
          </w:tcPr>
          <w:p>
            <w:pPr/>
          </w:p>
        </w:tc>
        <w:tc>
          <w:tcPr>
            <w:tcW w:w="1438" w:type="dxa"/>
            <w:vMerge/>
            <w:tcBorders>
              <w:left w:val="single" w:sz="9" w:space="0" w:color="D2D2D2"/>
              <w:bottom w:val="single" w:sz="4" w:space="0" w:color="000000"/>
              <w:right w:val="single" w:sz="4" w:space="0" w:color="000000"/>
            </w:tcBorders>
          </w:tcPr>
          <w:p>
            <w:pPr/>
          </w:p>
        </w:tc>
        <w:tc>
          <w:tcPr>
            <w:tcW w:w="1580" w:type="dxa"/>
            <w:vMerge/>
            <w:tcBorders>
              <w:left w:val="single" w:sz="4" w:space="0" w:color="000000"/>
              <w:bottom w:val="single" w:sz="4" w:space="0" w:color="000000"/>
              <w:right w:val="single" w:sz="4" w:space="0" w:color="000000"/>
            </w:tcBorders>
          </w:tcPr>
          <w:p>
            <w:pPr/>
          </w:p>
        </w:tc>
        <w:tc>
          <w:tcPr>
            <w:tcW w:w="3016" w:type="dxa"/>
            <w:vMerge/>
            <w:tcBorders>
              <w:left w:val="single" w:sz="4" w:space="0" w:color="000000"/>
              <w:bottom w:val="single" w:sz="4" w:space="0" w:color="000000"/>
              <w:right w:val="single" w:sz="4" w:space="0" w:color="000000"/>
            </w:tcBorders>
          </w:tcPr>
          <w:p>
            <w:pPr/>
          </w:p>
        </w:tc>
        <w:tc>
          <w:tcPr>
            <w:tcW w:w="2369" w:type="dxa"/>
            <w:vMerge/>
            <w:tcBorders>
              <w:left w:val="single" w:sz="4" w:space="0" w:color="000000"/>
              <w:bottom w:val="single" w:sz="4" w:space="0" w:color="000000"/>
              <w:right w:val="single" w:sz="4" w:space="0" w:color="000000"/>
            </w:tcBorders>
          </w:tcPr>
          <w:p>
            <w:pPr/>
          </w:p>
        </w:tc>
      </w:tr>
      <w:tr>
        <w:trPr>
          <w:trHeight w:val="162" w:hRule="exact"/>
        </w:trPr>
        <w:tc>
          <w:tcPr>
            <w:tcW w:w="1281" w:type="dxa"/>
            <w:tcBorders>
              <w:top w:val="single" w:sz="4" w:space="0" w:color="000000"/>
              <w:left w:val="single" w:sz="4" w:space="0" w:color="000000"/>
              <w:bottom w:val="nil" w:sz="6" w:space="0" w:color="auto"/>
              <w:right w:val="single" w:sz="4" w:space="0" w:color="000000"/>
            </w:tcBorders>
            <w:shd w:val="clear" w:color="auto" w:fill="D2D2D2"/>
          </w:tcPr>
          <w:p>
            <w:pPr/>
          </w:p>
        </w:tc>
        <w:tc>
          <w:tcPr>
            <w:tcW w:w="1438" w:type="dxa"/>
            <w:vMerge w:val="restart"/>
            <w:tcBorders>
              <w:top w:val="single" w:sz="4" w:space="0" w:color="000000"/>
              <w:left w:val="single" w:sz="9" w:space="0" w:color="D2D2D2"/>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63" w:right="0"/>
              <w:jc w:val="left"/>
              <w:rPr>
                <w:rFonts w:ascii="Times New Roman" w:hAnsi="Times New Roman" w:cs="Times New Roman" w:eastAsia="Times New Roman" w:hint="default"/>
                <w:sz w:val="18"/>
                <w:szCs w:val="18"/>
              </w:rPr>
            </w:pPr>
            <w:r>
              <w:rPr>
                <w:rFonts w:ascii="Times New Roman"/>
                <w:sz w:val="18"/>
              </w:rPr>
              <w:t>76,855,392.35</w:t>
            </w:r>
          </w:p>
        </w:tc>
        <w:tc>
          <w:tcPr>
            <w:tcW w:w="1580"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08" w:right="0"/>
              <w:jc w:val="left"/>
              <w:rPr>
                <w:rFonts w:ascii="Times New Roman" w:hAnsi="Times New Roman" w:cs="Times New Roman" w:eastAsia="Times New Roman" w:hint="default"/>
                <w:sz w:val="18"/>
                <w:szCs w:val="18"/>
              </w:rPr>
            </w:pPr>
            <w:r>
              <w:rPr>
                <w:rFonts w:ascii="Times New Roman"/>
                <w:sz w:val="18"/>
              </w:rPr>
              <w:t>112.13%</w:t>
            </w:r>
          </w:p>
        </w:tc>
        <w:tc>
          <w:tcPr>
            <w:tcW w:w="3016" w:type="dxa"/>
            <w:vMerge w:val="restart"/>
            <w:tcBorders>
              <w:top w:val="single" w:sz="4" w:space="0" w:color="000000"/>
              <w:left w:val="single" w:sz="4" w:space="0" w:color="000000"/>
              <w:right w:val="single" w:sz="4" w:space="0" w:color="000000"/>
            </w:tcBorders>
          </w:tcPr>
          <w:p>
            <w:pPr>
              <w:pStyle w:val="TableParagraph"/>
              <w:spacing w:line="319" w:lineRule="auto" w:before="52"/>
              <w:ind w:left="23" w:right="100"/>
              <w:jc w:val="left"/>
              <w:rPr>
                <w:rFonts w:ascii="宋体" w:hAnsi="宋体" w:cs="宋体" w:eastAsia="宋体" w:hint="default"/>
                <w:sz w:val="18"/>
                <w:szCs w:val="18"/>
              </w:rPr>
            </w:pPr>
            <w:r>
              <w:rPr>
                <w:rFonts w:ascii="宋体" w:hAnsi="宋体" w:cs="宋体" w:eastAsia="宋体" w:hint="default"/>
                <w:sz w:val="18"/>
                <w:szCs w:val="18"/>
              </w:rPr>
              <w:t>主要为坏账损失、可供出售金融资产 减值损失、商誉减值损失。</w:t>
            </w:r>
          </w:p>
        </w:tc>
        <w:tc>
          <w:tcPr>
            <w:tcW w:w="2369" w:type="dxa"/>
            <w:vMerge w:val="restart"/>
            <w:tcBorders>
              <w:top w:val="single" w:sz="4" w:space="0" w:color="000000"/>
              <w:left w:val="single" w:sz="4" w:space="0" w:color="000000"/>
              <w:right w:val="single" w:sz="4" w:space="0" w:color="000000"/>
            </w:tcBorders>
          </w:tcPr>
          <w:p>
            <w:pPr>
              <w:pStyle w:val="TableParagraph"/>
              <w:spacing w:line="319" w:lineRule="auto" w:before="52"/>
              <w:ind w:left="22" w:right="174"/>
              <w:jc w:val="left"/>
              <w:rPr>
                <w:rFonts w:ascii="宋体" w:hAnsi="宋体" w:cs="宋体" w:eastAsia="宋体" w:hint="default"/>
                <w:sz w:val="18"/>
                <w:szCs w:val="18"/>
              </w:rPr>
            </w:pPr>
            <w:r>
              <w:rPr>
                <w:rFonts w:ascii="宋体" w:hAnsi="宋体" w:cs="宋体" w:eastAsia="宋体" w:hint="default"/>
                <w:sz w:val="18"/>
                <w:szCs w:val="18"/>
              </w:rPr>
              <w:t>按信用风险特征组合计提的 坏账具有可持续性。</w:t>
            </w:r>
          </w:p>
        </w:tc>
      </w:tr>
      <w:tr>
        <w:trPr>
          <w:trHeight w:val="392" w:hRule="exact"/>
        </w:trPr>
        <w:tc>
          <w:tcPr>
            <w:tcW w:w="128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资产减值</w:t>
            </w:r>
          </w:p>
        </w:tc>
        <w:tc>
          <w:tcPr>
            <w:tcW w:w="1438" w:type="dxa"/>
            <w:vMerge/>
            <w:tcBorders>
              <w:left w:val="single" w:sz="9" w:space="0" w:color="D2D2D2"/>
              <w:right w:val="single" w:sz="4" w:space="0" w:color="000000"/>
            </w:tcBorders>
          </w:tcPr>
          <w:p>
            <w:pPr/>
          </w:p>
        </w:tc>
        <w:tc>
          <w:tcPr>
            <w:tcW w:w="1580" w:type="dxa"/>
            <w:vMerge/>
            <w:tcBorders>
              <w:left w:val="single" w:sz="4" w:space="0" w:color="000000"/>
              <w:right w:val="single" w:sz="4" w:space="0" w:color="000000"/>
            </w:tcBorders>
          </w:tcPr>
          <w:p>
            <w:pPr/>
          </w:p>
        </w:tc>
        <w:tc>
          <w:tcPr>
            <w:tcW w:w="3016" w:type="dxa"/>
            <w:vMerge/>
            <w:tcBorders>
              <w:left w:val="single" w:sz="4" w:space="0" w:color="000000"/>
              <w:right w:val="single" w:sz="4" w:space="0" w:color="000000"/>
            </w:tcBorders>
          </w:tcPr>
          <w:p>
            <w:pPr/>
          </w:p>
        </w:tc>
        <w:tc>
          <w:tcPr>
            <w:tcW w:w="2369" w:type="dxa"/>
            <w:vMerge/>
            <w:tcBorders>
              <w:left w:val="single" w:sz="4" w:space="0" w:color="000000"/>
              <w:right w:val="single" w:sz="4" w:space="0" w:color="000000"/>
            </w:tcBorders>
          </w:tcPr>
          <w:p>
            <w:pPr/>
          </w:p>
        </w:tc>
      </w:tr>
      <w:tr>
        <w:trPr>
          <w:trHeight w:val="161" w:hRule="exact"/>
        </w:trPr>
        <w:tc>
          <w:tcPr>
            <w:tcW w:w="1281" w:type="dxa"/>
            <w:tcBorders>
              <w:top w:val="nil" w:sz="6" w:space="0" w:color="auto"/>
              <w:left w:val="single" w:sz="4" w:space="0" w:color="000000"/>
              <w:bottom w:val="single" w:sz="4" w:space="0" w:color="000000"/>
              <w:right w:val="single" w:sz="4" w:space="0" w:color="000000"/>
            </w:tcBorders>
            <w:shd w:val="clear" w:color="auto" w:fill="D2D2D2"/>
          </w:tcPr>
          <w:p>
            <w:pPr/>
          </w:p>
        </w:tc>
        <w:tc>
          <w:tcPr>
            <w:tcW w:w="1438" w:type="dxa"/>
            <w:vMerge/>
            <w:tcBorders>
              <w:left w:val="single" w:sz="9" w:space="0" w:color="D2D2D2"/>
              <w:bottom w:val="single" w:sz="4" w:space="0" w:color="000000"/>
              <w:right w:val="single" w:sz="4" w:space="0" w:color="000000"/>
            </w:tcBorders>
          </w:tcPr>
          <w:p>
            <w:pPr/>
          </w:p>
        </w:tc>
        <w:tc>
          <w:tcPr>
            <w:tcW w:w="1580" w:type="dxa"/>
            <w:vMerge/>
            <w:tcBorders>
              <w:left w:val="single" w:sz="4" w:space="0" w:color="000000"/>
              <w:bottom w:val="single" w:sz="4" w:space="0" w:color="000000"/>
              <w:right w:val="single" w:sz="4" w:space="0" w:color="000000"/>
            </w:tcBorders>
          </w:tcPr>
          <w:p>
            <w:pPr/>
          </w:p>
        </w:tc>
        <w:tc>
          <w:tcPr>
            <w:tcW w:w="3016" w:type="dxa"/>
            <w:vMerge/>
            <w:tcBorders>
              <w:left w:val="single" w:sz="4" w:space="0" w:color="000000"/>
              <w:bottom w:val="single" w:sz="4" w:space="0" w:color="000000"/>
              <w:right w:val="single" w:sz="4" w:space="0" w:color="000000"/>
            </w:tcBorders>
          </w:tcPr>
          <w:p>
            <w:pPr/>
          </w:p>
        </w:tc>
        <w:tc>
          <w:tcPr>
            <w:tcW w:w="2369" w:type="dxa"/>
            <w:vMerge/>
            <w:tcBorders>
              <w:left w:val="single" w:sz="4" w:space="0" w:color="000000"/>
              <w:bottom w:val="single" w:sz="4" w:space="0" w:color="000000"/>
              <w:right w:val="single" w:sz="4" w:space="0" w:color="000000"/>
            </w:tcBorders>
          </w:tcPr>
          <w:p>
            <w:pPr/>
          </w:p>
        </w:tc>
      </w:tr>
      <w:tr>
        <w:trPr>
          <w:trHeight w:val="402" w:hRule="exact"/>
        </w:trPr>
        <w:tc>
          <w:tcPr>
            <w:tcW w:w="12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43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448" w:right="0"/>
              <w:jc w:val="left"/>
              <w:rPr>
                <w:rFonts w:ascii="Times New Roman" w:hAnsi="Times New Roman" w:cs="Times New Roman" w:eastAsia="Times New Roman" w:hint="default"/>
                <w:sz w:val="18"/>
                <w:szCs w:val="18"/>
              </w:rPr>
            </w:pPr>
            <w:r>
              <w:rPr>
                <w:rFonts w:ascii="Times New Roman"/>
                <w:sz w:val="18"/>
              </w:rPr>
              <w:t>3,361,387.80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4.90%</w:t>
            </w:r>
          </w:p>
        </w:tc>
        <w:tc>
          <w:tcPr>
            <w:tcW w:w="3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76"/>
              <w:jc w:val="center"/>
              <w:rPr>
                <w:rFonts w:ascii="宋体" w:hAnsi="宋体" w:cs="宋体" w:eastAsia="宋体" w:hint="default"/>
                <w:sz w:val="18"/>
                <w:szCs w:val="18"/>
              </w:rPr>
            </w:pPr>
            <w:r>
              <w:rPr>
                <w:rFonts w:ascii="宋体" w:hAnsi="宋体" w:cs="宋体" w:eastAsia="宋体" w:hint="default"/>
                <w:sz w:val="18"/>
                <w:szCs w:val="18"/>
              </w:rPr>
              <w:t>主要为无需支付的款项形成的收益。</w:t>
            </w:r>
          </w:p>
        </w:tc>
        <w:tc>
          <w:tcPr>
            <w:tcW w:w="2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不具有持续性。</w:t>
            </w:r>
          </w:p>
        </w:tc>
      </w:tr>
      <w:tr>
        <w:trPr>
          <w:trHeight w:val="161" w:hRule="exact"/>
        </w:trPr>
        <w:tc>
          <w:tcPr>
            <w:tcW w:w="1281" w:type="dxa"/>
            <w:tcBorders>
              <w:top w:val="single" w:sz="4" w:space="0" w:color="000000"/>
              <w:left w:val="single" w:sz="4" w:space="0" w:color="000000"/>
              <w:bottom w:val="nil" w:sz="6" w:space="0" w:color="auto"/>
              <w:right w:val="single" w:sz="4" w:space="0" w:color="000000"/>
            </w:tcBorders>
            <w:shd w:val="clear" w:color="auto" w:fill="D2D2D2"/>
          </w:tcPr>
          <w:p>
            <w:pPr/>
          </w:p>
        </w:tc>
        <w:tc>
          <w:tcPr>
            <w:tcW w:w="1438"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3" w:right="0"/>
              <w:jc w:val="left"/>
              <w:rPr>
                <w:rFonts w:ascii="Times New Roman" w:hAnsi="Times New Roman" w:cs="Times New Roman" w:eastAsia="Times New Roman" w:hint="default"/>
                <w:sz w:val="18"/>
                <w:szCs w:val="18"/>
              </w:rPr>
            </w:pPr>
            <w:r>
              <w:rPr>
                <w:rFonts w:ascii="Times New Roman"/>
                <w:sz w:val="18"/>
              </w:rPr>
              <w:t>1,417,621.08</w:t>
            </w:r>
          </w:p>
        </w:tc>
        <w:tc>
          <w:tcPr>
            <w:tcW w:w="158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2.07%</w:t>
            </w:r>
          </w:p>
        </w:tc>
        <w:tc>
          <w:tcPr>
            <w:tcW w:w="3016" w:type="dxa"/>
            <w:vMerge w:val="restart"/>
            <w:tcBorders>
              <w:top w:val="single" w:sz="4" w:space="0" w:color="000000"/>
              <w:left w:val="single" w:sz="4" w:space="0" w:color="000000"/>
              <w:right w:val="single" w:sz="4" w:space="0" w:color="000000"/>
            </w:tcBorders>
          </w:tcPr>
          <w:p>
            <w:pPr>
              <w:pStyle w:val="TableParagraph"/>
              <w:spacing w:line="319" w:lineRule="auto" w:before="51"/>
              <w:ind w:left="23" w:right="100"/>
              <w:jc w:val="left"/>
              <w:rPr>
                <w:rFonts w:ascii="宋体" w:hAnsi="宋体" w:cs="宋体" w:eastAsia="宋体" w:hint="default"/>
                <w:sz w:val="18"/>
                <w:szCs w:val="18"/>
              </w:rPr>
            </w:pPr>
            <w:r>
              <w:rPr>
                <w:rFonts w:ascii="宋体" w:hAnsi="宋体" w:cs="宋体" w:eastAsia="宋体" w:hint="default"/>
                <w:sz w:val="18"/>
                <w:szCs w:val="18"/>
              </w:rPr>
              <w:t>主要为对外捐赠及非流动资产毁损报 废损失等支出。</w:t>
            </w:r>
          </w:p>
        </w:tc>
        <w:tc>
          <w:tcPr>
            <w:tcW w:w="2369"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不具有持续性。</w:t>
            </w:r>
          </w:p>
        </w:tc>
      </w:tr>
      <w:tr>
        <w:trPr>
          <w:trHeight w:val="392" w:hRule="exact"/>
        </w:trPr>
        <w:tc>
          <w:tcPr>
            <w:tcW w:w="128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438" w:type="dxa"/>
            <w:vMerge/>
            <w:tcBorders>
              <w:left w:val="single" w:sz="9" w:space="0" w:color="D2D2D2"/>
              <w:right w:val="single" w:sz="4" w:space="0" w:color="000000"/>
            </w:tcBorders>
          </w:tcPr>
          <w:p>
            <w:pPr/>
          </w:p>
        </w:tc>
        <w:tc>
          <w:tcPr>
            <w:tcW w:w="1580" w:type="dxa"/>
            <w:vMerge/>
            <w:tcBorders>
              <w:left w:val="single" w:sz="4" w:space="0" w:color="000000"/>
              <w:right w:val="single" w:sz="4" w:space="0" w:color="000000"/>
            </w:tcBorders>
          </w:tcPr>
          <w:p>
            <w:pPr/>
          </w:p>
        </w:tc>
        <w:tc>
          <w:tcPr>
            <w:tcW w:w="3016" w:type="dxa"/>
            <w:vMerge/>
            <w:tcBorders>
              <w:left w:val="single" w:sz="4" w:space="0" w:color="000000"/>
              <w:right w:val="single" w:sz="4" w:space="0" w:color="000000"/>
            </w:tcBorders>
          </w:tcPr>
          <w:p>
            <w:pPr/>
          </w:p>
        </w:tc>
        <w:tc>
          <w:tcPr>
            <w:tcW w:w="2369" w:type="dxa"/>
            <w:vMerge/>
            <w:tcBorders>
              <w:left w:val="single" w:sz="4" w:space="0" w:color="000000"/>
              <w:right w:val="single" w:sz="4" w:space="0" w:color="000000"/>
            </w:tcBorders>
          </w:tcPr>
          <w:p>
            <w:pPr/>
          </w:p>
        </w:tc>
      </w:tr>
      <w:tr>
        <w:trPr>
          <w:trHeight w:val="161" w:hRule="exact"/>
        </w:trPr>
        <w:tc>
          <w:tcPr>
            <w:tcW w:w="1281" w:type="dxa"/>
            <w:tcBorders>
              <w:top w:val="nil" w:sz="6" w:space="0" w:color="auto"/>
              <w:left w:val="single" w:sz="4" w:space="0" w:color="000000"/>
              <w:bottom w:val="single" w:sz="4" w:space="0" w:color="000000"/>
              <w:right w:val="single" w:sz="4" w:space="0" w:color="000000"/>
            </w:tcBorders>
            <w:shd w:val="clear" w:color="auto" w:fill="D2D2D2"/>
          </w:tcPr>
          <w:p>
            <w:pPr/>
          </w:p>
        </w:tc>
        <w:tc>
          <w:tcPr>
            <w:tcW w:w="1438" w:type="dxa"/>
            <w:vMerge/>
            <w:tcBorders>
              <w:left w:val="single" w:sz="9" w:space="0" w:color="D2D2D2"/>
              <w:bottom w:val="single" w:sz="4" w:space="0" w:color="000000"/>
              <w:right w:val="single" w:sz="4" w:space="0" w:color="000000"/>
            </w:tcBorders>
          </w:tcPr>
          <w:p>
            <w:pPr/>
          </w:p>
        </w:tc>
        <w:tc>
          <w:tcPr>
            <w:tcW w:w="1580" w:type="dxa"/>
            <w:vMerge/>
            <w:tcBorders>
              <w:left w:val="single" w:sz="4" w:space="0" w:color="000000"/>
              <w:bottom w:val="single" w:sz="4" w:space="0" w:color="000000"/>
              <w:right w:val="single" w:sz="4" w:space="0" w:color="000000"/>
            </w:tcBorders>
          </w:tcPr>
          <w:p>
            <w:pPr/>
          </w:p>
        </w:tc>
        <w:tc>
          <w:tcPr>
            <w:tcW w:w="3016" w:type="dxa"/>
            <w:vMerge/>
            <w:tcBorders>
              <w:left w:val="single" w:sz="4" w:space="0" w:color="000000"/>
              <w:bottom w:val="single" w:sz="4" w:space="0" w:color="000000"/>
              <w:right w:val="single" w:sz="4" w:space="0" w:color="000000"/>
            </w:tcBorders>
          </w:tcPr>
          <w:p>
            <w:pPr/>
          </w:p>
        </w:tc>
        <w:tc>
          <w:tcPr>
            <w:tcW w:w="2369" w:type="dxa"/>
            <w:vMerge/>
            <w:tcBorders>
              <w:left w:val="single" w:sz="4" w:space="0" w:color="000000"/>
              <w:bottom w:val="single" w:sz="4" w:space="0" w:color="000000"/>
              <w:right w:val="single" w:sz="4" w:space="0" w:color="000000"/>
            </w:tcBorders>
          </w:tcPr>
          <w:p>
            <w:pPr/>
          </w:p>
        </w:tc>
      </w:tr>
    </w:tbl>
    <w:p>
      <w:pPr>
        <w:spacing w:after="0"/>
        <w:sectPr>
          <w:pgSz w:w="11910" w:h="16840"/>
          <w:pgMar w:header="851" w:footer="1187" w:top="1400" w:bottom="1380" w:left="1000" w:right="0"/>
        </w:sectPr>
      </w:pPr>
    </w:p>
    <w:p>
      <w:pPr>
        <w:pStyle w:val="Heading2"/>
        <w:spacing w:line="240" w:lineRule="auto" w:before="24"/>
        <w:ind w:right="0"/>
        <w:jc w:val="left"/>
        <w:rPr>
          <w:b w:val="0"/>
          <w:bCs w:val="0"/>
        </w:rPr>
      </w:pPr>
      <w:r>
        <w:rPr/>
        <w:pict>
          <v:group style="position:absolute;margin-left:55.200001pt;margin-top:2.675601pt;width:485pt;height:.1pt;mso-position-horizontal-relative:page;mso-position-vertical-relative:paragraph;z-index:-1077400" coordorigin="1104,54" coordsize="9700,2">
            <v:shape style="position:absolute;left:1104;top:54;width:9700;height:2" coordorigin="1104,54" coordsize="9700,0" path="m1104,54l10804,54e" filled="false" stroked="true" strokeweight=".72pt" strokecolor="#000000">
              <v:path arrowok="t"/>
            </v:shape>
            <w10:wrap type="none"/>
          </v:group>
        </w:pict>
      </w:r>
      <w:bookmarkStart w:name="四、资产及负债状况" w:id="52"/>
      <w:bookmarkEnd w:id="52"/>
      <w:r>
        <w:rPr>
          <w:b w:val="0"/>
          <w:bCs w:val="0"/>
        </w:rPr>
      </w:r>
      <w:r>
        <w:rPr/>
        <w:t>四、资产及负债状况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资产构成重大变动情况" w:id="53"/>
      <w:bookmarkEnd w:id="53"/>
      <w:r>
        <w:rPr>
          <w:b w:val="0"/>
          <w:bCs w:val="0"/>
        </w:rPr>
      </w:r>
      <w:r>
        <w:rPr>
          <w:rFonts w:ascii="Times New Roman" w:hAnsi="Times New Roman" w:cs="Times New Roman" w:eastAsia="Times New Roman" w:hint="default"/>
        </w:rPr>
        <w:t>1</w:t>
      </w:r>
      <w:r>
        <w:rPr/>
        <w:t>、资产构成重大变动情况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33" w:type="dxa"/>
        <w:tblLayout w:type="fixed"/>
        <w:tblCellMar>
          <w:top w:w="0" w:type="dxa"/>
          <w:left w:w="0" w:type="dxa"/>
          <w:bottom w:w="0" w:type="dxa"/>
          <w:right w:w="0" w:type="dxa"/>
        </w:tblCellMar>
        <w:tblLook w:val="01E0"/>
      </w:tblPr>
      <w:tblGrid>
        <w:gridCol w:w="1374"/>
        <w:gridCol w:w="1345"/>
        <w:gridCol w:w="1003"/>
        <w:gridCol w:w="1436"/>
        <w:gridCol w:w="956"/>
        <w:gridCol w:w="848"/>
        <w:gridCol w:w="2721"/>
      </w:tblGrid>
      <w:tr>
        <w:trPr>
          <w:trHeight w:val="385" w:hRule="exact"/>
        </w:trPr>
        <w:tc>
          <w:tcPr>
            <w:tcW w:w="1374" w:type="dxa"/>
            <w:tcBorders>
              <w:top w:val="single" w:sz="4" w:space="0" w:color="000000"/>
              <w:left w:val="single" w:sz="4" w:space="0" w:color="000000"/>
              <w:bottom w:val="nil" w:sz="6" w:space="0" w:color="auto"/>
              <w:right w:val="single" w:sz="4" w:space="0" w:color="000000"/>
            </w:tcBorders>
            <w:shd w:val="clear" w:color="auto" w:fill="D2D2D2"/>
          </w:tcPr>
          <w:p>
            <w:pPr/>
          </w:p>
        </w:tc>
        <w:tc>
          <w:tcPr>
            <w:tcW w:w="234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39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848" w:type="dxa"/>
            <w:tcBorders>
              <w:top w:val="single" w:sz="4" w:space="0" w:color="000000"/>
              <w:left w:val="single" w:sz="4" w:space="0" w:color="000000"/>
              <w:bottom w:val="nil" w:sz="6" w:space="0" w:color="auto"/>
              <w:right w:val="single" w:sz="4" w:space="0" w:color="000000"/>
            </w:tcBorders>
            <w:shd w:val="clear" w:color="auto" w:fill="D2D2D2"/>
          </w:tcPr>
          <w:p>
            <w:pPr/>
          </w:p>
        </w:tc>
        <w:tc>
          <w:tcPr>
            <w:tcW w:w="2721"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78" w:hRule="exact"/>
        </w:trPr>
        <w:tc>
          <w:tcPr>
            <w:tcW w:w="1374" w:type="dxa"/>
            <w:vMerge w:val="restart"/>
            <w:tcBorders>
              <w:top w:val="nil" w:sz="6" w:space="0" w:color="auto"/>
              <w:left w:val="single" w:sz="4" w:space="0" w:color="000000"/>
              <w:right w:val="single" w:sz="4" w:space="0" w:color="000000"/>
            </w:tcBorders>
            <w:shd w:val="clear" w:color="auto" w:fill="D2D2D2"/>
          </w:tcPr>
          <w:p>
            <w:pPr/>
          </w:p>
        </w:tc>
        <w:tc>
          <w:tcPr>
            <w:tcW w:w="1345" w:type="dxa"/>
            <w:tcBorders>
              <w:top w:val="single" w:sz="4" w:space="0" w:color="000000"/>
              <w:left w:val="single" w:sz="4" w:space="0" w:color="000000"/>
              <w:bottom w:val="nil" w:sz="6" w:space="0" w:color="auto"/>
              <w:right w:val="single" w:sz="4" w:space="0" w:color="000000"/>
            </w:tcBorders>
            <w:shd w:val="clear" w:color="auto" w:fill="D2D2D2"/>
          </w:tcPr>
          <w:p>
            <w:pPr/>
          </w:p>
        </w:tc>
        <w:tc>
          <w:tcPr>
            <w:tcW w:w="100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68"/>
              <w:ind w:left="406" w:right="44" w:hanging="360"/>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1436" w:type="dxa"/>
            <w:tcBorders>
              <w:top w:val="single" w:sz="4" w:space="0" w:color="000000"/>
              <w:left w:val="single" w:sz="4" w:space="0" w:color="000000"/>
              <w:bottom w:val="nil" w:sz="6" w:space="0" w:color="auto"/>
              <w:right w:val="single" w:sz="4" w:space="0" w:color="000000"/>
            </w:tcBorders>
            <w:shd w:val="clear" w:color="auto" w:fill="D2D2D2"/>
          </w:tcPr>
          <w:p>
            <w:pPr/>
          </w:p>
        </w:tc>
        <w:tc>
          <w:tcPr>
            <w:tcW w:w="95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68"/>
              <w:ind w:left="382" w:right="23" w:hanging="360"/>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84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9"/>
              <w:ind w:left="58" w:right="0"/>
              <w:jc w:val="left"/>
              <w:rPr>
                <w:rFonts w:ascii="宋体" w:hAnsi="宋体" w:cs="宋体" w:eastAsia="宋体" w:hint="default"/>
                <w:sz w:val="18"/>
                <w:szCs w:val="18"/>
              </w:rPr>
            </w:pPr>
            <w:r>
              <w:rPr>
                <w:rFonts w:ascii="宋体" w:hAnsi="宋体" w:cs="宋体" w:eastAsia="宋体" w:hint="default"/>
                <w:sz w:val="18"/>
                <w:szCs w:val="18"/>
              </w:rPr>
              <w:t>比重增减</w:t>
            </w:r>
          </w:p>
        </w:tc>
        <w:tc>
          <w:tcPr>
            <w:tcW w:w="272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9"/>
              <w:ind w:left="816"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191" w:hRule="exact"/>
        </w:trPr>
        <w:tc>
          <w:tcPr>
            <w:tcW w:w="1374" w:type="dxa"/>
            <w:vMerge/>
            <w:tcBorders>
              <w:left w:val="single" w:sz="4" w:space="0" w:color="000000"/>
              <w:bottom w:val="nil" w:sz="6" w:space="0" w:color="auto"/>
              <w:right w:val="single" w:sz="4" w:space="0" w:color="000000"/>
            </w:tcBorders>
            <w:shd w:val="clear" w:color="auto" w:fill="D2D2D2"/>
          </w:tcPr>
          <w:p>
            <w:pPr/>
          </w:p>
        </w:tc>
        <w:tc>
          <w:tcPr>
            <w:tcW w:w="134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003" w:type="dxa"/>
            <w:vMerge/>
            <w:tcBorders>
              <w:left w:val="single" w:sz="4" w:space="0" w:color="000000"/>
              <w:right w:val="single" w:sz="4" w:space="0" w:color="000000"/>
            </w:tcBorders>
            <w:shd w:val="clear" w:color="auto" w:fill="D2D2D2"/>
          </w:tcPr>
          <w:p>
            <w:pPr/>
          </w:p>
        </w:tc>
        <w:tc>
          <w:tcPr>
            <w:tcW w:w="143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56" w:type="dxa"/>
            <w:vMerge/>
            <w:tcBorders>
              <w:left w:val="single" w:sz="4" w:space="0" w:color="000000"/>
              <w:right w:val="single" w:sz="4" w:space="0" w:color="000000"/>
            </w:tcBorders>
            <w:shd w:val="clear" w:color="auto" w:fill="D2D2D2"/>
          </w:tcPr>
          <w:p>
            <w:pPr/>
          </w:p>
        </w:tc>
        <w:tc>
          <w:tcPr>
            <w:tcW w:w="848" w:type="dxa"/>
            <w:vMerge/>
            <w:tcBorders>
              <w:left w:val="single" w:sz="4" w:space="0" w:color="000000"/>
              <w:bottom w:val="nil" w:sz="6" w:space="0" w:color="auto"/>
              <w:right w:val="single" w:sz="4" w:space="0" w:color="000000"/>
            </w:tcBorders>
            <w:shd w:val="clear" w:color="auto" w:fill="D2D2D2"/>
          </w:tcPr>
          <w:p>
            <w:pPr/>
          </w:p>
        </w:tc>
        <w:tc>
          <w:tcPr>
            <w:tcW w:w="2721"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374" w:type="dxa"/>
            <w:vMerge w:val="restart"/>
            <w:tcBorders>
              <w:top w:val="nil" w:sz="6" w:space="0" w:color="auto"/>
              <w:left w:val="single" w:sz="4" w:space="0" w:color="000000"/>
              <w:right w:val="single" w:sz="4" w:space="0" w:color="000000"/>
            </w:tcBorders>
            <w:shd w:val="clear" w:color="auto" w:fill="D2D2D2"/>
          </w:tcPr>
          <w:p>
            <w:pPr/>
          </w:p>
        </w:tc>
        <w:tc>
          <w:tcPr>
            <w:tcW w:w="1345" w:type="dxa"/>
            <w:vMerge/>
            <w:tcBorders>
              <w:left w:val="single" w:sz="4" w:space="0" w:color="000000"/>
              <w:bottom w:val="nil" w:sz="6" w:space="0" w:color="auto"/>
              <w:right w:val="single" w:sz="4" w:space="0" w:color="000000"/>
            </w:tcBorders>
            <w:shd w:val="clear" w:color="auto" w:fill="D2D2D2"/>
          </w:tcPr>
          <w:p>
            <w:pPr/>
          </w:p>
        </w:tc>
        <w:tc>
          <w:tcPr>
            <w:tcW w:w="1003" w:type="dxa"/>
            <w:vMerge/>
            <w:tcBorders>
              <w:left w:val="single" w:sz="4" w:space="0" w:color="000000"/>
              <w:right w:val="single" w:sz="4" w:space="0" w:color="000000"/>
            </w:tcBorders>
            <w:shd w:val="clear" w:color="auto" w:fill="D2D2D2"/>
          </w:tcPr>
          <w:p>
            <w:pPr/>
          </w:p>
        </w:tc>
        <w:tc>
          <w:tcPr>
            <w:tcW w:w="1436" w:type="dxa"/>
            <w:vMerge/>
            <w:tcBorders>
              <w:left w:val="single" w:sz="4" w:space="0" w:color="000000"/>
              <w:bottom w:val="nil" w:sz="6" w:space="0" w:color="auto"/>
              <w:right w:val="single" w:sz="4" w:space="0" w:color="000000"/>
            </w:tcBorders>
            <w:shd w:val="clear" w:color="auto" w:fill="D2D2D2"/>
          </w:tcPr>
          <w:p>
            <w:pPr/>
          </w:p>
        </w:tc>
        <w:tc>
          <w:tcPr>
            <w:tcW w:w="956" w:type="dxa"/>
            <w:vMerge/>
            <w:tcBorders>
              <w:left w:val="single" w:sz="4" w:space="0" w:color="000000"/>
              <w:right w:val="single" w:sz="4" w:space="0" w:color="000000"/>
            </w:tcBorders>
            <w:shd w:val="clear" w:color="auto" w:fill="D2D2D2"/>
          </w:tcPr>
          <w:p>
            <w:pPr/>
          </w:p>
        </w:tc>
        <w:tc>
          <w:tcPr>
            <w:tcW w:w="848" w:type="dxa"/>
            <w:vMerge w:val="restart"/>
            <w:tcBorders>
              <w:top w:val="nil" w:sz="6" w:space="0" w:color="auto"/>
              <w:left w:val="single" w:sz="4" w:space="0" w:color="000000"/>
              <w:right w:val="single" w:sz="4" w:space="0" w:color="000000"/>
            </w:tcBorders>
            <w:shd w:val="clear" w:color="auto" w:fill="D2D2D2"/>
          </w:tcPr>
          <w:p>
            <w:pPr/>
          </w:p>
        </w:tc>
        <w:tc>
          <w:tcPr>
            <w:tcW w:w="2721"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374" w:type="dxa"/>
            <w:vMerge/>
            <w:tcBorders>
              <w:left w:val="single" w:sz="4" w:space="0" w:color="000000"/>
              <w:bottom w:val="single" w:sz="4" w:space="0" w:color="000000"/>
              <w:right w:val="single" w:sz="4" w:space="0" w:color="000000"/>
            </w:tcBorders>
            <w:shd w:val="clear" w:color="auto" w:fill="D2D2D2"/>
          </w:tcPr>
          <w:p>
            <w:pPr/>
          </w:p>
        </w:tc>
        <w:tc>
          <w:tcPr>
            <w:tcW w:w="1345" w:type="dxa"/>
            <w:tcBorders>
              <w:top w:val="nil" w:sz="6" w:space="0" w:color="auto"/>
              <w:left w:val="single" w:sz="4" w:space="0" w:color="000000"/>
              <w:bottom w:val="single" w:sz="4" w:space="0" w:color="000000"/>
              <w:right w:val="single" w:sz="4" w:space="0" w:color="000000"/>
            </w:tcBorders>
            <w:shd w:val="clear" w:color="auto" w:fill="D2D2D2"/>
          </w:tcPr>
          <w:p>
            <w:pPr/>
          </w:p>
        </w:tc>
        <w:tc>
          <w:tcPr>
            <w:tcW w:w="1003" w:type="dxa"/>
            <w:vMerge/>
            <w:tcBorders>
              <w:left w:val="single" w:sz="4" w:space="0" w:color="000000"/>
              <w:bottom w:val="single" w:sz="4" w:space="0" w:color="000000"/>
              <w:right w:val="single" w:sz="4" w:space="0" w:color="000000"/>
            </w:tcBorders>
            <w:shd w:val="clear" w:color="auto" w:fill="D2D2D2"/>
          </w:tcPr>
          <w:p>
            <w:pPr/>
          </w:p>
        </w:tc>
        <w:tc>
          <w:tcPr>
            <w:tcW w:w="1436" w:type="dxa"/>
            <w:tcBorders>
              <w:top w:val="nil" w:sz="6" w:space="0" w:color="auto"/>
              <w:left w:val="single" w:sz="4" w:space="0" w:color="000000"/>
              <w:bottom w:val="single" w:sz="4" w:space="0" w:color="000000"/>
              <w:right w:val="single" w:sz="4" w:space="0" w:color="000000"/>
            </w:tcBorders>
            <w:shd w:val="clear" w:color="auto" w:fill="D2D2D2"/>
          </w:tcPr>
          <w:p>
            <w:pPr/>
          </w:p>
        </w:tc>
        <w:tc>
          <w:tcPr>
            <w:tcW w:w="956" w:type="dxa"/>
            <w:vMerge/>
            <w:tcBorders>
              <w:left w:val="single" w:sz="4" w:space="0" w:color="000000"/>
              <w:bottom w:val="single" w:sz="4" w:space="0" w:color="000000"/>
              <w:right w:val="single" w:sz="4" w:space="0" w:color="000000"/>
            </w:tcBorders>
            <w:shd w:val="clear" w:color="auto" w:fill="D2D2D2"/>
          </w:tcPr>
          <w:p>
            <w:pPr/>
          </w:p>
        </w:tc>
        <w:tc>
          <w:tcPr>
            <w:tcW w:w="848" w:type="dxa"/>
            <w:vMerge/>
            <w:tcBorders>
              <w:left w:val="single" w:sz="4" w:space="0" w:color="000000"/>
              <w:bottom w:val="single" w:sz="4" w:space="0" w:color="000000"/>
              <w:right w:val="single" w:sz="4" w:space="0" w:color="000000"/>
            </w:tcBorders>
            <w:shd w:val="clear" w:color="auto" w:fill="D2D2D2"/>
          </w:tcPr>
          <w:p>
            <w:pPr/>
          </w:p>
        </w:tc>
        <w:tc>
          <w:tcPr>
            <w:tcW w:w="2721" w:type="dxa"/>
            <w:vMerge/>
            <w:tcBorders>
              <w:left w:val="single" w:sz="4" w:space="0" w:color="000000"/>
              <w:bottom w:val="single" w:sz="4" w:space="0" w:color="000000"/>
              <w:right w:val="single" w:sz="4" w:space="0" w:color="000000"/>
            </w:tcBorders>
            <w:shd w:val="clear" w:color="auto" w:fill="D2D2D2"/>
          </w:tcPr>
          <w:p>
            <w:pPr/>
          </w:p>
        </w:tc>
      </w:tr>
      <w:tr>
        <w:trPr>
          <w:trHeight w:val="629" w:hRule="exact"/>
        </w:trPr>
        <w:tc>
          <w:tcPr>
            <w:tcW w:w="1374" w:type="dxa"/>
            <w:tcBorders>
              <w:top w:val="single" w:sz="4" w:space="0" w:color="000000"/>
              <w:left w:val="single" w:sz="4" w:space="0" w:color="000000"/>
              <w:bottom w:val="nil" w:sz="6" w:space="0" w:color="auto"/>
              <w:right w:val="single" w:sz="4" w:space="0" w:color="000000"/>
            </w:tcBorders>
            <w:shd w:val="clear" w:color="auto" w:fill="D2D2D2"/>
          </w:tcPr>
          <w:p>
            <w:pPr/>
          </w:p>
        </w:tc>
        <w:tc>
          <w:tcPr>
            <w:tcW w:w="1345"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80" w:right="0"/>
              <w:jc w:val="left"/>
              <w:rPr>
                <w:rFonts w:ascii="Times New Roman" w:hAnsi="Times New Roman" w:cs="Times New Roman" w:eastAsia="Times New Roman" w:hint="default"/>
                <w:sz w:val="18"/>
                <w:szCs w:val="18"/>
              </w:rPr>
            </w:pPr>
            <w:r>
              <w:rPr>
                <w:rFonts w:ascii="Times New Roman"/>
                <w:sz w:val="18"/>
              </w:rPr>
              <w:t>536,149,673.07</w:t>
            </w:r>
          </w:p>
        </w:tc>
        <w:tc>
          <w:tcPr>
            <w:tcW w:w="100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506" w:right="0"/>
              <w:jc w:val="left"/>
              <w:rPr>
                <w:rFonts w:ascii="Times New Roman" w:hAnsi="Times New Roman" w:cs="Times New Roman" w:eastAsia="Times New Roman" w:hint="default"/>
                <w:sz w:val="18"/>
                <w:szCs w:val="18"/>
              </w:rPr>
            </w:pPr>
            <w:r>
              <w:rPr>
                <w:rFonts w:ascii="Times New Roman"/>
                <w:sz w:val="18"/>
              </w:rPr>
              <w:t>8.08%</w:t>
            </w:r>
          </w:p>
        </w:tc>
        <w:tc>
          <w:tcPr>
            <w:tcW w:w="143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78" w:right="0"/>
              <w:jc w:val="left"/>
              <w:rPr>
                <w:rFonts w:ascii="Times New Roman" w:hAnsi="Times New Roman" w:cs="Times New Roman" w:eastAsia="Times New Roman" w:hint="default"/>
                <w:sz w:val="18"/>
                <w:szCs w:val="18"/>
              </w:rPr>
            </w:pPr>
            <w:r>
              <w:rPr>
                <w:rFonts w:ascii="Times New Roman"/>
                <w:sz w:val="18"/>
              </w:rPr>
              <w:t>789,487,325.40</w:t>
            </w:r>
          </w:p>
        </w:tc>
        <w:tc>
          <w:tcPr>
            <w:tcW w:w="95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74" w:right="0"/>
              <w:jc w:val="left"/>
              <w:rPr>
                <w:rFonts w:ascii="Times New Roman" w:hAnsi="Times New Roman" w:cs="Times New Roman" w:eastAsia="Times New Roman" w:hint="default"/>
                <w:sz w:val="18"/>
                <w:szCs w:val="18"/>
              </w:rPr>
            </w:pPr>
            <w:r>
              <w:rPr>
                <w:rFonts w:ascii="Times New Roman"/>
                <w:sz w:val="18"/>
              </w:rPr>
              <w:t>11.40%</w:t>
            </w:r>
          </w:p>
        </w:tc>
        <w:tc>
          <w:tcPr>
            <w:tcW w:w="84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91" w:right="0"/>
              <w:jc w:val="left"/>
              <w:rPr>
                <w:rFonts w:ascii="Times New Roman" w:hAnsi="Times New Roman" w:cs="Times New Roman" w:eastAsia="Times New Roman" w:hint="default"/>
                <w:sz w:val="18"/>
                <w:szCs w:val="18"/>
              </w:rPr>
            </w:pPr>
            <w:r>
              <w:rPr>
                <w:rFonts w:ascii="Times New Roman"/>
                <w:sz w:val="18"/>
              </w:rPr>
              <w:t>-3.32%</w:t>
            </w:r>
          </w:p>
        </w:tc>
        <w:tc>
          <w:tcPr>
            <w:tcW w:w="2721" w:type="dxa"/>
            <w:vMerge w:val="restart"/>
            <w:tcBorders>
              <w:top w:val="single" w:sz="4" w:space="0" w:color="000000"/>
              <w:left w:val="single" w:sz="4" w:space="0" w:color="000000"/>
              <w:right w:val="single" w:sz="4" w:space="0" w:color="000000"/>
            </w:tcBorders>
          </w:tcPr>
          <w:p>
            <w:pPr>
              <w:pStyle w:val="TableParagraph"/>
              <w:spacing w:line="314" w:lineRule="auto" w:before="51"/>
              <w:ind w:left="24" w:right="-13"/>
              <w:jc w:val="left"/>
              <w:rPr>
                <w:rFonts w:ascii="宋体" w:hAnsi="宋体" w:cs="宋体" w:eastAsia="宋体" w:hint="default"/>
                <w:sz w:val="18"/>
                <w:szCs w:val="18"/>
              </w:rPr>
            </w:pPr>
            <w:r>
              <w:rPr>
                <w:rFonts w:ascii="宋体" w:hAnsi="宋体" w:cs="宋体" w:eastAsia="宋体" w:hint="default"/>
                <w:sz w:val="18"/>
                <w:szCs w:val="18"/>
              </w:rPr>
              <w:t>较期初下降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32.09%</w:t>
            </w:r>
            <w:r>
              <w:rPr>
                <w:rFonts w:ascii="宋体" w:hAnsi="宋体" w:cs="宋体" w:eastAsia="宋体" w:hint="default"/>
                <w:sz w:val="18"/>
                <w:szCs w:val="18"/>
              </w:rPr>
              <w:t>，主要为本期 经营活动现金净流入较上年同期 减少、筹资活动净流出增加所致。 详见“经营情况讨论与分析”中 “二、主营业务分析</w:t>
            </w:r>
            <w:r>
              <w:rPr>
                <w:rFonts w:ascii="宋体" w:hAnsi="宋体" w:cs="宋体" w:eastAsia="宋体" w:hint="default"/>
                <w:spacing w:val="-18"/>
                <w:sz w:val="18"/>
                <w:szCs w:val="18"/>
              </w:rPr>
              <w:t> </w:t>
            </w: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、现金流”</w:t>
            </w:r>
          </w:p>
        </w:tc>
      </w:tr>
      <w:tr>
        <w:trPr>
          <w:trHeight w:val="392" w:hRule="exact"/>
        </w:trPr>
        <w:tc>
          <w:tcPr>
            <w:tcW w:w="137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345" w:type="dxa"/>
            <w:vMerge/>
            <w:tcBorders>
              <w:left w:val="single" w:sz="10" w:space="0" w:color="D2D2D2"/>
              <w:right w:val="single" w:sz="4" w:space="0" w:color="000000"/>
            </w:tcBorders>
          </w:tcPr>
          <w:p>
            <w:pPr/>
          </w:p>
        </w:tc>
        <w:tc>
          <w:tcPr>
            <w:tcW w:w="1003" w:type="dxa"/>
            <w:vMerge/>
            <w:tcBorders>
              <w:left w:val="single" w:sz="4" w:space="0" w:color="000000"/>
              <w:right w:val="single" w:sz="4" w:space="0" w:color="000000"/>
            </w:tcBorders>
          </w:tcPr>
          <w:p>
            <w:pPr/>
          </w:p>
        </w:tc>
        <w:tc>
          <w:tcPr>
            <w:tcW w:w="1436" w:type="dxa"/>
            <w:vMerge/>
            <w:tcBorders>
              <w:left w:val="single" w:sz="4" w:space="0" w:color="000000"/>
              <w:right w:val="single" w:sz="4" w:space="0" w:color="000000"/>
            </w:tcBorders>
          </w:tcPr>
          <w:p>
            <w:pPr/>
          </w:p>
        </w:tc>
        <w:tc>
          <w:tcPr>
            <w:tcW w:w="956" w:type="dxa"/>
            <w:vMerge/>
            <w:tcBorders>
              <w:left w:val="single" w:sz="4" w:space="0" w:color="000000"/>
              <w:right w:val="single" w:sz="4" w:space="0" w:color="000000"/>
            </w:tcBorders>
          </w:tcPr>
          <w:p>
            <w:pPr/>
          </w:p>
        </w:tc>
        <w:tc>
          <w:tcPr>
            <w:tcW w:w="848" w:type="dxa"/>
            <w:vMerge/>
            <w:tcBorders>
              <w:left w:val="single" w:sz="4" w:space="0" w:color="000000"/>
              <w:right w:val="single" w:sz="4" w:space="0" w:color="000000"/>
            </w:tcBorders>
          </w:tcPr>
          <w:p>
            <w:pPr/>
          </w:p>
        </w:tc>
        <w:tc>
          <w:tcPr>
            <w:tcW w:w="2721" w:type="dxa"/>
            <w:vMerge/>
            <w:tcBorders>
              <w:left w:val="single" w:sz="4" w:space="0" w:color="000000"/>
              <w:right w:val="single" w:sz="4" w:space="0" w:color="000000"/>
            </w:tcBorders>
          </w:tcPr>
          <w:p>
            <w:pPr/>
          </w:p>
        </w:tc>
      </w:tr>
      <w:tr>
        <w:trPr>
          <w:trHeight w:val="629" w:hRule="exact"/>
        </w:trPr>
        <w:tc>
          <w:tcPr>
            <w:tcW w:w="1374" w:type="dxa"/>
            <w:tcBorders>
              <w:top w:val="nil" w:sz="6" w:space="0" w:color="auto"/>
              <w:left w:val="single" w:sz="4" w:space="0" w:color="000000"/>
              <w:bottom w:val="single" w:sz="4" w:space="0" w:color="000000"/>
              <w:right w:val="single" w:sz="4" w:space="0" w:color="000000"/>
            </w:tcBorders>
            <w:shd w:val="clear" w:color="auto" w:fill="D2D2D2"/>
          </w:tcPr>
          <w:p>
            <w:pPr/>
          </w:p>
        </w:tc>
        <w:tc>
          <w:tcPr>
            <w:tcW w:w="1345" w:type="dxa"/>
            <w:vMerge/>
            <w:tcBorders>
              <w:left w:val="single" w:sz="10" w:space="0" w:color="D2D2D2"/>
              <w:bottom w:val="single" w:sz="4" w:space="0" w:color="000000"/>
              <w:right w:val="single" w:sz="4" w:space="0" w:color="000000"/>
            </w:tcBorders>
          </w:tcPr>
          <w:p>
            <w:pPr/>
          </w:p>
        </w:tc>
        <w:tc>
          <w:tcPr>
            <w:tcW w:w="1003" w:type="dxa"/>
            <w:vMerge/>
            <w:tcBorders>
              <w:left w:val="single" w:sz="4" w:space="0" w:color="000000"/>
              <w:bottom w:val="single" w:sz="4" w:space="0" w:color="000000"/>
              <w:right w:val="single" w:sz="4" w:space="0" w:color="000000"/>
            </w:tcBorders>
          </w:tcPr>
          <w:p>
            <w:pPr/>
          </w:p>
        </w:tc>
        <w:tc>
          <w:tcPr>
            <w:tcW w:w="1436" w:type="dxa"/>
            <w:vMerge/>
            <w:tcBorders>
              <w:left w:val="single" w:sz="4" w:space="0" w:color="000000"/>
              <w:bottom w:val="single" w:sz="4" w:space="0" w:color="000000"/>
              <w:right w:val="single" w:sz="4" w:space="0" w:color="000000"/>
            </w:tcBorders>
          </w:tcPr>
          <w:p>
            <w:pPr/>
          </w:p>
        </w:tc>
        <w:tc>
          <w:tcPr>
            <w:tcW w:w="956" w:type="dxa"/>
            <w:vMerge/>
            <w:tcBorders>
              <w:left w:val="single" w:sz="4" w:space="0" w:color="000000"/>
              <w:bottom w:val="single" w:sz="4" w:space="0" w:color="000000"/>
              <w:right w:val="single" w:sz="4" w:space="0" w:color="000000"/>
            </w:tcBorders>
          </w:tcPr>
          <w:p>
            <w:pPr/>
          </w:p>
        </w:tc>
        <w:tc>
          <w:tcPr>
            <w:tcW w:w="848" w:type="dxa"/>
            <w:vMerge/>
            <w:tcBorders>
              <w:left w:val="single" w:sz="4" w:space="0" w:color="000000"/>
              <w:bottom w:val="single" w:sz="4" w:space="0" w:color="000000"/>
              <w:right w:val="single" w:sz="4" w:space="0" w:color="000000"/>
            </w:tcBorders>
          </w:tcPr>
          <w:p>
            <w:pPr/>
          </w:p>
        </w:tc>
        <w:tc>
          <w:tcPr>
            <w:tcW w:w="2721" w:type="dxa"/>
            <w:vMerge/>
            <w:tcBorders>
              <w:left w:val="single" w:sz="4" w:space="0" w:color="000000"/>
              <w:bottom w:val="single" w:sz="4" w:space="0" w:color="000000"/>
              <w:right w:val="single" w:sz="4" w:space="0" w:color="000000"/>
            </w:tcBorders>
          </w:tcPr>
          <w:p>
            <w:pPr/>
          </w:p>
        </w:tc>
      </w:tr>
      <w:tr>
        <w:trPr>
          <w:trHeight w:val="402" w:hRule="exact"/>
        </w:trPr>
        <w:tc>
          <w:tcPr>
            <w:tcW w:w="1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34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1,141,078,105.66</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17.20%</w:t>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1,124,147,742.37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16.23%</w:t>
            </w:r>
          </w:p>
        </w:tc>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0.97%</w:t>
            </w:r>
          </w:p>
        </w:tc>
        <w:tc>
          <w:tcPr>
            <w:tcW w:w="272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34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165,368,186.38</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2.49%</w:t>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225,711,685.55</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3.26%</w:t>
            </w:r>
          </w:p>
        </w:tc>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-0.77%</w:t>
            </w:r>
          </w:p>
        </w:tc>
        <w:tc>
          <w:tcPr>
            <w:tcW w:w="2721"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374" w:type="dxa"/>
            <w:tcBorders>
              <w:top w:val="single" w:sz="4" w:space="0" w:color="000000"/>
              <w:left w:val="single" w:sz="4" w:space="0" w:color="000000"/>
              <w:bottom w:val="nil" w:sz="6" w:space="0" w:color="auto"/>
              <w:right w:val="single" w:sz="4" w:space="0" w:color="000000"/>
            </w:tcBorders>
            <w:shd w:val="clear" w:color="auto" w:fill="D2D2D2"/>
          </w:tcPr>
          <w:p>
            <w:pPr/>
          </w:p>
        </w:tc>
        <w:tc>
          <w:tcPr>
            <w:tcW w:w="1345" w:type="dxa"/>
            <w:vMerge w:val="restart"/>
            <w:tcBorders>
              <w:top w:val="single" w:sz="4" w:space="0" w:color="000000"/>
              <w:left w:val="single" w:sz="10"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0" w:right="0"/>
              <w:jc w:val="left"/>
              <w:rPr>
                <w:rFonts w:ascii="Times New Roman" w:hAnsi="Times New Roman" w:cs="Times New Roman" w:eastAsia="Times New Roman" w:hint="default"/>
                <w:sz w:val="18"/>
                <w:szCs w:val="18"/>
              </w:rPr>
            </w:pPr>
            <w:r>
              <w:rPr>
                <w:rFonts w:ascii="Times New Roman"/>
                <w:sz w:val="18"/>
              </w:rPr>
              <w:t>213,903,205.36</w:t>
            </w:r>
          </w:p>
        </w:tc>
        <w:tc>
          <w:tcPr>
            <w:tcW w:w="100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6" w:right="0"/>
              <w:jc w:val="left"/>
              <w:rPr>
                <w:rFonts w:ascii="Times New Roman" w:hAnsi="Times New Roman" w:cs="Times New Roman" w:eastAsia="Times New Roman" w:hint="default"/>
                <w:sz w:val="18"/>
                <w:szCs w:val="18"/>
              </w:rPr>
            </w:pPr>
            <w:r>
              <w:rPr>
                <w:rFonts w:ascii="Times New Roman"/>
                <w:sz w:val="18"/>
              </w:rPr>
              <w:t>3.22%</w:t>
            </w:r>
          </w:p>
        </w:tc>
        <w:tc>
          <w:tcPr>
            <w:tcW w:w="143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8" w:right="0"/>
              <w:jc w:val="left"/>
              <w:rPr>
                <w:rFonts w:ascii="Times New Roman" w:hAnsi="Times New Roman" w:cs="Times New Roman" w:eastAsia="Times New Roman" w:hint="default"/>
                <w:sz w:val="18"/>
                <w:szCs w:val="18"/>
              </w:rPr>
            </w:pPr>
            <w:r>
              <w:rPr>
                <w:rFonts w:ascii="Times New Roman"/>
                <w:sz w:val="18"/>
              </w:rPr>
              <w:t>159,980,567.72</w:t>
            </w:r>
          </w:p>
        </w:tc>
        <w:tc>
          <w:tcPr>
            <w:tcW w:w="95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8" w:right="0"/>
              <w:jc w:val="left"/>
              <w:rPr>
                <w:rFonts w:ascii="Times New Roman" w:hAnsi="Times New Roman" w:cs="Times New Roman" w:eastAsia="Times New Roman" w:hint="default"/>
                <w:sz w:val="18"/>
                <w:szCs w:val="18"/>
              </w:rPr>
            </w:pPr>
            <w:r>
              <w:rPr>
                <w:rFonts w:ascii="Times New Roman"/>
                <w:sz w:val="18"/>
              </w:rPr>
              <w:t>2.31%</w:t>
            </w:r>
          </w:p>
        </w:tc>
        <w:tc>
          <w:tcPr>
            <w:tcW w:w="84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1" w:right="0"/>
              <w:jc w:val="left"/>
              <w:rPr>
                <w:rFonts w:ascii="Times New Roman" w:hAnsi="Times New Roman" w:cs="Times New Roman" w:eastAsia="Times New Roman" w:hint="default"/>
                <w:sz w:val="18"/>
                <w:szCs w:val="18"/>
              </w:rPr>
            </w:pPr>
            <w:r>
              <w:rPr>
                <w:rFonts w:ascii="Times New Roman"/>
                <w:sz w:val="18"/>
              </w:rPr>
              <w:t>0.91%</w:t>
            </w:r>
          </w:p>
        </w:tc>
        <w:tc>
          <w:tcPr>
            <w:tcW w:w="2721" w:type="dxa"/>
            <w:vMerge w:val="restart"/>
            <w:tcBorders>
              <w:top w:val="single" w:sz="4" w:space="0" w:color="000000"/>
              <w:left w:val="single" w:sz="4" w:space="0" w:color="000000"/>
              <w:right w:val="single" w:sz="4" w:space="0" w:color="000000"/>
            </w:tcBorders>
          </w:tcPr>
          <w:p>
            <w:pPr>
              <w:pStyle w:val="TableParagraph"/>
              <w:spacing w:line="300" w:lineRule="auto" w:before="51"/>
              <w:ind w:left="24" w:right="104"/>
              <w:jc w:val="left"/>
              <w:rPr>
                <w:rFonts w:ascii="宋体" w:hAnsi="宋体" w:cs="宋体" w:eastAsia="宋体" w:hint="default"/>
                <w:sz w:val="18"/>
                <w:szCs w:val="18"/>
              </w:rPr>
            </w:pPr>
            <w:r>
              <w:rPr>
                <w:rFonts w:ascii="宋体" w:hAnsi="宋体" w:cs="宋体" w:eastAsia="宋体" w:hint="default"/>
                <w:sz w:val="18"/>
                <w:szCs w:val="18"/>
              </w:rPr>
              <w:t>较期初上升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33.71%</w:t>
            </w:r>
            <w:r>
              <w:rPr>
                <w:rFonts w:ascii="宋体" w:hAnsi="宋体" w:cs="宋体" w:eastAsia="宋体" w:hint="default"/>
                <w:sz w:val="18"/>
                <w:szCs w:val="18"/>
              </w:rPr>
              <w:t>，主要为债务 重组取得的房产用于出租所致。</w:t>
            </w:r>
          </w:p>
        </w:tc>
      </w:tr>
      <w:tr>
        <w:trPr>
          <w:trHeight w:val="392" w:hRule="exact"/>
        </w:trPr>
        <w:tc>
          <w:tcPr>
            <w:tcW w:w="137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345" w:type="dxa"/>
            <w:vMerge/>
            <w:tcBorders>
              <w:left w:val="single" w:sz="10" w:space="0" w:color="D2D2D2"/>
              <w:right w:val="single" w:sz="4" w:space="0" w:color="000000"/>
            </w:tcBorders>
          </w:tcPr>
          <w:p>
            <w:pPr/>
          </w:p>
        </w:tc>
        <w:tc>
          <w:tcPr>
            <w:tcW w:w="1003" w:type="dxa"/>
            <w:vMerge/>
            <w:tcBorders>
              <w:left w:val="single" w:sz="4" w:space="0" w:color="000000"/>
              <w:right w:val="single" w:sz="4" w:space="0" w:color="000000"/>
            </w:tcBorders>
          </w:tcPr>
          <w:p>
            <w:pPr/>
          </w:p>
        </w:tc>
        <w:tc>
          <w:tcPr>
            <w:tcW w:w="1436" w:type="dxa"/>
            <w:vMerge/>
            <w:tcBorders>
              <w:left w:val="single" w:sz="4" w:space="0" w:color="000000"/>
              <w:right w:val="single" w:sz="4" w:space="0" w:color="000000"/>
            </w:tcBorders>
          </w:tcPr>
          <w:p>
            <w:pPr/>
          </w:p>
        </w:tc>
        <w:tc>
          <w:tcPr>
            <w:tcW w:w="956" w:type="dxa"/>
            <w:vMerge/>
            <w:tcBorders>
              <w:left w:val="single" w:sz="4" w:space="0" w:color="000000"/>
              <w:right w:val="single" w:sz="4" w:space="0" w:color="000000"/>
            </w:tcBorders>
          </w:tcPr>
          <w:p>
            <w:pPr/>
          </w:p>
        </w:tc>
        <w:tc>
          <w:tcPr>
            <w:tcW w:w="848" w:type="dxa"/>
            <w:vMerge/>
            <w:tcBorders>
              <w:left w:val="single" w:sz="4" w:space="0" w:color="000000"/>
              <w:right w:val="single" w:sz="4" w:space="0" w:color="000000"/>
            </w:tcBorders>
          </w:tcPr>
          <w:p>
            <w:pPr/>
          </w:p>
        </w:tc>
        <w:tc>
          <w:tcPr>
            <w:tcW w:w="2721" w:type="dxa"/>
            <w:vMerge/>
            <w:tcBorders>
              <w:left w:val="single" w:sz="4" w:space="0" w:color="000000"/>
              <w:right w:val="single" w:sz="4" w:space="0" w:color="000000"/>
            </w:tcBorders>
          </w:tcPr>
          <w:p>
            <w:pPr/>
          </w:p>
        </w:tc>
      </w:tr>
      <w:tr>
        <w:trPr>
          <w:trHeight w:val="161" w:hRule="exact"/>
        </w:trPr>
        <w:tc>
          <w:tcPr>
            <w:tcW w:w="1374" w:type="dxa"/>
            <w:tcBorders>
              <w:top w:val="nil" w:sz="6" w:space="0" w:color="auto"/>
              <w:left w:val="single" w:sz="4" w:space="0" w:color="000000"/>
              <w:bottom w:val="single" w:sz="4" w:space="0" w:color="000000"/>
              <w:right w:val="single" w:sz="4" w:space="0" w:color="000000"/>
            </w:tcBorders>
            <w:shd w:val="clear" w:color="auto" w:fill="D2D2D2"/>
          </w:tcPr>
          <w:p>
            <w:pPr/>
          </w:p>
        </w:tc>
        <w:tc>
          <w:tcPr>
            <w:tcW w:w="1345" w:type="dxa"/>
            <w:vMerge/>
            <w:tcBorders>
              <w:left w:val="single" w:sz="10" w:space="0" w:color="D2D2D2"/>
              <w:bottom w:val="single" w:sz="4" w:space="0" w:color="000000"/>
              <w:right w:val="single" w:sz="4" w:space="0" w:color="000000"/>
            </w:tcBorders>
          </w:tcPr>
          <w:p>
            <w:pPr/>
          </w:p>
        </w:tc>
        <w:tc>
          <w:tcPr>
            <w:tcW w:w="1003" w:type="dxa"/>
            <w:vMerge/>
            <w:tcBorders>
              <w:left w:val="single" w:sz="4" w:space="0" w:color="000000"/>
              <w:bottom w:val="single" w:sz="4" w:space="0" w:color="000000"/>
              <w:right w:val="single" w:sz="4" w:space="0" w:color="000000"/>
            </w:tcBorders>
          </w:tcPr>
          <w:p>
            <w:pPr/>
          </w:p>
        </w:tc>
        <w:tc>
          <w:tcPr>
            <w:tcW w:w="1436" w:type="dxa"/>
            <w:vMerge/>
            <w:tcBorders>
              <w:left w:val="single" w:sz="4" w:space="0" w:color="000000"/>
              <w:bottom w:val="single" w:sz="4" w:space="0" w:color="000000"/>
              <w:right w:val="single" w:sz="4" w:space="0" w:color="000000"/>
            </w:tcBorders>
          </w:tcPr>
          <w:p>
            <w:pPr/>
          </w:p>
        </w:tc>
        <w:tc>
          <w:tcPr>
            <w:tcW w:w="956" w:type="dxa"/>
            <w:vMerge/>
            <w:tcBorders>
              <w:left w:val="single" w:sz="4" w:space="0" w:color="000000"/>
              <w:bottom w:val="single" w:sz="4" w:space="0" w:color="000000"/>
              <w:right w:val="single" w:sz="4" w:space="0" w:color="000000"/>
            </w:tcBorders>
          </w:tcPr>
          <w:p>
            <w:pPr/>
          </w:p>
        </w:tc>
        <w:tc>
          <w:tcPr>
            <w:tcW w:w="848" w:type="dxa"/>
            <w:vMerge/>
            <w:tcBorders>
              <w:left w:val="single" w:sz="4" w:space="0" w:color="000000"/>
              <w:bottom w:val="single" w:sz="4" w:space="0" w:color="000000"/>
              <w:right w:val="single" w:sz="4" w:space="0" w:color="000000"/>
            </w:tcBorders>
          </w:tcPr>
          <w:p>
            <w:pPr/>
          </w:p>
        </w:tc>
        <w:tc>
          <w:tcPr>
            <w:tcW w:w="2721" w:type="dxa"/>
            <w:vMerge/>
            <w:tcBorders>
              <w:left w:val="single" w:sz="4" w:space="0" w:color="000000"/>
              <w:bottom w:val="single" w:sz="4" w:space="0" w:color="000000"/>
              <w:right w:val="single" w:sz="4" w:space="0" w:color="000000"/>
            </w:tcBorders>
          </w:tcPr>
          <w:p>
            <w:pPr/>
          </w:p>
        </w:tc>
      </w:tr>
      <w:tr>
        <w:trPr>
          <w:trHeight w:val="402" w:hRule="exact"/>
        </w:trPr>
        <w:tc>
          <w:tcPr>
            <w:tcW w:w="1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34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314,091,424.71</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4.73%</w:t>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305,366,447.10</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4.41%</w:t>
            </w:r>
          </w:p>
        </w:tc>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0.32%</w:t>
            </w:r>
          </w:p>
        </w:tc>
        <w:tc>
          <w:tcPr>
            <w:tcW w:w="272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34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408,370,602.31</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6.15%</w:t>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423,187,880.87</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6.11%</w:t>
            </w:r>
          </w:p>
        </w:tc>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0.04%</w:t>
            </w:r>
          </w:p>
        </w:tc>
        <w:tc>
          <w:tcPr>
            <w:tcW w:w="272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34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137,556.35</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120,021.25</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272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34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380,000,000.00</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5.73%</w:t>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301,445,999.00</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4.35%</w:t>
            </w:r>
          </w:p>
        </w:tc>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1.38%</w:t>
            </w:r>
          </w:p>
        </w:tc>
        <w:tc>
          <w:tcPr>
            <w:tcW w:w="272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34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62,500,000.00</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0.94%</w:t>
            </w:r>
          </w:p>
        </w:tc>
        <w:tc>
          <w:tcPr>
            <w:tcW w:w="1436"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0.94%</w:t>
            </w:r>
          </w:p>
        </w:tc>
        <w:tc>
          <w:tcPr>
            <w:tcW w:w="2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本期新增长期借款所致。</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以公允价值计量的资产和负债" w:id="54"/>
      <w:bookmarkEnd w:id="54"/>
      <w:r>
        <w:rPr>
          <w:b w:val="0"/>
          <w:bCs w:val="0"/>
        </w:rPr>
      </w:r>
      <w:r>
        <w:rPr>
          <w:rFonts w:ascii="Times New Roman" w:hAnsi="Times New Roman" w:cs="Times New Roman" w:eastAsia="Times New Roman" w:hint="default"/>
        </w:rPr>
        <w:t>2</w:t>
      </w:r>
      <w:r>
        <w:rPr/>
        <w:t>、以公允价值计量的资产和负债</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right="0"/>
        <w:jc w:val="left"/>
        <w:rPr>
          <w:b w:val="0"/>
          <w:bCs w:val="0"/>
        </w:rPr>
      </w:pPr>
      <w:bookmarkStart w:name="3、截至报告期末的资产权利受限情况" w:id="55"/>
      <w:bookmarkEnd w:id="55"/>
      <w:r>
        <w:rPr>
          <w:b w:val="0"/>
          <w:bCs w:val="0"/>
        </w:rPr>
      </w:r>
      <w:r>
        <w:rPr>
          <w:rFonts w:ascii="Times New Roman" w:hAnsi="Times New Roman" w:cs="Times New Roman" w:eastAsia="Times New Roman" w:hint="default"/>
        </w:rPr>
        <w:t>3</w:t>
      </w:r>
      <w:r>
        <w:rPr/>
        <w:t>、截至报告期末的资产权利受限情况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截至报告期末</w:t>
      </w:r>
      <w:r>
        <w:rPr>
          <w:spacing w:val="-88"/>
        </w:rPr>
        <w:t>，</w:t>
      </w:r>
      <w:r>
        <w:rPr/>
        <w:t>资产权力受限情况详见“财务报告”中“七</w:t>
      </w:r>
      <w:r>
        <w:rPr>
          <w:spacing w:val="-88"/>
        </w:rPr>
        <w:t>、</w:t>
      </w:r>
      <w:r>
        <w:rPr/>
        <w:t>合并财务报表项目注释 </w:t>
      </w:r>
      <w:r>
        <w:rPr>
          <w:rFonts w:ascii="宋体" w:hAnsi="宋体" w:cs="宋体" w:eastAsia="宋体" w:hint="default"/>
        </w:rPr>
        <w:t>70</w:t>
      </w:r>
      <w:r>
        <w:rPr>
          <w:spacing w:val="-88"/>
        </w:rPr>
        <w:t>、</w:t>
      </w:r>
      <w:r>
        <w:rPr/>
        <w:t>所有权或使用权受到限制的资产”。</w:t>
      </w:r>
    </w:p>
    <w:p>
      <w:pPr>
        <w:spacing w:line="240" w:lineRule="auto" w:before="2"/>
        <w:rPr>
          <w:rFonts w:ascii="宋体" w:hAnsi="宋体" w:cs="宋体" w:eastAsia="宋体" w:hint="default"/>
          <w:sz w:val="25"/>
          <w:szCs w:val="25"/>
        </w:rPr>
      </w:pPr>
    </w:p>
    <w:p>
      <w:pPr>
        <w:pStyle w:val="Heading2"/>
        <w:spacing w:line="240" w:lineRule="auto"/>
        <w:ind w:right="0"/>
        <w:jc w:val="left"/>
        <w:rPr>
          <w:b w:val="0"/>
          <w:bCs w:val="0"/>
        </w:rPr>
      </w:pPr>
      <w:bookmarkStart w:name="五、投资状况分析" w:id="56"/>
      <w:bookmarkEnd w:id="56"/>
      <w:r>
        <w:rPr>
          <w:b w:val="0"/>
          <w:bCs w:val="0"/>
        </w:rPr>
      </w:r>
      <w:r>
        <w:rPr/>
        <w:t>五、投资状况分析</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总体情况" w:id="57"/>
      <w:bookmarkEnd w:id="57"/>
      <w:r>
        <w:rPr>
          <w:b w:val="0"/>
          <w:bCs w:val="0"/>
        </w:rPr>
      </w:r>
      <w:r>
        <w:rPr>
          <w:rFonts w:ascii="Times New Roman" w:hAnsi="Times New Roman" w:cs="Times New Roman" w:eastAsia="Times New Roman" w:hint="default"/>
        </w:rPr>
        <w:t>1</w:t>
      </w:r>
      <w:r>
        <w:rPr/>
        <w:t>、总体情况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7"/>
          <w:szCs w:val="7"/>
        </w:rPr>
      </w:pPr>
    </w:p>
    <w:tbl>
      <w:tblPr>
        <w:tblW w:w="0" w:type="auto"/>
        <w:jc w:val="left"/>
        <w:tblInd w:w="121" w:type="dxa"/>
        <w:tblLayout w:type="fixed"/>
        <w:tblCellMar>
          <w:top w:w="0" w:type="dxa"/>
          <w:left w:w="0" w:type="dxa"/>
          <w:bottom w:w="0" w:type="dxa"/>
          <w:right w:w="0" w:type="dxa"/>
        </w:tblCellMar>
        <w:tblLook w:val="01E0"/>
      </w:tblPr>
      <w:tblGrid>
        <w:gridCol w:w="3230"/>
        <w:gridCol w:w="3233"/>
        <w:gridCol w:w="3232"/>
      </w:tblGrid>
      <w:tr>
        <w:trPr>
          <w:trHeight w:val="402" w:hRule="exact"/>
        </w:trPr>
        <w:tc>
          <w:tcPr>
            <w:tcW w:w="32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报告期投资额（元）</w:t>
            </w:r>
          </w:p>
        </w:tc>
        <w:tc>
          <w:tcPr>
            <w:tcW w:w="32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50" w:right="0"/>
              <w:jc w:val="left"/>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2" w:hRule="exact"/>
        </w:trPr>
        <w:tc>
          <w:tcPr>
            <w:tcW w:w="3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127,165,000.02</w:t>
            </w:r>
          </w:p>
        </w:tc>
        <w:tc>
          <w:tcPr>
            <w:tcW w:w="32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444,642,000.00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03" w:right="0"/>
              <w:jc w:val="left"/>
              <w:rPr>
                <w:rFonts w:ascii="Times New Roman" w:hAnsi="Times New Roman" w:cs="Times New Roman" w:eastAsia="Times New Roman" w:hint="default"/>
                <w:sz w:val="18"/>
                <w:szCs w:val="18"/>
              </w:rPr>
            </w:pPr>
            <w:r>
              <w:rPr>
                <w:rFonts w:ascii="Times New Roman"/>
                <w:sz w:val="18"/>
              </w:rPr>
              <w:t>-71.40%</w:t>
            </w:r>
          </w:p>
        </w:tc>
      </w:tr>
    </w:tbl>
    <w:p>
      <w:pPr>
        <w:spacing w:after="0" w:line="240" w:lineRule="auto"/>
        <w:jc w:val="left"/>
        <w:rPr>
          <w:rFonts w:ascii="Times New Roman" w:hAnsi="Times New Roman" w:cs="Times New Roman" w:eastAsia="Times New Roman" w:hint="default"/>
          <w:sz w:val="18"/>
          <w:szCs w:val="18"/>
        </w:rPr>
        <w:sectPr>
          <w:pgSz w:w="11910" w:h="16840"/>
          <w:pgMar w:header="851" w:footer="1187" w:top="1400" w:bottom="1380" w:left="980" w:right="0"/>
        </w:sectPr>
      </w:pPr>
    </w:p>
    <w:p>
      <w:pPr>
        <w:spacing w:line="240" w:lineRule="auto" w:before="7"/>
        <w:rPr>
          <w:rFonts w:ascii="宋体" w:hAnsi="宋体" w:cs="宋体" w:eastAsia="宋体" w:hint="default"/>
          <w:sz w:val="3"/>
          <w:szCs w:val="3"/>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2、报告期内获取的重大的股权投资情况" w:id="58"/>
      <w:bookmarkEnd w:id="58"/>
      <w:r>
        <w:rPr>
          <w:b w:val="0"/>
          <w:bCs w:val="0"/>
        </w:rPr>
      </w:r>
      <w:r>
        <w:rPr>
          <w:rFonts w:ascii="Times New Roman" w:hAnsi="Times New Roman" w:cs="Times New Roman" w:eastAsia="Times New Roman" w:hint="default"/>
        </w:rPr>
        <w:t>2</w:t>
      </w:r>
      <w:r>
        <w:rPr/>
        <w:t>、报告期内获取的重大的股权投资情况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1"/>
        <w:rPr>
          <w:rFonts w:ascii="宋体" w:hAnsi="宋体" w:cs="宋体" w:eastAsia="宋体" w:hint="default"/>
          <w:b/>
          <w:bCs/>
          <w:sz w:val="25"/>
          <w:szCs w:val="25"/>
        </w:rPr>
      </w:pPr>
    </w:p>
    <w:p>
      <w:pPr>
        <w:pStyle w:val="Heading3"/>
        <w:spacing w:line="240" w:lineRule="auto"/>
        <w:ind w:right="0"/>
        <w:jc w:val="left"/>
        <w:rPr>
          <w:b w:val="0"/>
          <w:bCs w:val="0"/>
        </w:rPr>
      </w:pPr>
      <w:bookmarkStart w:name="3、报告期内正在进行的重大的非股权投资情况" w:id="59"/>
      <w:bookmarkEnd w:id="59"/>
      <w:r>
        <w:rPr>
          <w:b w:val="0"/>
          <w:bCs w:val="0"/>
        </w:rPr>
      </w: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0"/>
        <w:rPr>
          <w:rFonts w:ascii="宋体" w:hAnsi="宋体" w:cs="宋体" w:eastAsia="宋体" w:hint="default"/>
          <w:b/>
          <w:bCs/>
          <w:sz w:val="25"/>
          <w:szCs w:val="25"/>
        </w:rPr>
      </w:pPr>
    </w:p>
    <w:p>
      <w:pPr>
        <w:pStyle w:val="Heading3"/>
        <w:spacing w:line="240" w:lineRule="auto"/>
        <w:ind w:right="0"/>
        <w:jc w:val="left"/>
        <w:rPr>
          <w:b w:val="0"/>
          <w:bCs w:val="0"/>
        </w:rPr>
      </w:pPr>
      <w:bookmarkStart w:name="4、以公允价值计量的金融资产" w:id="60"/>
      <w:bookmarkEnd w:id="60"/>
      <w:r>
        <w:rPr>
          <w:b w:val="0"/>
          <w:bCs w:val="0"/>
        </w:rPr>
      </w:r>
      <w:r>
        <w:rPr>
          <w:rFonts w:ascii="Times New Roman" w:hAnsi="Times New Roman" w:cs="Times New Roman" w:eastAsia="Times New Roman" w:hint="default"/>
        </w:rPr>
        <w:t>4</w:t>
      </w:r>
      <w:r>
        <w:rPr/>
        <w:t>、以公允价值计量的金融资产</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0"/>
        <w:rPr>
          <w:rFonts w:ascii="宋体" w:hAnsi="宋体" w:cs="宋体" w:eastAsia="宋体" w:hint="default"/>
          <w:b/>
          <w:bCs/>
          <w:sz w:val="25"/>
          <w:szCs w:val="25"/>
        </w:rPr>
      </w:pPr>
    </w:p>
    <w:p>
      <w:pPr>
        <w:pStyle w:val="Heading3"/>
        <w:spacing w:line="240" w:lineRule="auto"/>
        <w:ind w:right="0"/>
        <w:jc w:val="left"/>
        <w:rPr>
          <w:b w:val="0"/>
          <w:bCs w:val="0"/>
        </w:rPr>
      </w:pPr>
      <w:bookmarkStart w:name="5、募集资金使用情况" w:id="61"/>
      <w:bookmarkEnd w:id="61"/>
      <w:r>
        <w:rPr>
          <w:b w:val="0"/>
          <w:bCs w:val="0"/>
        </w:rPr>
      </w:r>
      <w:r>
        <w:rPr>
          <w:rFonts w:ascii="Times New Roman" w:hAnsi="Times New Roman" w:cs="Times New Roman" w:eastAsia="Times New Roman" w:hint="default"/>
        </w:rPr>
        <w:t>5</w:t>
      </w:r>
      <w:r>
        <w:rPr/>
        <w:t>、募集资金使用情况</w:t>
      </w:r>
      <w:r>
        <w:rPr>
          <w:b w:val="0"/>
          <w:bCs w:val="0"/>
        </w:rPr>
      </w:r>
    </w:p>
    <w:p>
      <w:pPr>
        <w:spacing w:line="240" w:lineRule="auto" w:before="9"/>
        <w:rPr>
          <w:rFonts w:ascii="宋体" w:hAnsi="宋体" w:cs="宋体" w:eastAsia="宋体" w:hint="default"/>
          <w:b/>
          <w:bCs/>
          <w:sz w:val="26"/>
          <w:szCs w:val="26"/>
        </w:rPr>
      </w:pPr>
    </w:p>
    <w:p>
      <w:pPr>
        <w:spacing w:line="412" w:lineRule="auto" w:before="0"/>
        <w:ind w:left="154" w:right="805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1"/>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公司报告期无募集资金使用情况。</w:t>
      </w:r>
    </w:p>
    <w:p>
      <w:pPr>
        <w:spacing w:line="240" w:lineRule="auto" w:before="0"/>
        <w:rPr>
          <w:rFonts w:ascii="宋体" w:hAnsi="宋体" w:cs="宋体" w:eastAsia="宋体" w:hint="default"/>
          <w:sz w:val="21"/>
          <w:szCs w:val="21"/>
        </w:rPr>
      </w:pPr>
    </w:p>
    <w:p>
      <w:pPr>
        <w:pStyle w:val="Heading2"/>
        <w:spacing w:line="240" w:lineRule="auto"/>
        <w:ind w:right="0"/>
        <w:jc w:val="left"/>
        <w:rPr>
          <w:b w:val="0"/>
          <w:bCs w:val="0"/>
        </w:rPr>
      </w:pPr>
      <w:bookmarkStart w:name="六、重大资产和股权出售" w:id="62"/>
      <w:bookmarkEnd w:id="62"/>
      <w:r>
        <w:rPr>
          <w:b w:val="0"/>
          <w:bCs w:val="0"/>
        </w:rPr>
      </w:r>
      <w:r>
        <w:rPr/>
        <w:t>六、重大资产和股权出售</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出售重大资产情况" w:id="63"/>
      <w:bookmarkEnd w:id="63"/>
      <w:r>
        <w:rPr>
          <w:b w:val="0"/>
          <w:bCs w:val="0"/>
        </w:rPr>
      </w:r>
      <w:r>
        <w:rPr>
          <w:rFonts w:ascii="Times New Roman" w:hAnsi="Times New Roman" w:cs="Times New Roman" w:eastAsia="Times New Roman" w:hint="default"/>
        </w:rPr>
        <w:t>1</w:t>
      </w:r>
      <w:r>
        <w:rPr/>
        <w:t>、出售重大资产情况</w:t>
      </w:r>
      <w:r>
        <w:rPr>
          <w:b w:val="0"/>
          <w:bCs w:val="0"/>
        </w:rPr>
      </w:r>
    </w:p>
    <w:p>
      <w:pPr>
        <w:spacing w:line="240" w:lineRule="auto" w:before="8"/>
        <w:rPr>
          <w:rFonts w:ascii="宋体" w:hAnsi="宋体" w:cs="宋体" w:eastAsia="宋体" w:hint="default"/>
          <w:b/>
          <w:bCs/>
          <w:sz w:val="26"/>
          <w:szCs w:val="26"/>
        </w:rPr>
      </w:pPr>
    </w:p>
    <w:p>
      <w:pPr>
        <w:spacing w:line="415" w:lineRule="auto" w:before="0"/>
        <w:ind w:left="154" w:right="8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1"/>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公司报告期未出售重大资产。</w:t>
      </w:r>
    </w:p>
    <w:p>
      <w:pPr>
        <w:spacing w:line="240" w:lineRule="auto" w:before="10"/>
        <w:rPr>
          <w:rFonts w:ascii="宋体" w:hAnsi="宋体" w:cs="宋体" w:eastAsia="宋体" w:hint="default"/>
          <w:sz w:val="22"/>
          <w:szCs w:val="22"/>
        </w:rPr>
      </w:pPr>
    </w:p>
    <w:p>
      <w:pPr>
        <w:pStyle w:val="Heading3"/>
        <w:spacing w:line="240" w:lineRule="auto"/>
        <w:ind w:right="0"/>
        <w:jc w:val="left"/>
        <w:rPr>
          <w:b w:val="0"/>
          <w:bCs w:val="0"/>
        </w:rPr>
      </w:pPr>
      <w:bookmarkStart w:name="2、出售重大股权情况" w:id="64"/>
      <w:bookmarkEnd w:id="64"/>
      <w:r>
        <w:rPr>
          <w:b w:val="0"/>
          <w:bCs w:val="0"/>
        </w:rPr>
      </w:r>
      <w:r>
        <w:rPr>
          <w:rFonts w:ascii="Times New Roman" w:hAnsi="Times New Roman" w:cs="Times New Roman" w:eastAsia="Times New Roman" w:hint="default"/>
        </w:rPr>
        <w:t>2</w:t>
      </w:r>
      <w:r>
        <w:rPr/>
        <w:t>、出售重大股权情况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24"/>
          <w:szCs w:val="24"/>
        </w:rPr>
      </w:pPr>
    </w:p>
    <w:p>
      <w:pPr>
        <w:pStyle w:val="Heading2"/>
        <w:spacing w:line="240" w:lineRule="auto"/>
        <w:ind w:right="0"/>
        <w:jc w:val="left"/>
        <w:rPr>
          <w:b w:val="0"/>
          <w:bCs w:val="0"/>
        </w:rPr>
      </w:pPr>
      <w:bookmarkStart w:name="七、主要控股参股公司分析" w:id="65"/>
      <w:bookmarkEnd w:id="65"/>
      <w:r>
        <w:rPr>
          <w:b w:val="0"/>
          <w:bCs w:val="0"/>
        </w:rPr>
      </w:r>
      <w:r>
        <w:rPr/>
        <w:t>七、主要控股参股公司分析</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13"/>
          <w:szCs w:val="13"/>
        </w:rPr>
      </w:pPr>
    </w:p>
    <w:p>
      <w:pPr>
        <w:pStyle w:val="Heading5"/>
        <w:spacing w:line="240" w:lineRule="auto"/>
        <w:ind w:right="0"/>
        <w:jc w:val="left"/>
        <w:rPr>
          <w:b w:val="0"/>
          <w:bCs w:val="0"/>
        </w:rPr>
      </w:pPr>
      <w:r>
        <w:rPr/>
        <w:t>主要子公司及对公司净利润影响达</w:t>
      </w:r>
      <w:r>
        <w:rPr>
          <w:spacing w:val="-50"/>
        </w:rPr>
        <w:t> </w:t>
      </w:r>
      <w:r>
        <w:rPr>
          <w:rFonts w:ascii="Times New Roman" w:hAnsi="Times New Roman" w:cs="Times New Roman" w:eastAsia="Times New Roman" w:hint="default"/>
        </w:rPr>
        <w:t>10%</w:t>
      </w:r>
      <w:r>
        <w:rPr/>
        <w:t>以上的参股公司情况</w:t>
      </w:r>
      <w:r>
        <w:rPr>
          <w:b w:val="0"/>
          <w:bCs w:val="0"/>
        </w:rPr>
      </w:r>
    </w:p>
    <w:p>
      <w:pPr>
        <w:spacing w:line="240" w:lineRule="auto" w:before="5"/>
        <w:rPr>
          <w:rFonts w:ascii="宋体" w:hAnsi="宋体" w:cs="宋体" w:eastAsia="宋体" w:hint="default"/>
          <w:b/>
          <w:bCs/>
          <w:sz w:val="16"/>
          <w:szCs w:val="16"/>
        </w:rPr>
      </w:pPr>
    </w:p>
    <w:p>
      <w:pPr>
        <w:pStyle w:val="BodyText"/>
        <w:spacing w:line="240" w:lineRule="auto" w:before="44"/>
        <w:ind w:left="0" w:right="1130"/>
        <w:jc w:val="right"/>
      </w:pPr>
      <w:r>
        <w:rPr/>
        <w:t>单位：元</w:t>
      </w:r>
    </w:p>
    <w:p>
      <w:pPr>
        <w:spacing w:line="240" w:lineRule="auto" w:before="13"/>
        <w:rPr>
          <w:rFonts w:ascii="宋体" w:hAnsi="宋体" w:cs="宋体" w:eastAsia="宋体" w:hint="default"/>
          <w:sz w:val="13"/>
          <w:szCs w:val="13"/>
        </w:rPr>
      </w:pPr>
    </w:p>
    <w:tbl>
      <w:tblPr>
        <w:tblW w:w="0" w:type="auto"/>
        <w:jc w:val="left"/>
        <w:tblInd w:w="121" w:type="dxa"/>
        <w:tblLayout w:type="fixed"/>
        <w:tblCellMar>
          <w:top w:w="0" w:type="dxa"/>
          <w:left w:w="0" w:type="dxa"/>
          <w:bottom w:w="0" w:type="dxa"/>
          <w:right w:w="0" w:type="dxa"/>
        </w:tblCellMar>
        <w:tblLook w:val="01E0"/>
      </w:tblPr>
      <w:tblGrid>
        <w:gridCol w:w="809"/>
        <w:gridCol w:w="523"/>
        <w:gridCol w:w="668"/>
        <w:gridCol w:w="1181"/>
        <w:gridCol w:w="1317"/>
        <w:gridCol w:w="1386"/>
        <w:gridCol w:w="1386"/>
        <w:gridCol w:w="1243"/>
        <w:gridCol w:w="1181"/>
      </w:tblGrid>
      <w:tr>
        <w:trPr>
          <w:trHeight w:val="713" w:hRule="exact"/>
        </w:trPr>
        <w:tc>
          <w:tcPr>
            <w:tcW w:w="8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8"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5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75" w:right="77"/>
              <w:jc w:val="left"/>
              <w:rPr>
                <w:rFonts w:ascii="宋体" w:hAnsi="宋体" w:cs="宋体" w:eastAsia="宋体" w:hint="default"/>
                <w:sz w:val="18"/>
                <w:szCs w:val="18"/>
              </w:rPr>
            </w:pPr>
            <w:r>
              <w:rPr>
                <w:rFonts w:ascii="宋体" w:hAnsi="宋体" w:cs="宋体" w:eastAsia="宋体" w:hint="default"/>
                <w:sz w:val="18"/>
                <w:szCs w:val="18"/>
              </w:rPr>
              <w:t>公司 类型</w:t>
            </w:r>
          </w:p>
        </w:tc>
        <w:tc>
          <w:tcPr>
            <w:tcW w:w="6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38" w:right="59" w:hanging="180"/>
              <w:jc w:val="left"/>
              <w:rPr>
                <w:rFonts w:ascii="宋体" w:hAnsi="宋体" w:cs="宋体" w:eastAsia="宋体" w:hint="default"/>
                <w:sz w:val="18"/>
                <w:szCs w:val="18"/>
              </w:rPr>
            </w:pPr>
            <w:r>
              <w:rPr>
                <w:rFonts w:ascii="宋体" w:hAnsi="宋体" w:cs="宋体" w:eastAsia="宋体" w:hint="default"/>
                <w:sz w:val="18"/>
                <w:szCs w:val="18"/>
              </w:rPr>
              <w:t>主要业 务</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注册资本</w:t>
            </w:r>
          </w:p>
        </w:tc>
        <w:tc>
          <w:tcPr>
            <w:tcW w:w="13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83"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3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7"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3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27"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55"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净利润</w:t>
            </w:r>
          </w:p>
        </w:tc>
      </w:tr>
      <w:tr>
        <w:trPr>
          <w:trHeight w:val="1026" w:hRule="exact"/>
        </w:trPr>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22" w:right="54"/>
              <w:jc w:val="both"/>
              <w:rPr>
                <w:rFonts w:ascii="宋体" w:hAnsi="宋体" w:cs="宋体" w:eastAsia="宋体" w:hint="default"/>
                <w:sz w:val="18"/>
                <w:szCs w:val="18"/>
              </w:rPr>
            </w:pPr>
            <w:r>
              <w:rPr>
                <w:rFonts w:ascii="宋体" w:hAnsi="宋体" w:cs="宋体" w:eastAsia="宋体" w:hint="default"/>
                <w:sz w:val="18"/>
                <w:szCs w:val="18"/>
              </w:rPr>
              <w:t>北京新媒 传信科技 有限公司</w:t>
            </w:r>
          </w:p>
        </w:tc>
        <w:tc>
          <w:tcPr>
            <w:tcW w:w="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65" w:right="77" w:hanging="90"/>
              <w:jc w:val="left"/>
              <w:rPr>
                <w:rFonts w:ascii="宋体" w:hAnsi="宋体" w:cs="宋体" w:eastAsia="宋体" w:hint="default"/>
                <w:sz w:val="18"/>
                <w:szCs w:val="18"/>
              </w:rPr>
            </w:pPr>
            <w:r>
              <w:rPr>
                <w:rFonts w:ascii="宋体" w:hAnsi="宋体" w:cs="宋体" w:eastAsia="宋体" w:hint="default"/>
                <w:sz w:val="18"/>
                <w:szCs w:val="18"/>
              </w:rPr>
              <w:t>子公 司</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58" w:right="59"/>
              <w:jc w:val="both"/>
              <w:rPr>
                <w:rFonts w:ascii="宋体" w:hAnsi="宋体" w:cs="宋体" w:eastAsia="宋体" w:hint="default"/>
                <w:sz w:val="18"/>
                <w:szCs w:val="18"/>
              </w:rPr>
            </w:pPr>
            <w:r>
              <w:rPr>
                <w:rFonts w:ascii="宋体" w:hAnsi="宋体" w:cs="宋体" w:eastAsia="宋体" w:hint="default"/>
                <w:sz w:val="18"/>
                <w:szCs w:val="18"/>
              </w:rPr>
              <w:t>互联网 开发及 运营</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91" w:right="0"/>
              <w:jc w:val="center"/>
              <w:rPr>
                <w:rFonts w:ascii="Times New Roman" w:hAnsi="Times New Roman" w:cs="Times New Roman" w:eastAsia="Times New Roman" w:hint="default"/>
                <w:sz w:val="18"/>
                <w:szCs w:val="18"/>
              </w:rPr>
            </w:pPr>
            <w:r>
              <w:rPr>
                <w:rFonts w:ascii="Times New Roman"/>
                <w:sz w:val="18"/>
              </w:rPr>
              <w:t>50,000,000.00</w:t>
            </w:r>
          </w:p>
        </w:tc>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778,747,807.40</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723,614,012.44</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188,404,836.52</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-36,588,230.84</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31" w:right="0"/>
              <w:jc w:val="center"/>
              <w:rPr>
                <w:rFonts w:ascii="Times New Roman" w:hAnsi="Times New Roman" w:cs="Times New Roman" w:eastAsia="Times New Roman" w:hint="default"/>
                <w:sz w:val="18"/>
                <w:szCs w:val="18"/>
              </w:rPr>
            </w:pPr>
            <w:r>
              <w:rPr>
                <w:rFonts w:ascii="Times New Roman"/>
                <w:sz w:val="18"/>
              </w:rPr>
              <w:t>-35,409,532.79</w:t>
            </w:r>
          </w:p>
        </w:tc>
      </w:tr>
      <w:tr>
        <w:trPr>
          <w:trHeight w:val="1027" w:hRule="exact"/>
        </w:trPr>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22" w:right="54"/>
              <w:jc w:val="both"/>
              <w:rPr>
                <w:rFonts w:ascii="宋体" w:hAnsi="宋体" w:cs="宋体" w:eastAsia="宋体" w:hint="default"/>
                <w:sz w:val="18"/>
                <w:szCs w:val="18"/>
              </w:rPr>
            </w:pPr>
            <w:r>
              <w:rPr>
                <w:rFonts w:ascii="宋体" w:hAnsi="宋体" w:cs="宋体" w:eastAsia="宋体" w:hint="default"/>
                <w:sz w:val="18"/>
                <w:szCs w:val="18"/>
              </w:rPr>
              <w:t>北京神州 泰岳系统 集成有限</w:t>
            </w:r>
          </w:p>
        </w:tc>
        <w:tc>
          <w:tcPr>
            <w:tcW w:w="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65" w:right="77" w:hanging="90"/>
              <w:jc w:val="left"/>
              <w:rPr>
                <w:rFonts w:ascii="宋体" w:hAnsi="宋体" w:cs="宋体" w:eastAsia="宋体" w:hint="default"/>
                <w:sz w:val="18"/>
                <w:szCs w:val="18"/>
              </w:rPr>
            </w:pPr>
            <w:r>
              <w:rPr>
                <w:rFonts w:ascii="宋体" w:hAnsi="宋体" w:cs="宋体" w:eastAsia="宋体" w:hint="default"/>
                <w:sz w:val="18"/>
                <w:szCs w:val="18"/>
              </w:rPr>
              <w:t>子公 司</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58" w:right="59"/>
              <w:jc w:val="both"/>
              <w:rPr>
                <w:rFonts w:ascii="宋体" w:hAnsi="宋体" w:cs="宋体" w:eastAsia="宋体" w:hint="default"/>
                <w:sz w:val="18"/>
                <w:szCs w:val="18"/>
              </w:rPr>
            </w:pPr>
            <w:r>
              <w:rPr>
                <w:rFonts w:ascii="宋体" w:hAnsi="宋体" w:cs="宋体" w:eastAsia="宋体" w:hint="default"/>
                <w:sz w:val="18"/>
                <w:szCs w:val="18"/>
              </w:rPr>
              <w:t>计算机 系统集 成业务</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91" w:right="0"/>
              <w:jc w:val="center"/>
              <w:rPr>
                <w:rFonts w:ascii="Times New Roman" w:hAnsi="Times New Roman" w:cs="Times New Roman" w:eastAsia="Times New Roman" w:hint="default"/>
                <w:sz w:val="18"/>
                <w:szCs w:val="18"/>
              </w:rPr>
            </w:pPr>
            <w:r>
              <w:rPr>
                <w:rFonts w:ascii="Times New Roman"/>
                <w:sz w:val="18"/>
              </w:rPr>
              <w:t>60,000,000.00</w:t>
            </w:r>
          </w:p>
        </w:tc>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654,513,643.36</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-2,971,494.27</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80,266,066.51</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-44,264,359.67</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31" w:right="0"/>
              <w:jc w:val="center"/>
              <w:rPr>
                <w:rFonts w:ascii="Times New Roman" w:hAnsi="Times New Roman" w:cs="Times New Roman" w:eastAsia="Times New Roman" w:hint="default"/>
                <w:sz w:val="18"/>
                <w:szCs w:val="18"/>
              </w:rPr>
            </w:pPr>
            <w:r>
              <w:rPr>
                <w:rFonts w:ascii="Times New Roman"/>
                <w:sz w:val="18"/>
              </w:rPr>
              <w:t>-39,893,351.28</w:t>
            </w:r>
          </w:p>
        </w:tc>
      </w:tr>
    </w:tbl>
    <w:p>
      <w:pPr>
        <w:spacing w:after="0" w:line="240" w:lineRule="auto"/>
        <w:jc w:val="center"/>
        <w:rPr>
          <w:rFonts w:ascii="Times New Roman" w:hAnsi="Times New Roman" w:cs="Times New Roman" w:eastAsia="Times New Roman" w:hint="default"/>
          <w:sz w:val="18"/>
          <w:szCs w:val="18"/>
        </w:rPr>
        <w:sectPr>
          <w:pgSz w:w="11910" w:h="16840"/>
          <w:pgMar w:header="851" w:footer="1187" w:top="1400" w:bottom="1380" w:left="980" w:right="0"/>
        </w:sectPr>
      </w:pPr>
    </w:p>
    <w:tbl>
      <w:tblPr>
        <w:tblW w:w="0" w:type="auto"/>
        <w:jc w:val="left"/>
        <w:tblInd w:w="101" w:type="dxa"/>
        <w:tblLayout w:type="fixed"/>
        <w:tblCellMar>
          <w:top w:w="0" w:type="dxa"/>
          <w:left w:w="0" w:type="dxa"/>
          <w:bottom w:w="0" w:type="dxa"/>
          <w:right w:w="0" w:type="dxa"/>
        </w:tblCellMar>
        <w:tblLook w:val="01E0"/>
      </w:tblPr>
      <w:tblGrid>
        <w:gridCol w:w="809"/>
        <w:gridCol w:w="523"/>
        <w:gridCol w:w="668"/>
        <w:gridCol w:w="1181"/>
        <w:gridCol w:w="158"/>
        <w:gridCol w:w="1159"/>
        <w:gridCol w:w="1386"/>
        <w:gridCol w:w="1386"/>
        <w:gridCol w:w="1243"/>
        <w:gridCol w:w="1181"/>
      </w:tblGrid>
      <w:tr>
        <w:trPr>
          <w:trHeight w:val="374" w:hRule="exact"/>
        </w:trPr>
        <w:tc>
          <w:tcPr>
            <w:tcW w:w="80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523" w:type="dxa"/>
            <w:tcBorders>
              <w:top w:val="single" w:sz="10" w:space="0" w:color="000000"/>
              <w:left w:val="single" w:sz="4" w:space="0" w:color="000000"/>
              <w:bottom w:val="single" w:sz="4" w:space="0" w:color="000000"/>
              <w:right w:val="single" w:sz="4" w:space="0" w:color="000000"/>
            </w:tcBorders>
          </w:tcPr>
          <w:p>
            <w:pPr/>
          </w:p>
        </w:tc>
        <w:tc>
          <w:tcPr>
            <w:tcW w:w="668" w:type="dxa"/>
            <w:tcBorders>
              <w:top w:val="single" w:sz="10" w:space="0" w:color="000000"/>
              <w:left w:val="single" w:sz="4" w:space="0" w:color="000000"/>
              <w:bottom w:val="single" w:sz="4" w:space="0" w:color="000000"/>
              <w:right w:val="single" w:sz="4" w:space="0" w:color="000000"/>
            </w:tcBorders>
          </w:tcPr>
          <w:p>
            <w:pPr/>
          </w:p>
        </w:tc>
        <w:tc>
          <w:tcPr>
            <w:tcW w:w="1181" w:type="dxa"/>
            <w:tcBorders>
              <w:top w:val="single" w:sz="10" w:space="0" w:color="000000"/>
              <w:left w:val="single" w:sz="4" w:space="0" w:color="000000"/>
              <w:bottom w:val="single" w:sz="4" w:space="0" w:color="000000"/>
              <w:right w:val="single" w:sz="4" w:space="0" w:color="000000"/>
            </w:tcBorders>
          </w:tcPr>
          <w:p>
            <w:pPr/>
          </w:p>
        </w:tc>
        <w:tc>
          <w:tcPr>
            <w:tcW w:w="1317" w:type="dxa"/>
            <w:gridSpan w:val="2"/>
            <w:tcBorders>
              <w:top w:val="single" w:sz="10" w:space="0" w:color="000000"/>
              <w:left w:val="single" w:sz="4" w:space="0" w:color="000000"/>
              <w:bottom w:val="single" w:sz="4" w:space="0" w:color="000000"/>
              <w:right w:val="single" w:sz="4" w:space="0" w:color="000000"/>
            </w:tcBorders>
          </w:tcPr>
          <w:p>
            <w:pPr/>
          </w:p>
        </w:tc>
        <w:tc>
          <w:tcPr>
            <w:tcW w:w="1386" w:type="dxa"/>
            <w:tcBorders>
              <w:top w:val="single" w:sz="10" w:space="0" w:color="000000"/>
              <w:left w:val="single" w:sz="4" w:space="0" w:color="000000"/>
              <w:bottom w:val="single" w:sz="4" w:space="0" w:color="000000"/>
              <w:right w:val="single" w:sz="4" w:space="0" w:color="000000"/>
            </w:tcBorders>
          </w:tcPr>
          <w:p>
            <w:pPr/>
          </w:p>
        </w:tc>
        <w:tc>
          <w:tcPr>
            <w:tcW w:w="1386" w:type="dxa"/>
            <w:tcBorders>
              <w:top w:val="single" w:sz="10" w:space="0" w:color="000000"/>
              <w:left w:val="single" w:sz="4" w:space="0" w:color="000000"/>
              <w:bottom w:val="single" w:sz="4" w:space="0" w:color="000000"/>
              <w:right w:val="single" w:sz="4" w:space="0" w:color="000000"/>
            </w:tcBorders>
          </w:tcPr>
          <w:p>
            <w:pPr/>
          </w:p>
        </w:tc>
        <w:tc>
          <w:tcPr>
            <w:tcW w:w="1243" w:type="dxa"/>
            <w:tcBorders>
              <w:top w:val="single" w:sz="10" w:space="0" w:color="000000"/>
              <w:left w:val="single" w:sz="4" w:space="0" w:color="000000"/>
              <w:bottom w:val="single" w:sz="4" w:space="0" w:color="000000"/>
              <w:right w:val="single" w:sz="4" w:space="0" w:color="000000"/>
            </w:tcBorders>
          </w:tcPr>
          <w:p>
            <w:pPr/>
          </w:p>
        </w:tc>
        <w:tc>
          <w:tcPr>
            <w:tcW w:w="1181" w:type="dxa"/>
            <w:tcBorders>
              <w:top w:val="single" w:sz="10" w:space="0" w:color="000000"/>
              <w:left w:val="single" w:sz="4" w:space="0" w:color="000000"/>
              <w:bottom w:val="single" w:sz="4" w:space="0" w:color="000000"/>
              <w:right w:val="single" w:sz="4" w:space="0" w:color="000000"/>
            </w:tcBorders>
          </w:tcPr>
          <w:p>
            <w:pPr/>
          </w:p>
        </w:tc>
      </w:tr>
      <w:tr>
        <w:trPr>
          <w:trHeight w:val="1338" w:hRule="exact"/>
        </w:trPr>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319" w:lineRule="auto"/>
              <w:ind w:left="22" w:right="54"/>
              <w:jc w:val="both"/>
              <w:rPr>
                <w:rFonts w:ascii="宋体" w:hAnsi="宋体" w:cs="宋体" w:eastAsia="宋体" w:hint="default"/>
                <w:sz w:val="18"/>
                <w:szCs w:val="18"/>
              </w:rPr>
            </w:pPr>
            <w:r>
              <w:rPr>
                <w:rFonts w:ascii="宋体" w:hAnsi="宋体" w:cs="宋体" w:eastAsia="宋体" w:hint="default"/>
                <w:sz w:val="18"/>
                <w:szCs w:val="18"/>
              </w:rPr>
              <w:t>天津壳木 软件有限 责任公司</w:t>
            </w:r>
          </w:p>
        </w:tc>
        <w:tc>
          <w:tcPr>
            <w:tcW w:w="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3"/>
              <w:ind w:left="165" w:right="77" w:hanging="90"/>
              <w:jc w:val="left"/>
              <w:rPr>
                <w:rFonts w:ascii="宋体" w:hAnsi="宋体" w:cs="宋体" w:eastAsia="宋体" w:hint="default"/>
                <w:sz w:val="18"/>
                <w:szCs w:val="18"/>
              </w:rPr>
            </w:pPr>
            <w:r>
              <w:rPr>
                <w:rFonts w:ascii="宋体" w:hAnsi="宋体" w:cs="宋体" w:eastAsia="宋体" w:hint="default"/>
                <w:sz w:val="18"/>
                <w:szCs w:val="18"/>
              </w:rPr>
              <w:t>子公 司</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6"/>
              <w:ind w:left="58" w:right="59"/>
              <w:jc w:val="center"/>
              <w:rPr>
                <w:rFonts w:ascii="宋体" w:hAnsi="宋体" w:cs="宋体" w:eastAsia="宋体" w:hint="default"/>
                <w:sz w:val="18"/>
                <w:szCs w:val="18"/>
              </w:rPr>
            </w:pPr>
            <w:r>
              <w:rPr>
                <w:rFonts w:ascii="宋体" w:hAnsi="宋体" w:cs="宋体" w:eastAsia="宋体" w:hint="default"/>
                <w:sz w:val="18"/>
                <w:szCs w:val="18"/>
              </w:rPr>
              <w:t>手机游 戏的开 发与运 营</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5,000,000.00</w:t>
            </w:r>
          </w:p>
        </w:tc>
        <w:tc>
          <w:tcPr>
            <w:tcW w:w="13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159" w:right="0"/>
              <w:jc w:val="left"/>
              <w:rPr>
                <w:rFonts w:ascii="Times New Roman" w:hAnsi="Times New Roman" w:cs="Times New Roman" w:eastAsia="Times New Roman" w:hint="default"/>
                <w:sz w:val="18"/>
                <w:szCs w:val="18"/>
              </w:rPr>
            </w:pPr>
            <w:r>
              <w:rPr>
                <w:rFonts w:ascii="Times New Roman"/>
                <w:sz w:val="18"/>
              </w:rPr>
              <w:t>844,568,353.32</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738,885,241.45</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609,359,749.89</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141,138,445.93</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142,719,119.71</w:t>
            </w:r>
          </w:p>
        </w:tc>
      </w:tr>
      <w:tr>
        <w:trPr>
          <w:trHeight w:val="1026" w:hRule="exact"/>
        </w:trPr>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神州泰岳</w:t>
            </w:r>
          </w:p>
          <w:p>
            <w:pPr>
              <w:pStyle w:val="TableParagraph"/>
              <w:spacing w:line="319" w:lineRule="auto" w:before="76"/>
              <w:ind w:left="22" w:right="54"/>
              <w:jc w:val="left"/>
              <w:rPr>
                <w:rFonts w:ascii="宋体" w:hAnsi="宋体" w:cs="宋体" w:eastAsia="宋体" w:hint="default"/>
                <w:sz w:val="18"/>
                <w:szCs w:val="18"/>
              </w:rPr>
            </w:pPr>
            <w:r>
              <w:rPr>
                <w:rFonts w:ascii="宋体" w:hAnsi="宋体" w:cs="宋体" w:eastAsia="宋体" w:hint="default"/>
                <w:sz w:val="18"/>
                <w:szCs w:val="18"/>
              </w:rPr>
              <w:t>（香港） 有限公司</w:t>
            </w:r>
          </w:p>
        </w:tc>
        <w:tc>
          <w:tcPr>
            <w:tcW w:w="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319" w:lineRule="auto"/>
              <w:ind w:left="165" w:right="77" w:hanging="90"/>
              <w:jc w:val="left"/>
              <w:rPr>
                <w:rFonts w:ascii="宋体" w:hAnsi="宋体" w:cs="宋体" w:eastAsia="宋体" w:hint="default"/>
                <w:sz w:val="18"/>
                <w:szCs w:val="18"/>
              </w:rPr>
            </w:pPr>
            <w:r>
              <w:rPr>
                <w:rFonts w:ascii="宋体" w:hAnsi="宋体" w:cs="宋体" w:eastAsia="宋体" w:hint="default"/>
                <w:sz w:val="18"/>
                <w:szCs w:val="18"/>
              </w:rPr>
              <w:t>子公 司</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6"/>
              <w:ind w:left="58" w:right="59"/>
              <w:jc w:val="both"/>
              <w:rPr>
                <w:rFonts w:ascii="宋体" w:hAnsi="宋体" w:cs="宋体" w:eastAsia="宋体" w:hint="default"/>
                <w:sz w:val="18"/>
                <w:szCs w:val="18"/>
              </w:rPr>
            </w:pPr>
            <w:r>
              <w:rPr>
                <w:rFonts w:ascii="宋体" w:hAnsi="宋体" w:cs="宋体" w:eastAsia="宋体" w:hint="default"/>
                <w:sz w:val="18"/>
                <w:szCs w:val="18"/>
              </w:rPr>
              <w:t>海外业 务投资 平台</w:t>
            </w:r>
          </w:p>
        </w:tc>
        <w:tc>
          <w:tcPr>
            <w:tcW w:w="1181" w:type="dxa"/>
            <w:tcBorders>
              <w:top w:val="single" w:sz="4" w:space="0" w:color="000000"/>
              <w:left w:val="single" w:sz="4" w:space="0" w:color="000000"/>
              <w:bottom w:val="single" w:sz="4" w:space="0" w:color="000000"/>
              <w:right w:val="single" w:sz="10" w:space="0" w:color="FFFFFF"/>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万（港币</w:t>
            </w:r>
          </w:p>
        </w:tc>
        <w:tc>
          <w:tcPr>
            <w:tcW w:w="158" w:type="dxa"/>
            <w:tcBorders>
              <w:top w:val="single" w:sz="4" w:space="0" w:color="000000"/>
              <w:left w:val="single" w:sz="10" w:space="0" w:color="FFFFFF"/>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left="-131" w:right="0"/>
              <w:jc w:val="left"/>
              <w:rPr>
                <w:rFonts w:ascii="宋体" w:hAnsi="宋体" w:cs="宋体" w:eastAsia="宋体" w:hint="default"/>
                <w:sz w:val="18"/>
                <w:szCs w:val="18"/>
              </w:rPr>
            </w:pPr>
            <w:r>
              <w:rPr>
                <w:rFonts w:ascii="宋体" w:hAnsi="宋体" w:cs="宋体" w:eastAsia="宋体" w:hint="default"/>
                <w:sz w:val="18"/>
                <w:szCs w:val="18"/>
              </w:rPr>
              <w:t>）</w:t>
            </w:r>
          </w:p>
        </w:tc>
        <w:tc>
          <w:tcPr>
            <w:tcW w:w="1159"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96" w:right="0"/>
              <w:jc w:val="left"/>
              <w:rPr>
                <w:rFonts w:ascii="Times New Roman" w:hAnsi="Times New Roman" w:cs="Times New Roman" w:eastAsia="Times New Roman" w:hint="default"/>
                <w:sz w:val="18"/>
                <w:szCs w:val="18"/>
              </w:rPr>
            </w:pPr>
            <w:r>
              <w:rPr>
                <w:rFonts w:ascii="Times New Roman"/>
                <w:sz w:val="18"/>
              </w:rPr>
              <w:t>61,321,292.12</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-89,629,306.57</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9,990,898.40</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-30,423,292.90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-29,852,554.00</w:t>
            </w:r>
          </w:p>
        </w:tc>
      </w:tr>
      <w:tr>
        <w:trPr>
          <w:trHeight w:val="1650" w:hRule="exact"/>
        </w:trPr>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6"/>
              <w:ind w:left="22" w:right="54"/>
              <w:jc w:val="both"/>
              <w:rPr>
                <w:rFonts w:ascii="宋体" w:hAnsi="宋体" w:cs="宋体" w:eastAsia="宋体" w:hint="default"/>
                <w:sz w:val="18"/>
                <w:szCs w:val="18"/>
              </w:rPr>
            </w:pPr>
            <w:r>
              <w:rPr>
                <w:rFonts w:ascii="宋体" w:hAnsi="宋体" w:cs="宋体" w:eastAsia="宋体" w:hint="default"/>
                <w:sz w:val="18"/>
                <w:szCs w:val="18"/>
              </w:rPr>
              <w:t>奇点新源 国际技术 开发（北 京）有限 公司</w:t>
            </w:r>
          </w:p>
        </w:tc>
        <w:tc>
          <w:tcPr>
            <w:tcW w:w="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316" w:lineRule="auto"/>
              <w:ind w:left="165" w:right="77" w:hanging="90"/>
              <w:jc w:val="left"/>
              <w:rPr>
                <w:rFonts w:ascii="宋体" w:hAnsi="宋体" w:cs="宋体" w:eastAsia="宋体" w:hint="default"/>
                <w:sz w:val="18"/>
                <w:szCs w:val="18"/>
              </w:rPr>
            </w:pPr>
            <w:r>
              <w:rPr>
                <w:rFonts w:ascii="宋体" w:hAnsi="宋体" w:cs="宋体" w:eastAsia="宋体" w:hint="default"/>
                <w:sz w:val="18"/>
                <w:szCs w:val="18"/>
              </w:rPr>
              <w:t>子公 司</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9" w:lineRule="auto" w:before="123"/>
              <w:ind w:left="33" w:right="33"/>
              <w:jc w:val="center"/>
              <w:rPr>
                <w:rFonts w:ascii="宋体" w:hAnsi="宋体" w:cs="宋体" w:eastAsia="宋体" w:hint="default"/>
                <w:sz w:val="18"/>
                <w:szCs w:val="18"/>
              </w:rPr>
            </w:pPr>
            <w:r>
              <w:rPr>
                <w:rFonts w:ascii="宋体" w:hAnsi="宋体" w:cs="宋体" w:eastAsia="宋体" w:hint="default"/>
                <w:sz w:val="18"/>
                <w:szCs w:val="18"/>
              </w:rPr>
              <w:t>物联网</w:t>
            </w:r>
            <w:r>
              <w:rPr>
                <w:rFonts w:ascii="Times New Roman" w:hAnsi="Times New Roman" w:cs="Times New Roman" w:eastAsia="Times New Roman" w:hint="default"/>
                <w:sz w:val="18"/>
                <w:szCs w:val="18"/>
              </w:rPr>
              <w:t>/ </w:t>
            </w:r>
            <w:r>
              <w:rPr>
                <w:rFonts w:ascii="宋体" w:hAnsi="宋体" w:cs="宋体" w:eastAsia="宋体" w:hint="default"/>
                <w:sz w:val="18"/>
                <w:szCs w:val="18"/>
              </w:rPr>
              <w:t>通信业 务</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10,989,010.00</w:t>
            </w:r>
          </w:p>
        </w:tc>
        <w:tc>
          <w:tcPr>
            <w:tcW w:w="13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59" w:right="0"/>
              <w:jc w:val="left"/>
              <w:rPr>
                <w:rFonts w:ascii="Times New Roman" w:hAnsi="Times New Roman" w:cs="Times New Roman" w:eastAsia="Times New Roman" w:hint="default"/>
                <w:sz w:val="18"/>
                <w:szCs w:val="18"/>
              </w:rPr>
            </w:pPr>
            <w:r>
              <w:rPr>
                <w:rFonts w:ascii="Times New Roman"/>
                <w:sz w:val="18"/>
              </w:rPr>
              <w:t>177,143,077.88</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-4,469,759.12</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94,558,097.10</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18,645,796.78</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19,996,598.67</w:t>
            </w:r>
          </w:p>
        </w:tc>
      </w:tr>
      <w:tr>
        <w:trPr>
          <w:trHeight w:val="1026" w:hRule="exact"/>
        </w:trPr>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6"/>
              <w:ind w:left="22" w:right="54"/>
              <w:jc w:val="both"/>
              <w:rPr>
                <w:rFonts w:ascii="宋体" w:hAnsi="宋体" w:cs="宋体" w:eastAsia="宋体" w:hint="default"/>
                <w:sz w:val="18"/>
                <w:szCs w:val="18"/>
              </w:rPr>
            </w:pPr>
            <w:r>
              <w:rPr>
                <w:rFonts w:ascii="宋体" w:hAnsi="宋体" w:cs="宋体" w:eastAsia="宋体" w:hint="default"/>
                <w:sz w:val="18"/>
                <w:szCs w:val="18"/>
              </w:rPr>
              <w:t>重庆新媒 农信科技 有限公司</w:t>
            </w:r>
          </w:p>
        </w:tc>
        <w:tc>
          <w:tcPr>
            <w:tcW w:w="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316" w:lineRule="auto"/>
              <w:ind w:left="165" w:right="77" w:hanging="90"/>
              <w:jc w:val="left"/>
              <w:rPr>
                <w:rFonts w:ascii="宋体" w:hAnsi="宋体" w:cs="宋体" w:eastAsia="宋体" w:hint="default"/>
                <w:sz w:val="18"/>
                <w:szCs w:val="18"/>
              </w:rPr>
            </w:pPr>
            <w:r>
              <w:rPr>
                <w:rFonts w:ascii="宋体" w:hAnsi="宋体" w:cs="宋体" w:eastAsia="宋体" w:hint="default"/>
                <w:sz w:val="18"/>
                <w:szCs w:val="18"/>
              </w:rPr>
              <w:t>子公 司</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6"/>
              <w:ind w:left="58" w:right="59"/>
              <w:jc w:val="both"/>
              <w:rPr>
                <w:rFonts w:ascii="宋体" w:hAnsi="宋体" w:cs="宋体" w:eastAsia="宋体" w:hint="default"/>
                <w:sz w:val="18"/>
                <w:szCs w:val="18"/>
              </w:rPr>
            </w:pPr>
            <w:r>
              <w:rPr>
                <w:rFonts w:ascii="宋体" w:hAnsi="宋体" w:cs="宋体" w:eastAsia="宋体" w:hint="default"/>
                <w:sz w:val="18"/>
                <w:szCs w:val="18"/>
              </w:rPr>
              <w:t>移动互 联网运 维支撑</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103,300,000.00</w:t>
            </w:r>
          </w:p>
        </w:tc>
        <w:tc>
          <w:tcPr>
            <w:tcW w:w="13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59" w:right="0"/>
              <w:jc w:val="left"/>
              <w:rPr>
                <w:rFonts w:ascii="Times New Roman" w:hAnsi="Times New Roman" w:cs="Times New Roman" w:eastAsia="Times New Roman" w:hint="default"/>
                <w:sz w:val="18"/>
                <w:szCs w:val="18"/>
              </w:rPr>
            </w:pPr>
            <w:r>
              <w:rPr>
                <w:rFonts w:ascii="Times New Roman"/>
                <w:sz w:val="18"/>
              </w:rPr>
              <w:t>176,359,008.65</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175,189,817.64</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4,159,643.13</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-15,305,828.08</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-15,328,410.57</w:t>
            </w:r>
          </w:p>
        </w:tc>
      </w:tr>
      <w:tr>
        <w:trPr>
          <w:trHeight w:val="1026" w:hRule="exact"/>
        </w:trPr>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6"/>
              <w:ind w:left="22" w:right="54"/>
              <w:jc w:val="both"/>
              <w:rPr>
                <w:rFonts w:ascii="宋体" w:hAnsi="宋体" w:cs="宋体" w:eastAsia="宋体" w:hint="default"/>
                <w:sz w:val="18"/>
                <w:szCs w:val="18"/>
              </w:rPr>
            </w:pPr>
            <w:r>
              <w:rPr>
                <w:rFonts w:ascii="宋体" w:hAnsi="宋体" w:cs="宋体" w:eastAsia="宋体" w:hint="default"/>
                <w:sz w:val="18"/>
                <w:szCs w:val="18"/>
              </w:rPr>
              <w:t>天津泰岳 小漫科技 有限公司</w:t>
            </w:r>
          </w:p>
        </w:tc>
        <w:tc>
          <w:tcPr>
            <w:tcW w:w="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316" w:lineRule="auto"/>
              <w:ind w:left="165" w:right="77" w:hanging="90"/>
              <w:jc w:val="left"/>
              <w:rPr>
                <w:rFonts w:ascii="宋体" w:hAnsi="宋体" w:cs="宋体" w:eastAsia="宋体" w:hint="default"/>
                <w:sz w:val="18"/>
                <w:szCs w:val="18"/>
              </w:rPr>
            </w:pPr>
            <w:r>
              <w:rPr>
                <w:rFonts w:ascii="宋体" w:hAnsi="宋体" w:cs="宋体" w:eastAsia="宋体" w:hint="default"/>
                <w:sz w:val="18"/>
                <w:szCs w:val="18"/>
              </w:rPr>
              <w:t>子公 司</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6"/>
              <w:ind w:left="58" w:right="59"/>
              <w:jc w:val="both"/>
              <w:rPr>
                <w:rFonts w:ascii="宋体" w:hAnsi="宋体" w:cs="宋体" w:eastAsia="宋体" w:hint="default"/>
                <w:sz w:val="18"/>
                <w:szCs w:val="18"/>
              </w:rPr>
            </w:pPr>
            <w:r>
              <w:rPr>
                <w:rFonts w:ascii="宋体" w:hAnsi="宋体" w:cs="宋体" w:eastAsia="宋体" w:hint="default"/>
                <w:sz w:val="18"/>
                <w:szCs w:val="18"/>
              </w:rPr>
              <w:t>海外上 网服务 业务</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15,000,000.00</w:t>
            </w:r>
          </w:p>
        </w:tc>
        <w:tc>
          <w:tcPr>
            <w:tcW w:w="13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249" w:right="0"/>
              <w:jc w:val="left"/>
              <w:rPr>
                <w:rFonts w:ascii="Times New Roman" w:hAnsi="Times New Roman" w:cs="Times New Roman" w:eastAsia="Times New Roman" w:hint="default"/>
                <w:sz w:val="18"/>
                <w:szCs w:val="18"/>
              </w:rPr>
            </w:pPr>
            <w:r>
              <w:rPr>
                <w:rFonts w:ascii="Times New Roman"/>
                <w:sz w:val="18"/>
              </w:rPr>
              <w:t>47,680,436.79</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30,474,213.93</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83,400,250.18</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18,486,212.77</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16,577,409.30</w:t>
            </w:r>
          </w:p>
        </w:tc>
      </w:tr>
      <w:tr>
        <w:trPr>
          <w:trHeight w:val="1338" w:hRule="exact"/>
        </w:trPr>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6"/>
              <w:ind w:left="22" w:right="54"/>
              <w:jc w:val="both"/>
              <w:rPr>
                <w:rFonts w:ascii="宋体" w:hAnsi="宋体" w:cs="宋体" w:eastAsia="宋体" w:hint="default"/>
                <w:sz w:val="18"/>
                <w:szCs w:val="18"/>
              </w:rPr>
            </w:pPr>
            <w:r>
              <w:rPr>
                <w:rFonts w:ascii="宋体" w:hAnsi="宋体" w:cs="宋体" w:eastAsia="宋体" w:hint="default"/>
                <w:sz w:val="18"/>
                <w:szCs w:val="18"/>
              </w:rPr>
              <w:t>大连华信 计算机技 术股份有 限公司</w:t>
            </w:r>
          </w:p>
        </w:tc>
        <w:tc>
          <w:tcPr>
            <w:tcW w:w="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3"/>
              <w:ind w:left="75" w:right="77"/>
              <w:jc w:val="left"/>
              <w:rPr>
                <w:rFonts w:ascii="宋体" w:hAnsi="宋体" w:cs="宋体" w:eastAsia="宋体" w:hint="default"/>
                <w:sz w:val="18"/>
                <w:szCs w:val="18"/>
              </w:rPr>
            </w:pPr>
            <w:r>
              <w:rPr>
                <w:rFonts w:ascii="宋体" w:hAnsi="宋体" w:cs="宋体" w:eastAsia="宋体" w:hint="default"/>
                <w:sz w:val="18"/>
                <w:szCs w:val="18"/>
              </w:rPr>
              <w:t>参股 公司</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3"/>
              <w:ind w:left="58" w:right="59"/>
              <w:jc w:val="left"/>
              <w:rPr>
                <w:rFonts w:ascii="宋体" w:hAnsi="宋体" w:cs="宋体" w:eastAsia="宋体" w:hint="default"/>
                <w:sz w:val="18"/>
                <w:szCs w:val="18"/>
              </w:rPr>
            </w:pPr>
            <w:r>
              <w:rPr>
                <w:rFonts w:ascii="宋体" w:hAnsi="宋体" w:cs="宋体" w:eastAsia="宋体" w:hint="default"/>
                <w:sz w:val="18"/>
                <w:szCs w:val="18"/>
              </w:rPr>
              <w:t>软件服 务外包</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368,371,500.00</w:t>
            </w:r>
          </w:p>
        </w:tc>
        <w:tc>
          <w:tcPr>
            <w:tcW w:w="13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2,726,149,368.16</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1,402,483,301.11</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2,310,263,294.81</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194,947,631.13</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201,056,785.78</w:t>
            </w:r>
          </w:p>
        </w:tc>
      </w:tr>
      <w:tr>
        <w:trPr>
          <w:trHeight w:val="714" w:hRule="exact"/>
        </w:trPr>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6"/>
              <w:ind w:left="22" w:right="54"/>
              <w:jc w:val="left"/>
              <w:rPr>
                <w:rFonts w:ascii="宋体" w:hAnsi="宋体" w:cs="宋体" w:eastAsia="宋体" w:hint="default"/>
                <w:sz w:val="18"/>
                <w:szCs w:val="18"/>
              </w:rPr>
            </w:pPr>
            <w:r>
              <w:rPr>
                <w:rFonts w:ascii="宋体" w:hAnsi="宋体" w:cs="宋体" w:eastAsia="宋体" w:hint="default"/>
                <w:sz w:val="18"/>
                <w:szCs w:val="18"/>
              </w:rPr>
              <w:t>蓝鸥科技 有限公司</w:t>
            </w:r>
          </w:p>
        </w:tc>
        <w:tc>
          <w:tcPr>
            <w:tcW w:w="52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6"/>
              <w:ind w:left="75" w:right="77"/>
              <w:jc w:val="left"/>
              <w:rPr>
                <w:rFonts w:ascii="宋体" w:hAnsi="宋体" w:cs="宋体" w:eastAsia="宋体" w:hint="default"/>
                <w:sz w:val="18"/>
                <w:szCs w:val="18"/>
              </w:rPr>
            </w:pPr>
            <w:r>
              <w:rPr>
                <w:rFonts w:ascii="宋体" w:hAnsi="宋体" w:cs="宋体" w:eastAsia="宋体" w:hint="default"/>
                <w:sz w:val="18"/>
                <w:szCs w:val="18"/>
              </w:rPr>
              <w:t>参股 公司</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6"/>
              <w:ind w:left="238" w:right="59" w:hanging="180"/>
              <w:jc w:val="left"/>
              <w:rPr>
                <w:rFonts w:ascii="宋体" w:hAnsi="宋体" w:cs="宋体" w:eastAsia="宋体" w:hint="default"/>
                <w:sz w:val="18"/>
                <w:szCs w:val="18"/>
              </w:rPr>
            </w:pPr>
            <w:r>
              <w:rPr>
                <w:rFonts w:ascii="宋体" w:hAnsi="宋体" w:cs="宋体" w:eastAsia="宋体" w:hint="default"/>
                <w:sz w:val="18"/>
                <w:szCs w:val="18"/>
              </w:rPr>
              <w:t>职业教 育</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66,666,700.00</w:t>
            </w:r>
          </w:p>
        </w:tc>
        <w:tc>
          <w:tcPr>
            <w:tcW w:w="13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249" w:right="0"/>
              <w:jc w:val="left"/>
              <w:rPr>
                <w:rFonts w:ascii="Times New Roman" w:hAnsi="Times New Roman" w:cs="Times New Roman" w:eastAsia="Times New Roman" w:hint="default"/>
                <w:sz w:val="18"/>
                <w:szCs w:val="18"/>
              </w:rPr>
            </w:pPr>
            <w:r>
              <w:rPr>
                <w:rFonts w:ascii="Times New Roman"/>
                <w:sz w:val="18"/>
              </w:rPr>
              <w:t>91,036,295.45</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69,891,442.94</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39,079,012.16</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-26,185,437.37</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-27,402,440.90</w:t>
            </w:r>
          </w:p>
        </w:tc>
      </w:tr>
    </w:tbl>
    <w:p>
      <w:pPr>
        <w:spacing w:line="240" w:lineRule="auto" w:before="2"/>
        <w:rPr>
          <w:rFonts w:ascii="宋体" w:hAnsi="宋体" w:cs="宋体" w:eastAsia="宋体" w:hint="default"/>
          <w:sz w:val="6"/>
          <w:szCs w:val="6"/>
        </w:rPr>
      </w:pPr>
      <w:r>
        <w:rPr/>
        <w:pict>
          <v:group style="position:absolute;margin-left:215.839996pt;margin-top:174.259979pt;width:63.05pt;height:19.650pt;mso-position-horizontal-relative:page;mso-position-vertical-relative:page;z-index:-1077352" coordorigin="4317,3485" coordsize="1261,393">
            <v:shape style="position:absolute;left:4317;top:3485;width:1261;height:393" coordorigin="4317,3485" coordsize="1261,393" path="m4317,3878l5577,3878,5577,3485,4317,3485,4317,3878xe" filled="true" fillcolor="#ffffff" stroked="false">
              <v:path arrowok="t"/>
              <v:fill type="solid"/>
            </v:shape>
            <w10:wrap type="none"/>
          </v:group>
        </w:pict>
      </w:r>
    </w:p>
    <w:p>
      <w:pPr>
        <w:pStyle w:val="Heading5"/>
        <w:spacing w:line="240" w:lineRule="auto" w:before="44"/>
        <w:ind w:left="134" w:right="7680"/>
        <w:jc w:val="left"/>
        <w:rPr>
          <w:b w:val="0"/>
          <w:bCs w:val="0"/>
        </w:rPr>
      </w:pPr>
      <w:r>
        <w:rPr/>
        <w:t>报告期内取得和处置子公司的情况</w:t>
      </w:r>
      <w:r>
        <w:rPr>
          <w:b w:val="0"/>
          <w:bCs w:val="0"/>
        </w:rPr>
      </w:r>
    </w:p>
    <w:p>
      <w:pPr>
        <w:spacing w:line="240" w:lineRule="auto" w:before="12"/>
        <w:rPr>
          <w:rFonts w:ascii="宋体" w:hAnsi="宋体" w:cs="宋体" w:eastAsia="宋体" w:hint="default"/>
          <w:b/>
          <w:bCs/>
          <w:sz w:val="20"/>
          <w:szCs w:val="20"/>
        </w:rPr>
      </w:pPr>
    </w:p>
    <w:p>
      <w:pPr>
        <w:spacing w:before="0"/>
        <w:ind w:left="134" w:right="7680"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12"/>
          <w:szCs w:val="12"/>
        </w:rPr>
      </w:pPr>
    </w:p>
    <w:tbl>
      <w:tblPr>
        <w:tblW w:w="0" w:type="auto"/>
        <w:jc w:val="left"/>
        <w:tblInd w:w="129" w:type="dxa"/>
        <w:tblLayout w:type="fixed"/>
        <w:tblCellMar>
          <w:top w:w="0" w:type="dxa"/>
          <w:left w:w="0" w:type="dxa"/>
          <w:bottom w:w="0" w:type="dxa"/>
          <w:right w:w="0" w:type="dxa"/>
        </w:tblCellMar>
        <w:tblLook w:val="01E0"/>
      </w:tblPr>
      <w:tblGrid>
        <w:gridCol w:w="3189"/>
        <w:gridCol w:w="3190"/>
        <w:gridCol w:w="3191"/>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9" w:right="0"/>
              <w:jc w:val="left"/>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新疆神州泰岳智能科技有限公司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新设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助推物联网及人工智能业务快速发展。</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北京泰岳宏光科技发展有限公司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新设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助推物联网业务快速发展。</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西藏神州泰岳智能科技有限公司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新设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助推物联网及人工智能业务快速发展。</w:t>
            </w:r>
          </w:p>
        </w:tc>
      </w:tr>
      <w:tr>
        <w:trPr>
          <w:trHeight w:val="1026"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226"/>
              <w:jc w:val="left"/>
              <w:rPr>
                <w:rFonts w:ascii="Times New Roman" w:hAnsi="Times New Roman" w:cs="Times New Roman" w:eastAsia="Times New Roman" w:hint="default"/>
                <w:sz w:val="18"/>
                <w:szCs w:val="18"/>
              </w:rPr>
            </w:pPr>
            <w:r>
              <w:rPr>
                <w:rFonts w:ascii="Times New Roman"/>
                <w:sz w:val="18"/>
              </w:rPr>
              <w:t>RED TRUST </w:t>
            </w:r>
            <w:r>
              <w:rPr>
                <w:rFonts w:ascii="Times New Roman"/>
                <w:spacing w:val="-3"/>
                <w:sz w:val="18"/>
              </w:rPr>
              <w:t>SOFTWARE</w:t>
            </w:r>
            <w:r>
              <w:rPr>
                <w:rFonts w:ascii="Times New Roman"/>
                <w:spacing w:val="-17"/>
                <w:sz w:val="18"/>
              </w:rPr>
              <w:t> </w:t>
            </w:r>
            <w:r>
              <w:rPr>
                <w:rFonts w:ascii="Times New Roman"/>
                <w:sz w:val="18"/>
              </w:rPr>
              <w:t>AND</w:t>
            </w:r>
            <w:r>
              <w:rPr>
                <w:rFonts w:ascii="Times New Roman"/>
                <w:w w:val="99"/>
                <w:sz w:val="18"/>
              </w:rPr>
              <w:t> </w:t>
            </w:r>
            <w:r>
              <w:rPr>
                <w:rFonts w:ascii="Times New Roman"/>
                <w:spacing w:val="-3"/>
                <w:sz w:val="18"/>
              </w:rPr>
              <w:t>SERVICE </w:t>
            </w:r>
            <w:r>
              <w:rPr>
                <w:rFonts w:ascii="Times New Roman"/>
                <w:sz w:val="18"/>
              </w:rPr>
              <w:t>TECHNOLOGY</w:t>
            </w:r>
            <w:r>
              <w:rPr>
                <w:rFonts w:ascii="Times New Roman"/>
                <w:spacing w:val="-4"/>
                <w:sz w:val="18"/>
              </w:rPr>
              <w:t> </w:t>
            </w:r>
            <w:r>
              <w:rPr>
                <w:rFonts w:ascii="Times New Roman"/>
                <w:spacing w:val="-3"/>
                <w:sz w:val="18"/>
              </w:rPr>
              <w:t>COMPANY</w:t>
            </w:r>
            <w:r>
              <w:rPr>
                <w:rFonts w:ascii="Times New Roman"/>
                <w:w w:val="99"/>
                <w:sz w:val="18"/>
              </w:rPr>
              <w:t> </w:t>
            </w:r>
            <w:r>
              <w:rPr>
                <w:rFonts w:ascii="Times New Roman"/>
                <w:sz w:val="18"/>
              </w:rPr>
              <w:t>LIMITED</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清算</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对公司整体业绩影响较小</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Ultrapower 360 PTE</w:t>
            </w:r>
            <w:r>
              <w:rPr>
                <w:rFonts w:ascii="Times New Roman"/>
                <w:spacing w:val="-2"/>
                <w:sz w:val="18"/>
              </w:rPr>
              <w:t> </w:t>
            </w:r>
            <w:r>
              <w:rPr>
                <w:rFonts w:ascii="Times New Roman"/>
                <w:spacing w:val="-6"/>
                <w:sz w:val="18"/>
              </w:rPr>
              <w:t>LTD</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转让部分股权</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对公司整体业绩影响较小</w:t>
            </w:r>
          </w:p>
        </w:tc>
      </w:tr>
    </w:tbl>
    <w:p>
      <w:pPr>
        <w:spacing w:line="240" w:lineRule="auto" w:before="6"/>
        <w:rPr>
          <w:rFonts w:ascii="宋体" w:hAnsi="宋体" w:cs="宋体" w:eastAsia="宋体" w:hint="default"/>
          <w:sz w:val="6"/>
          <w:szCs w:val="6"/>
        </w:rPr>
      </w:pPr>
    </w:p>
    <w:p>
      <w:pPr>
        <w:pStyle w:val="BodyText"/>
        <w:spacing w:line="516" w:lineRule="auto" w:before="44"/>
        <w:ind w:left="494" w:right="1132" w:hanging="360"/>
        <w:jc w:val="left"/>
      </w:pPr>
      <w:r>
        <w:rPr>
          <w:rFonts w:ascii="宋体" w:hAnsi="宋体" w:cs="宋体" w:eastAsia="宋体" w:hint="default"/>
          <w:b/>
          <w:bCs/>
        </w:rPr>
        <w:t>主要控股参股公司情况说明</w:t>
      </w:r>
      <w:r>
        <w:rPr>
          <w:rFonts w:ascii="宋体" w:hAnsi="宋体" w:cs="宋体" w:eastAsia="宋体" w:hint="default"/>
          <w:b/>
          <w:bCs/>
          <w:w w:val="99"/>
        </w:rPr>
        <w:t> </w:t>
      </w:r>
      <w:r>
        <w:rPr>
          <w:spacing w:val="-1"/>
        </w:rPr>
        <w:t>公司物联网通讯技术与产品经过多年打磨，效果显著，得到了客户的高度认可，</w:t>
      </w:r>
      <w:r>
        <w:rPr>
          <w:rFonts w:ascii="Times New Roman" w:hAnsi="Times New Roman" w:cs="Times New Roman" w:eastAsia="Times New Roman" w:hint="default"/>
          <w:spacing w:val="-1"/>
        </w:rPr>
        <w:t>2018</w:t>
      </w:r>
      <w:r>
        <w:rPr>
          <w:spacing w:val="-1"/>
        </w:rPr>
        <w:t>年业务增长显著。“</w:t>
      </w:r>
      <w:r>
        <w:rPr>
          <w:rFonts w:ascii="Times New Roman" w:hAnsi="Times New Roman" w:cs="Times New Roman" w:eastAsia="Times New Roman" w:hint="default"/>
          <w:spacing w:val="-1"/>
        </w:rPr>
        <w:t>Nu-WiFi</w:t>
      </w:r>
      <w:r>
        <w:rPr>
          <w:spacing w:val="-1"/>
        </w:rPr>
        <w:t>核电</w:t>
      </w:r>
    </w:p>
    <w:p>
      <w:pPr>
        <w:spacing w:after="0" w:line="516" w:lineRule="auto"/>
        <w:jc w:val="left"/>
        <w:sectPr>
          <w:pgSz w:w="11910" w:h="16840"/>
          <w:pgMar w:header="851" w:footer="1187" w:top="1440" w:bottom="1380" w:left="1000" w:right="0"/>
        </w:sectPr>
      </w:pPr>
    </w:p>
    <w:p>
      <w:pPr>
        <w:spacing w:line="240" w:lineRule="auto" w:before="7"/>
        <w:rPr>
          <w:rFonts w:ascii="宋体" w:hAnsi="宋体" w:cs="宋体" w:eastAsia="宋体" w:hint="default"/>
          <w:sz w:val="3"/>
          <w:szCs w:val="3"/>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BodyText"/>
        <w:spacing w:line="477" w:lineRule="auto" w:before="83"/>
        <w:ind w:right="1032"/>
        <w:jc w:val="left"/>
      </w:pPr>
      <w:r>
        <w:rPr>
          <w:spacing w:val="-2"/>
        </w:rPr>
        <w:t>专业无线通信系统”、“智慧墙入侵探测系统”、“综合管廊安防通信一体化系统”三大整体解决方案在核岛核电、城市综</w:t>
      </w:r>
      <w:r>
        <w:rPr>
          <w:spacing w:val="-66"/>
        </w:rPr>
        <w:t> </w:t>
      </w:r>
      <w:r>
        <w:rPr>
          <w:spacing w:val="-66"/>
        </w:rPr>
      </w:r>
      <w:r>
        <w:rPr/>
        <w:t>合管廊信息化、周界安防等领域都有着较好的应用实践。在新品研发、市场拓展、生态圈建设等各方面均取得了突出成绩，</w:t>
      </w:r>
      <w:r>
        <w:rPr>
          <w:spacing w:val="-85"/>
        </w:rPr>
        <w:t> </w:t>
      </w:r>
      <w:r>
        <w:rPr>
          <w:spacing w:val="-85"/>
        </w:rPr>
      </w:r>
      <w:r>
        <w:rPr/>
        <w:t>为后续业务发展打下了良好的基础。</w:t>
      </w:r>
    </w:p>
    <w:p>
      <w:pPr>
        <w:spacing w:line="240" w:lineRule="auto" w:before="7"/>
        <w:rPr>
          <w:rFonts w:ascii="宋体" w:hAnsi="宋体" w:cs="宋体" w:eastAsia="宋体" w:hint="default"/>
          <w:sz w:val="17"/>
          <w:szCs w:val="17"/>
        </w:rPr>
      </w:pPr>
    </w:p>
    <w:p>
      <w:pPr>
        <w:pStyle w:val="Heading2"/>
        <w:spacing w:line="240" w:lineRule="auto"/>
        <w:ind w:right="0"/>
        <w:jc w:val="left"/>
        <w:rPr>
          <w:b w:val="0"/>
          <w:bCs w:val="0"/>
        </w:rPr>
      </w:pPr>
      <w:bookmarkStart w:name="八、公司控制的结构化主体情况" w:id="66"/>
      <w:bookmarkEnd w:id="66"/>
      <w:r>
        <w:rPr>
          <w:b w:val="0"/>
          <w:bCs w:val="0"/>
        </w:rPr>
      </w:r>
      <w:r>
        <w:rPr/>
        <w:t>八、公司控制的结构化主体情况</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24"/>
          <w:szCs w:val="24"/>
        </w:rPr>
      </w:pPr>
    </w:p>
    <w:p>
      <w:pPr>
        <w:pStyle w:val="Heading2"/>
        <w:spacing w:line="240" w:lineRule="auto"/>
        <w:ind w:right="0"/>
        <w:jc w:val="left"/>
        <w:rPr>
          <w:b w:val="0"/>
          <w:bCs w:val="0"/>
        </w:rPr>
      </w:pPr>
      <w:bookmarkStart w:name="九、公司未来发展的展望" w:id="67"/>
      <w:bookmarkEnd w:id="67"/>
      <w:r>
        <w:rPr>
          <w:b w:val="0"/>
          <w:bCs w:val="0"/>
        </w:rPr>
      </w:r>
      <w:r>
        <w:rPr/>
        <w:t>九、公司未来发展的展望</w:t>
      </w:r>
      <w:r>
        <w:rPr>
          <w:b w:val="0"/>
          <w:bCs w:val="0"/>
        </w:rPr>
      </w:r>
    </w:p>
    <w:p>
      <w:pPr>
        <w:spacing w:line="240" w:lineRule="auto" w:before="6"/>
        <w:rPr>
          <w:rFonts w:ascii="宋体" w:hAnsi="宋体" w:cs="宋体" w:eastAsia="宋体" w:hint="default"/>
          <w:b/>
          <w:bCs/>
          <w:sz w:val="32"/>
          <w:szCs w:val="32"/>
        </w:rPr>
      </w:pPr>
    </w:p>
    <w:p>
      <w:pPr>
        <w:pStyle w:val="Heading5"/>
        <w:spacing w:line="240" w:lineRule="auto"/>
        <w:ind w:right="0"/>
        <w:jc w:val="left"/>
        <w:rPr>
          <w:b w:val="0"/>
          <w:bCs w:val="0"/>
        </w:rPr>
      </w:pPr>
      <w:r>
        <w:rPr/>
        <w:t>（一）公司所处行业的发展趋势</w:t>
      </w:r>
      <w:r>
        <w:rPr>
          <w:b w:val="0"/>
          <w:bCs w:val="0"/>
        </w:rPr>
      </w:r>
    </w:p>
    <w:p>
      <w:pPr>
        <w:spacing w:line="240" w:lineRule="auto" w:before="10"/>
        <w:rPr>
          <w:rFonts w:ascii="宋体" w:hAnsi="宋体" w:cs="宋体" w:eastAsia="宋体" w:hint="default"/>
          <w:b/>
          <w:bCs/>
          <w:sz w:val="17"/>
          <w:szCs w:val="17"/>
        </w:rPr>
      </w:pPr>
    </w:p>
    <w:p>
      <w:pPr>
        <w:pStyle w:val="BodyText"/>
        <w:spacing w:line="451" w:lineRule="auto"/>
        <w:ind w:left="514" w:right="0" w:firstLine="1"/>
        <w:jc w:val="left"/>
      </w:pPr>
      <w:r>
        <w:rPr>
          <w:rFonts w:ascii="Times New Roman" w:hAnsi="Times New Roman" w:cs="Times New Roman" w:eastAsia="Times New Roman" w:hint="default"/>
          <w:b/>
          <w:bCs/>
        </w:rPr>
        <w:t>1</w:t>
      </w:r>
      <w:r>
        <w:rPr>
          <w:rFonts w:ascii="宋体" w:hAnsi="宋体" w:cs="宋体" w:eastAsia="宋体" w:hint="default"/>
          <w:b/>
          <w:bCs/>
        </w:rPr>
        <w:t>、物联网通信领域</w:t>
      </w:r>
      <w:r>
        <w:rPr>
          <w:rFonts w:ascii="宋体" w:hAnsi="宋体" w:cs="宋体" w:eastAsia="宋体" w:hint="default"/>
          <w:b/>
          <w:bCs/>
          <w:w w:val="99"/>
        </w:rPr>
        <w:t> </w:t>
      </w:r>
      <w:r>
        <w:rPr>
          <w:spacing w:val="-2"/>
        </w:rPr>
        <w:t>工业和信息化部《信息通信行业发展规划（</w:t>
      </w:r>
      <w:r>
        <w:rPr>
          <w:rFonts w:ascii="Times New Roman" w:hAnsi="Times New Roman" w:cs="Times New Roman" w:eastAsia="Times New Roman" w:hint="default"/>
          <w:spacing w:val="-2"/>
        </w:rPr>
        <w:t>2016</w:t>
      </w:r>
      <w:r>
        <w:rPr>
          <w:spacing w:val="-2"/>
        </w:rPr>
        <w:t>－</w:t>
      </w:r>
      <w:r>
        <w:rPr>
          <w:rFonts w:ascii="Times New Roman" w:hAnsi="Times New Roman" w:cs="Times New Roman" w:eastAsia="Times New Roman" w:hint="default"/>
          <w:spacing w:val="-2"/>
        </w:rPr>
        <w:t>2020</w:t>
      </w:r>
      <w:r>
        <w:rPr>
          <w:spacing w:val="-2"/>
        </w:rPr>
        <w:t>年）》指出，“十三五”时期是我国物联网加速进入</w:t>
      </w:r>
      <w:r>
        <w:rPr>
          <w:rFonts w:ascii="Times New Roman" w:hAnsi="Times New Roman" w:cs="Times New Roman" w:eastAsia="Times New Roman" w:hint="default"/>
          <w:spacing w:val="-2"/>
        </w:rPr>
        <w:t>“</w:t>
      </w:r>
      <w:r>
        <w:rPr>
          <w:spacing w:val="-2"/>
        </w:rPr>
        <w:t>跨界融合、</w:t>
      </w:r>
    </w:p>
    <w:p>
      <w:pPr>
        <w:pStyle w:val="BodyText"/>
        <w:spacing w:line="451" w:lineRule="auto" w:before="43"/>
        <w:ind w:right="1130"/>
        <w:jc w:val="both"/>
      </w:pPr>
      <w:r>
        <w:rPr>
          <w:spacing w:val="-2"/>
          <w:w w:val="99"/>
        </w:rPr>
        <w:t>集成创新和规模化发展</w:t>
      </w:r>
      <w:r>
        <w:rPr>
          <w:rFonts w:ascii="Times New Roman" w:hAnsi="Times New Roman" w:cs="Times New Roman" w:eastAsia="Times New Roman" w:hint="default"/>
          <w:spacing w:val="-2"/>
          <w:w w:val="99"/>
        </w:rPr>
        <w:t>”</w:t>
      </w:r>
      <w:r>
        <w:rPr>
          <w:spacing w:val="-2"/>
          <w:w w:val="99"/>
        </w:rPr>
        <w:t>的新阶段，第五代移动通信技术（</w:t>
      </w:r>
      <w:r>
        <w:rPr>
          <w:rFonts w:ascii="Times New Roman" w:hAnsi="Times New Roman" w:cs="Times New Roman" w:eastAsia="Times New Roman" w:hint="default"/>
          <w:spacing w:val="-2"/>
          <w:w w:val="99"/>
        </w:rPr>
        <w:t>5G</w:t>
      </w:r>
      <w:r>
        <w:rPr>
          <w:spacing w:val="-2"/>
          <w:w w:val="99"/>
        </w:rPr>
        <w:t>）、窄带物联网（</w:t>
      </w:r>
      <w:r>
        <w:rPr>
          <w:rFonts w:ascii="Times New Roman" w:hAnsi="Times New Roman" w:cs="Times New Roman" w:eastAsia="Times New Roman" w:hint="default"/>
          <w:spacing w:val="-2"/>
          <w:w w:val="99"/>
        </w:rPr>
        <w:t>NB-IOT</w:t>
      </w:r>
      <w:r>
        <w:rPr>
          <w:spacing w:val="-2"/>
          <w:w w:val="99"/>
        </w:rPr>
        <w:t>）等新技术为万物互联提供了强大的</w:t>
      </w:r>
      <w:r>
        <w:rPr>
          <w:spacing w:val="-67"/>
          <w:w w:val="99"/>
        </w:rPr>
        <w:t> </w:t>
      </w:r>
      <w:r>
        <w:rPr>
          <w:spacing w:val="-2"/>
        </w:rPr>
        <w:t>基础设施支撑能力。我国整体发展目标是计划到</w:t>
      </w:r>
      <w:r>
        <w:rPr>
          <w:rFonts w:ascii="Times New Roman" w:hAnsi="Times New Roman" w:cs="Times New Roman" w:eastAsia="Times New Roman" w:hint="default"/>
          <w:spacing w:val="-2"/>
        </w:rPr>
        <w:t>2020</w:t>
      </w:r>
      <w:r>
        <w:rPr>
          <w:spacing w:val="-2"/>
        </w:rPr>
        <w:t>年，具有国际竞争力的物联网产业体系基本形成，包含感知制造、网络</w:t>
      </w:r>
      <w:r>
        <w:rPr>
          <w:spacing w:val="-63"/>
        </w:rPr>
        <w:t> </w:t>
      </w:r>
      <w:r>
        <w:rPr>
          <w:spacing w:val="-63"/>
        </w:rPr>
      </w:r>
      <w:r>
        <w:rPr/>
        <w:t>传输、智能信息服务在内的总体产业规模突破</w:t>
      </w:r>
      <w:r>
        <w:rPr>
          <w:rFonts w:ascii="Times New Roman" w:hAnsi="Times New Roman" w:cs="Times New Roman" w:eastAsia="Times New Roman" w:hint="default"/>
        </w:rPr>
        <w:t>1.5</w:t>
      </w:r>
      <w:r>
        <w:rPr/>
        <w:t>万亿元，智能信息服务的比重大幅提升。</w:t>
      </w:r>
    </w:p>
    <w:p>
      <w:pPr>
        <w:pStyle w:val="BodyText"/>
        <w:spacing w:line="470" w:lineRule="auto" w:before="43"/>
        <w:ind w:right="1032" w:firstLine="360"/>
        <w:jc w:val="left"/>
      </w:pPr>
      <w:r>
        <w:rPr/>
        <w:t>物联网技术的升级使得工业数据的采集传输分析成本大大下降，</w:t>
      </w:r>
      <w:r>
        <w:rPr>
          <w:rFonts w:ascii="Times New Roman" w:hAnsi="Times New Roman" w:cs="Times New Roman" w:eastAsia="Times New Roman" w:hint="default"/>
        </w:rPr>
        <w:t>AI</w:t>
      </w:r>
      <w:r>
        <w:rPr/>
        <w:t>技术的应用使得制造终端更加智能化，工控网络、 </w:t>
      </w:r>
      <w:r>
        <w:rPr>
          <w:spacing w:val="-2"/>
        </w:rPr>
        <w:t>物联网和自动化无线网是工业互联网和智能制造的基础，互联互通和传输带宽为智联网和机器视觉等新型工业应用提供了支</w:t>
      </w:r>
      <w:r>
        <w:rPr>
          <w:spacing w:val="-64"/>
        </w:rPr>
        <w:t> </w:t>
      </w:r>
      <w:r>
        <w:rPr>
          <w:spacing w:val="-64"/>
        </w:rPr>
      </w:r>
      <w:r>
        <w:rPr>
          <w:spacing w:val="-2"/>
        </w:rPr>
        <w:t>撑。工业互联网的主要特征即通过以互联网、物联网、云计算、大数据、人工智能等为代表的新一代信息技术推动工业体系</w:t>
      </w:r>
      <w:r>
        <w:rPr>
          <w:spacing w:val="-65"/>
        </w:rPr>
        <w:t> </w:t>
      </w:r>
      <w:r>
        <w:rPr>
          <w:spacing w:val="-65"/>
        </w:rPr>
      </w:r>
      <w:r>
        <w:rPr/>
        <w:t>的智能化变革。在现阶段物联网和人工智能新兴产业快速发展期，新技术标准将引领产业发展。在万物互联的物联网时代，</w:t>
      </w:r>
      <w:r>
        <w:rPr>
          <w:spacing w:val="-85"/>
        </w:rPr>
        <w:t> </w:t>
      </w:r>
      <w:r>
        <w:rPr>
          <w:spacing w:val="-85"/>
        </w:rPr>
      </w:r>
      <w:r>
        <w:rPr/>
        <w:t>网络基础架构是推动新一轮革命的重要因素。</w:t>
      </w:r>
    </w:p>
    <w:p>
      <w:pPr>
        <w:pStyle w:val="BodyText"/>
        <w:spacing w:line="456" w:lineRule="auto" w:before="59"/>
        <w:ind w:right="1130" w:firstLine="361"/>
        <w:jc w:val="both"/>
      </w:pPr>
      <w:r>
        <w:rPr>
          <w:rFonts w:ascii="宋体" w:hAnsi="宋体" w:cs="宋体" w:eastAsia="宋体" w:hint="default"/>
          <w:b/>
          <w:bCs/>
          <w:spacing w:val="-2"/>
        </w:rPr>
        <w:t>《中国智能制造</w:t>
      </w:r>
      <w:r>
        <w:rPr>
          <w:rFonts w:ascii="Times New Roman" w:hAnsi="Times New Roman" w:cs="Times New Roman" w:eastAsia="Times New Roman" w:hint="default"/>
          <w:b/>
          <w:bCs/>
          <w:spacing w:val="-2"/>
        </w:rPr>
        <w:t>“</w:t>
      </w:r>
      <w:r>
        <w:rPr>
          <w:rFonts w:ascii="宋体" w:hAnsi="宋体" w:cs="宋体" w:eastAsia="宋体" w:hint="default"/>
          <w:b/>
          <w:bCs/>
          <w:spacing w:val="-2"/>
        </w:rPr>
        <w:t>十三五</w:t>
      </w:r>
      <w:r>
        <w:rPr>
          <w:rFonts w:ascii="Times New Roman" w:hAnsi="Times New Roman" w:cs="Times New Roman" w:eastAsia="Times New Roman" w:hint="default"/>
          <w:b/>
          <w:bCs/>
          <w:spacing w:val="-2"/>
        </w:rPr>
        <w:t>”</w:t>
      </w:r>
      <w:r>
        <w:rPr>
          <w:rFonts w:ascii="宋体" w:hAnsi="宋体" w:cs="宋体" w:eastAsia="宋体" w:hint="default"/>
          <w:b/>
          <w:bCs/>
          <w:spacing w:val="-2"/>
        </w:rPr>
        <w:t>规划》</w:t>
      </w:r>
      <w:r>
        <w:rPr>
          <w:spacing w:val="-2"/>
        </w:rPr>
        <w:t>明确指出，“十三五”期间，中国将围绕</w:t>
      </w:r>
      <w:r>
        <w:rPr>
          <w:rFonts w:ascii="Times New Roman" w:hAnsi="Times New Roman" w:cs="Times New Roman" w:eastAsia="Times New Roman" w:hint="default"/>
          <w:spacing w:val="-2"/>
        </w:rPr>
        <w:t>“</w:t>
      </w:r>
      <w:r>
        <w:rPr>
          <w:spacing w:val="-2"/>
        </w:rPr>
        <w:t>感知、控制、决策和执行</w:t>
      </w:r>
      <w:r>
        <w:rPr>
          <w:rFonts w:ascii="Times New Roman" w:hAnsi="Times New Roman" w:cs="Times New Roman" w:eastAsia="Times New Roman" w:hint="default"/>
          <w:spacing w:val="-2"/>
        </w:rPr>
        <w:t>”</w:t>
      </w:r>
      <w:r>
        <w:rPr>
          <w:spacing w:val="-2"/>
        </w:rPr>
        <w:t>等功能的实现，突</w:t>
      </w:r>
      <w:r>
        <w:rPr/>
        <w:t> </w:t>
      </w:r>
      <w:r>
        <w:rPr>
          <w:spacing w:val="-2"/>
        </w:rPr>
        <w:t>破工业物联网关键共性技术；构建工业物联网基础，研发新型工业网络设备与系统，构建工业互联网实验验证平台和标识解</w:t>
      </w:r>
      <w:r>
        <w:rPr>
          <w:spacing w:val="-66"/>
        </w:rPr>
        <w:t> </w:t>
      </w:r>
      <w:r>
        <w:rPr>
          <w:spacing w:val="-66"/>
        </w:rPr>
      </w:r>
      <w:r>
        <w:rPr>
          <w:spacing w:val="-1"/>
        </w:rPr>
        <w:t>析体系；争取在</w:t>
      </w:r>
      <w:r>
        <w:rPr>
          <w:rFonts w:ascii="Times New Roman" w:hAnsi="Times New Roman" w:cs="Times New Roman" w:eastAsia="Times New Roman" w:hint="default"/>
          <w:spacing w:val="-1"/>
        </w:rPr>
        <w:t>2020</w:t>
      </w:r>
      <w:r>
        <w:rPr>
          <w:spacing w:val="-1"/>
        </w:rPr>
        <w:t>年，使工业物联网关键技术装备国内市场满足率超过</w:t>
      </w:r>
      <w:r>
        <w:rPr>
          <w:rFonts w:ascii="Times New Roman" w:hAnsi="Times New Roman" w:cs="Times New Roman" w:eastAsia="Times New Roman" w:hint="default"/>
          <w:spacing w:val="-1"/>
        </w:rPr>
        <w:t>50%</w:t>
      </w:r>
      <w:r>
        <w:rPr>
          <w:spacing w:val="-1"/>
        </w:rPr>
        <w:t>、核心支撑软件国内市场满足率超过</w:t>
      </w:r>
      <w:r>
        <w:rPr>
          <w:rFonts w:ascii="Times New Roman" w:hAnsi="Times New Roman" w:cs="Times New Roman" w:eastAsia="Times New Roman" w:hint="default"/>
          <w:spacing w:val="-1"/>
        </w:rPr>
        <w:t>30%</w:t>
      </w:r>
      <w:r>
        <w:rPr>
          <w:spacing w:val="-1"/>
        </w:rPr>
        <w:t>；培</w:t>
      </w:r>
      <w:r>
        <w:rPr>
          <w:spacing w:val="-60"/>
        </w:rPr>
        <w:t> </w:t>
      </w:r>
      <w:r>
        <w:rPr/>
        <w:t>育</w:t>
      </w:r>
      <w:r>
        <w:rPr>
          <w:rFonts w:ascii="Times New Roman" w:hAnsi="Times New Roman" w:cs="Times New Roman" w:eastAsia="Times New Roman" w:hint="default"/>
        </w:rPr>
        <w:t>40</w:t>
      </w:r>
      <w:r>
        <w:rPr/>
        <w:t>个以上主营收入超过</w:t>
      </w:r>
      <w:r>
        <w:rPr>
          <w:rFonts w:ascii="Times New Roman" w:hAnsi="Times New Roman" w:cs="Times New Roman" w:eastAsia="Times New Roman" w:hint="default"/>
        </w:rPr>
        <w:t>10</w:t>
      </w:r>
      <w:r>
        <w:rPr/>
        <w:t>亿元、具有较强竞争力的系统解决方案供应商。“十三五”时期是我国物联网加速进入</w:t>
      </w:r>
      <w:r>
        <w:rPr>
          <w:rFonts w:ascii="Times New Roman" w:hAnsi="Times New Roman" w:cs="Times New Roman" w:eastAsia="Times New Roman" w:hint="default"/>
        </w:rPr>
        <w:t>“</w:t>
      </w:r>
      <w:r>
        <w:rPr/>
        <w:t>跨界融</w:t>
      </w:r>
      <w:r>
        <w:rPr>
          <w:spacing w:val="-76"/>
        </w:rPr>
        <w:t> </w:t>
      </w:r>
      <w:r>
        <w:rPr>
          <w:spacing w:val="-76"/>
        </w:rPr>
      </w:r>
      <w:r>
        <w:rPr/>
        <w:t>合、集成创新和规模化发展</w:t>
      </w:r>
      <w:r>
        <w:rPr>
          <w:rFonts w:ascii="Times New Roman" w:hAnsi="Times New Roman" w:cs="Times New Roman" w:eastAsia="Times New Roman" w:hint="default"/>
        </w:rPr>
        <w:t>”</w:t>
      </w:r>
      <w:r>
        <w:rPr/>
        <w:t>的新阶段，第五代移动通信技术（</w:t>
      </w:r>
      <w:r>
        <w:rPr>
          <w:rFonts w:ascii="Times New Roman" w:hAnsi="Times New Roman" w:cs="Times New Roman" w:eastAsia="Times New Roman" w:hint="default"/>
        </w:rPr>
        <w:t>5G</w:t>
      </w:r>
      <w:r>
        <w:rPr/>
        <w:t>）、窄带物联网（</w:t>
      </w:r>
      <w:r>
        <w:rPr>
          <w:rFonts w:ascii="Times New Roman" w:hAnsi="Times New Roman" w:cs="Times New Roman" w:eastAsia="Times New Roman" w:hint="default"/>
        </w:rPr>
        <w:t>NB-IOT</w:t>
      </w:r>
      <w:r>
        <w:rPr/>
        <w:t>）等新技术为万物互联提供了</w:t>
      </w:r>
      <w:r>
        <w:rPr>
          <w:spacing w:val="-14"/>
        </w:rPr>
        <w:t> </w:t>
      </w:r>
      <w:r>
        <w:rPr>
          <w:spacing w:val="-14"/>
        </w:rPr>
      </w:r>
      <w:r>
        <w:rPr/>
        <w:t>强大的基础设施支撑能力。</w:t>
      </w:r>
    </w:p>
    <w:p>
      <w:pPr>
        <w:pStyle w:val="BodyText"/>
        <w:spacing w:line="451" w:lineRule="auto" w:before="70"/>
        <w:ind w:left="514" w:right="0" w:firstLine="1"/>
        <w:jc w:val="left"/>
      </w:pPr>
      <w:r>
        <w:rPr>
          <w:rFonts w:ascii="Times New Roman" w:hAnsi="Times New Roman" w:cs="Times New Roman" w:eastAsia="Times New Roman" w:hint="default"/>
          <w:b/>
          <w:bCs/>
        </w:rPr>
        <w:t>2</w:t>
      </w:r>
      <w:r>
        <w:rPr>
          <w:rFonts w:ascii="宋体" w:hAnsi="宋体" w:cs="宋体" w:eastAsia="宋体" w:hint="default"/>
          <w:b/>
          <w:bCs/>
        </w:rPr>
        <w:t>、人工智能</w:t>
      </w:r>
      <w:r>
        <w:rPr>
          <w:rFonts w:ascii="Times New Roman" w:hAnsi="Times New Roman" w:cs="Times New Roman" w:eastAsia="Times New Roman" w:hint="default"/>
          <w:b/>
          <w:bCs/>
        </w:rPr>
        <w:t>/</w:t>
      </w:r>
      <w:r>
        <w:rPr>
          <w:rFonts w:ascii="宋体" w:hAnsi="宋体" w:cs="宋体" w:eastAsia="宋体" w:hint="default"/>
          <w:b/>
          <w:bCs/>
        </w:rPr>
        <w:t>大数据领域</w:t>
      </w:r>
      <w:r>
        <w:rPr>
          <w:rFonts w:ascii="宋体" w:hAnsi="宋体" w:cs="宋体" w:eastAsia="宋体" w:hint="default"/>
          <w:b/>
          <w:bCs/>
          <w:w w:val="99"/>
        </w:rPr>
        <w:t> </w:t>
      </w:r>
      <w:r>
        <w:rPr>
          <w:spacing w:val="-2"/>
        </w:rPr>
        <w:t>“十三五”期间，我国将大力实施“实施国家大数据战略，推进数据资源开放共享”、国家大数据战略、新一代人工智</w:t>
      </w:r>
    </w:p>
    <w:p>
      <w:pPr>
        <w:pStyle w:val="BodyText"/>
        <w:spacing w:line="477" w:lineRule="auto" w:before="74"/>
        <w:ind w:left="515" w:right="1131" w:hanging="362"/>
        <w:jc w:val="left"/>
      </w:pPr>
      <w:r>
        <w:rPr/>
        <w:t>能发展规划，促进新一代信息技术和经济社会融合发展。 </w:t>
      </w:r>
      <w:r>
        <w:rPr>
          <w:rFonts w:ascii="宋体" w:hAnsi="宋体" w:cs="宋体" w:eastAsia="宋体" w:hint="default"/>
          <w:b/>
          <w:bCs/>
        </w:rPr>
        <w:t>在人工智能方向：</w:t>
      </w:r>
      <w:r>
        <w:rPr/>
        <w:t>国家先后出台《促进新一代人工智能产业发展三年行动计划（</w:t>
      </w:r>
      <w:r>
        <w:rPr>
          <w:rFonts w:ascii="Times New Roman" w:hAnsi="Times New Roman" w:cs="Times New Roman" w:eastAsia="Times New Roman" w:hint="default"/>
        </w:rPr>
        <w:t>2018-2020</w:t>
      </w:r>
      <w:r>
        <w:rPr/>
        <w:t>）》、《新一代人工智能发</w:t>
      </w:r>
    </w:p>
    <w:p>
      <w:pPr>
        <w:pStyle w:val="BodyText"/>
        <w:spacing w:line="240" w:lineRule="auto" w:before="21"/>
        <w:ind w:right="0"/>
        <w:jc w:val="left"/>
        <w:rPr>
          <w:rFonts w:ascii="宋体" w:hAnsi="宋体" w:cs="宋体" w:eastAsia="宋体" w:hint="default"/>
        </w:rPr>
      </w:pPr>
      <w:r>
        <w:rPr/>
        <w:t>展规划》、《人工智能标准化白皮书》等一系列政策，用以鼓励、规范我国人工智能（以下简称</w:t>
      </w:r>
      <w:r>
        <w:rPr>
          <w:rFonts w:ascii="Times New Roman" w:hAnsi="Times New Roman" w:cs="Times New Roman" w:eastAsia="Times New Roman" w:hint="default"/>
        </w:rPr>
        <w:t>AI</w:t>
      </w:r>
      <w:r>
        <w:rPr/>
        <w:t>）发展。</w:t>
      </w:r>
      <w:r>
        <w:rPr>
          <w:rFonts w:ascii="宋体" w:hAnsi="宋体" w:cs="宋体" w:eastAsia="宋体" w:hint="default"/>
          <w:b/>
          <w:bCs/>
        </w:rPr>
        <w:t>尤其公安行业</w:t>
      </w:r>
      <w:r>
        <w:rPr>
          <w:rFonts w:ascii="宋体" w:hAnsi="宋体" w:cs="宋体" w:eastAsia="宋体" w:hint="default"/>
        </w:rPr>
      </w:r>
    </w:p>
    <w:p>
      <w:pPr>
        <w:spacing w:after="0" w:line="240" w:lineRule="auto"/>
        <w:jc w:val="left"/>
        <w:rPr>
          <w:rFonts w:ascii="宋体" w:hAnsi="宋体" w:cs="宋体" w:eastAsia="宋体" w:hint="default"/>
        </w:rPr>
        <w:sectPr>
          <w:pgSz w:w="11910" w:h="16840"/>
          <w:pgMar w:header="851" w:footer="1187" w:top="1400" w:bottom="1380" w:left="980" w:right="0"/>
        </w:sectPr>
      </w:pPr>
    </w:p>
    <w:p>
      <w:pPr>
        <w:spacing w:line="240" w:lineRule="auto" w:before="1"/>
        <w:rPr>
          <w:rFonts w:ascii="宋体" w:hAnsi="宋体" w:cs="宋体" w:eastAsia="宋体" w:hint="default"/>
          <w:b/>
          <w:bCs/>
          <w:sz w:val="8"/>
          <w:szCs w:val="8"/>
        </w:rPr>
      </w:pPr>
    </w:p>
    <w:p>
      <w:pPr>
        <w:pStyle w:val="Heading5"/>
        <w:spacing w:line="240" w:lineRule="auto" w:before="44"/>
        <w:ind w:right="0"/>
        <w:jc w:val="left"/>
        <w:rPr>
          <w:rFonts w:ascii="宋体" w:hAnsi="宋体" w:cs="宋体" w:eastAsia="宋体" w:hint="default"/>
          <w:b w:val="0"/>
          <w:bCs w:val="0"/>
        </w:rPr>
      </w:pPr>
      <w:r>
        <w:rPr/>
        <w:t>在警用大数据结合人工智能的落地更是先行者，开启了人工智能时代的新警务模式</w:t>
      </w:r>
      <w:r>
        <w:rPr>
          <w:rFonts w:ascii="宋体" w:hAnsi="宋体" w:cs="宋体" w:eastAsia="宋体" w:hint="default"/>
          <w:b w:val="0"/>
          <w:bCs w:val="0"/>
        </w:rPr>
        <w:t>。</w:t>
      </w:r>
    </w:p>
    <w:p>
      <w:pPr>
        <w:spacing w:line="240" w:lineRule="auto" w:before="10"/>
        <w:rPr>
          <w:rFonts w:ascii="宋体" w:hAnsi="宋体" w:cs="宋体" w:eastAsia="宋体" w:hint="default"/>
          <w:sz w:val="17"/>
          <w:szCs w:val="17"/>
        </w:rPr>
      </w:pPr>
    </w:p>
    <w:p>
      <w:pPr>
        <w:spacing w:line="463" w:lineRule="auto" w:before="0"/>
        <w:ind w:left="154" w:right="1129" w:firstLine="361"/>
        <w:jc w:val="both"/>
        <w:rPr>
          <w:rFonts w:ascii="宋体" w:hAnsi="宋体" w:cs="宋体" w:eastAsia="宋体" w:hint="default"/>
          <w:sz w:val="18"/>
          <w:szCs w:val="18"/>
        </w:rPr>
      </w:pPr>
      <w:r>
        <w:rPr>
          <w:rFonts w:ascii="宋体" w:hAnsi="宋体" w:cs="宋体" w:eastAsia="宋体" w:hint="default"/>
          <w:b/>
          <w:bCs/>
          <w:sz w:val="18"/>
          <w:szCs w:val="18"/>
        </w:rPr>
        <w:t>《新一代人工智能发展规划》</w:t>
      </w:r>
      <w:r>
        <w:rPr>
          <w:rFonts w:ascii="宋体" w:hAnsi="宋体" w:cs="宋体" w:eastAsia="宋体" w:hint="default"/>
          <w:sz w:val="18"/>
          <w:szCs w:val="18"/>
        </w:rPr>
        <w:t>中提出了面向</w:t>
      </w:r>
      <w:r>
        <w:rPr>
          <w:rFonts w:ascii="Times New Roman" w:hAnsi="Times New Roman" w:cs="Times New Roman" w:eastAsia="Times New Roman" w:hint="default"/>
          <w:sz w:val="18"/>
          <w:szCs w:val="18"/>
        </w:rPr>
        <w:t>2030</w:t>
      </w:r>
      <w:r>
        <w:rPr>
          <w:rFonts w:ascii="宋体" w:hAnsi="宋体" w:cs="宋体" w:eastAsia="宋体" w:hint="default"/>
          <w:sz w:val="18"/>
          <w:szCs w:val="18"/>
        </w:rPr>
        <w:t>年我国新一代人工智能发展的指导思想、战略目标、重点任务和保障 </w:t>
      </w:r>
      <w:r>
        <w:rPr>
          <w:rFonts w:ascii="宋体" w:hAnsi="宋体" w:cs="宋体" w:eastAsia="宋体" w:hint="default"/>
          <w:spacing w:val="-2"/>
          <w:sz w:val="18"/>
          <w:szCs w:val="18"/>
        </w:rPr>
        <w:t>措施，部署构筑我国人工智能发展的先发优势，加快建设创新型国家和世界科技强国。其中阐述了人工智能是引领未来的战</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略性技术，是新一轮产业变革的核心驱动力，特别是在移动互联网、大数据、超级计算、传感网、脑科学等新理论新技术以</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5"/>
          <w:sz w:val="18"/>
          <w:szCs w:val="18"/>
        </w:rPr>
        <w:t>及经济社会发展强烈需求的共同驱动下，人工智能将加速发展。《规划》明确指出中国人工智能产业战略目标到</w:t>
      </w:r>
      <w:r>
        <w:rPr>
          <w:rFonts w:ascii="Times New Roman" w:hAnsi="Times New Roman" w:cs="Times New Roman" w:eastAsia="Times New Roman" w:hint="default"/>
          <w:spacing w:val="-5"/>
          <w:sz w:val="18"/>
          <w:szCs w:val="18"/>
        </w:rPr>
        <w:t>2020</w:t>
      </w:r>
      <w:r>
        <w:rPr>
          <w:rFonts w:ascii="宋体" w:hAnsi="宋体" w:cs="宋体" w:eastAsia="宋体" w:hint="default"/>
          <w:spacing w:val="-5"/>
          <w:sz w:val="18"/>
          <w:szCs w:val="18"/>
        </w:rPr>
        <w:t>年、</w:t>
      </w:r>
      <w:r>
        <w:rPr>
          <w:rFonts w:ascii="Times New Roman" w:hAnsi="Times New Roman" w:cs="Times New Roman" w:eastAsia="Times New Roman" w:hint="default"/>
          <w:spacing w:val="-5"/>
          <w:sz w:val="18"/>
          <w:szCs w:val="18"/>
        </w:rPr>
        <w:t>2025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2030</w:t>
      </w:r>
      <w:r>
        <w:rPr>
          <w:rFonts w:ascii="宋体" w:hAnsi="宋体" w:cs="宋体" w:eastAsia="宋体" w:hint="default"/>
          <w:sz w:val="18"/>
          <w:szCs w:val="18"/>
        </w:rPr>
        <w:t>年人工智能核心产业规模超过</w:t>
      </w:r>
      <w:r>
        <w:rPr>
          <w:rFonts w:ascii="Times New Roman" w:hAnsi="Times New Roman" w:cs="Times New Roman" w:eastAsia="Times New Roman" w:hint="default"/>
          <w:sz w:val="18"/>
          <w:szCs w:val="18"/>
        </w:rPr>
        <w:t>1500</w:t>
      </w:r>
      <w:r>
        <w:rPr>
          <w:rFonts w:ascii="宋体" w:hAnsi="宋体" w:cs="宋体" w:eastAsia="宋体" w:hint="default"/>
          <w:sz w:val="18"/>
          <w:szCs w:val="18"/>
        </w:rPr>
        <w:t>亿元、</w:t>
      </w:r>
      <w:r>
        <w:rPr>
          <w:rFonts w:ascii="Times New Roman" w:hAnsi="Times New Roman" w:cs="Times New Roman" w:eastAsia="Times New Roman" w:hint="default"/>
          <w:sz w:val="18"/>
          <w:szCs w:val="18"/>
        </w:rPr>
        <w:t>4000</w:t>
      </w:r>
      <w:r>
        <w:rPr>
          <w:rFonts w:ascii="宋体" w:hAnsi="宋体" w:cs="宋体" w:eastAsia="宋体" w:hint="default"/>
          <w:sz w:val="18"/>
          <w:szCs w:val="18"/>
        </w:rPr>
        <w:t>亿元和</w:t>
      </w:r>
      <w:r>
        <w:rPr>
          <w:rFonts w:ascii="Times New Roman" w:hAnsi="Times New Roman" w:cs="Times New Roman" w:eastAsia="Times New Roman" w:hint="default"/>
          <w:sz w:val="18"/>
          <w:szCs w:val="18"/>
        </w:rPr>
        <w:t>1</w:t>
      </w:r>
      <w:r>
        <w:rPr>
          <w:rFonts w:ascii="宋体" w:hAnsi="宋体" w:cs="宋体" w:eastAsia="宋体" w:hint="default"/>
          <w:sz w:val="18"/>
          <w:szCs w:val="18"/>
        </w:rPr>
        <w:t>万亿元。同时，在《规划》第三部分重点任务中明确提出：</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b/>
          <w:bCs/>
          <w:sz w:val="18"/>
          <w:szCs w:val="18"/>
        </w:rPr>
        <w:t>“自然语言处理技术，重点突破自然语言的语法逻辑、字符概念表征和深度语义分析的核心技术，推进人类与机器的有效</w:t>
      </w:r>
      <w:r>
        <w:rPr>
          <w:rFonts w:ascii="宋体" w:hAnsi="宋体" w:cs="宋体" w:eastAsia="宋体" w:hint="default"/>
          <w:b/>
          <w:bCs/>
          <w:spacing w:val="-48"/>
          <w:sz w:val="18"/>
          <w:szCs w:val="18"/>
        </w:rPr>
        <w:t> </w:t>
      </w:r>
      <w:r>
        <w:rPr>
          <w:rFonts w:ascii="宋体" w:hAnsi="宋体" w:cs="宋体" w:eastAsia="宋体" w:hint="default"/>
          <w:b/>
          <w:bCs/>
          <w:spacing w:val="-48"/>
          <w:sz w:val="18"/>
          <w:szCs w:val="18"/>
        </w:rPr>
      </w:r>
      <w:r>
        <w:rPr>
          <w:rFonts w:ascii="宋体" w:hAnsi="宋体" w:cs="宋体" w:eastAsia="宋体" w:hint="default"/>
          <w:b/>
          <w:bCs/>
          <w:sz w:val="18"/>
          <w:szCs w:val="18"/>
        </w:rPr>
        <w:t>沟通和自由交互，实现多风格多语言多领域的自然语言智能理解和自动生成。”</w:t>
      </w:r>
      <w:r>
        <w:rPr>
          <w:rFonts w:ascii="宋体" w:hAnsi="宋体" w:cs="宋体" w:eastAsia="宋体" w:hint="default"/>
          <w:sz w:val="18"/>
          <w:szCs w:val="18"/>
        </w:rPr>
        <w:t>自然语言处理（</w:t>
      </w:r>
      <w:r>
        <w:rPr>
          <w:rFonts w:ascii="Times New Roman" w:hAnsi="Times New Roman" w:cs="Times New Roman" w:eastAsia="Times New Roman" w:hint="default"/>
          <w:sz w:val="18"/>
          <w:szCs w:val="18"/>
        </w:rPr>
        <w:t>NLP</w:t>
      </w:r>
      <w:r>
        <w:rPr>
          <w:rFonts w:ascii="宋体" w:hAnsi="宋体" w:cs="宋体" w:eastAsia="宋体" w:hint="default"/>
          <w:sz w:val="18"/>
          <w:szCs w:val="18"/>
        </w:rPr>
        <w:t>）语义分析即公司</w:t>
      </w:r>
      <w:r>
        <w:rPr>
          <w:rFonts w:ascii="Times New Roman" w:hAnsi="Times New Roman" w:cs="Times New Roman" w:eastAsia="Times New Roman" w:hint="default"/>
          <w:sz w:val="18"/>
          <w:szCs w:val="18"/>
        </w:rPr>
        <w:t>AI</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业务的核心所在。</w:t>
      </w:r>
    </w:p>
    <w:p>
      <w:pPr>
        <w:pStyle w:val="BodyText"/>
        <w:spacing w:line="451" w:lineRule="auto" w:before="65"/>
        <w:ind w:right="1132" w:firstLine="360"/>
        <w:jc w:val="both"/>
        <w:rPr>
          <w:rFonts w:ascii="宋体" w:hAnsi="宋体" w:cs="宋体" w:eastAsia="宋体" w:hint="default"/>
        </w:rPr>
      </w:pPr>
      <w:r>
        <w:rPr>
          <w:spacing w:val="-5"/>
        </w:rPr>
        <w:t>《</w:t>
      </w:r>
      <w:r>
        <w:rPr>
          <w:rFonts w:ascii="Times New Roman" w:hAnsi="Times New Roman" w:cs="Times New Roman" w:eastAsia="Times New Roman" w:hint="default"/>
          <w:spacing w:val="-5"/>
        </w:rPr>
        <w:t>2018</w:t>
      </w:r>
      <w:r>
        <w:rPr>
          <w:spacing w:val="-5"/>
        </w:rPr>
        <w:t>中国人工智能白皮书》指出：未来人工智能相关技术的发展，不仅将带动大数据、云服务、物联网等产业的升级，</w:t>
      </w:r>
      <w:r>
        <w:rPr/>
        <w:t> 还将全面渗透金融、医疗、安防、零售、制造业等传统产业，</w:t>
      </w:r>
      <w:r>
        <w:rPr>
          <w:rFonts w:ascii="宋体" w:hAnsi="宋体" w:cs="宋体" w:eastAsia="宋体" w:hint="default"/>
          <w:b/>
          <w:bCs/>
        </w:rPr>
        <w:t>应用前景广阔。</w:t>
      </w:r>
      <w:r>
        <w:rPr>
          <w:rFonts w:ascii="宋体" w:hAnsi="宋体" w:cs="宋体" w:eastAsia="宋体" w:hint="default"/>
        </w:rPr>
      </w:r>
    </w:p>
    <w:p>
      <w:pPr>
        <w:spacing w:line="451" w:lineRule="auto" w:before="74"/>
        <w:ind w:left="154" w:right="1026" w:firstLine="360"/>
        <w:jc w:val="left"/>
        <w:rPr>
          <w:rFonts w:ascii="宋体" w:hAnsi="宋体" w:cs="宋体" w:eastAsia="宋体" w:hint="default"/>
          <w:sz w:val="18"/>
          <w:szCs w:val="18"/>
        </w:rPr>
      </w:pPr>
      <w:r>
        <w:rPr>
          <w:rFonts w:ascii="宋体" w:hAnsi="宋体" w:cs="宋体" w:eastAsia="宋体" w:hint="default"/>
          <w:w w:val="95"/>
          <w:sz w:val="18"/>
          <w:szCs w:val="18"/>
        </w:rPr>
        <w:t>全球知名的</w:t>
      </w:r>
      <w:r>
        <w:rPr>
          <w:rFonts w:ascii="Times New Roman" w:hAnsi="Times New Roman" w:cs="Times New Roman" w:eastAsia="Times New Roman" w:hint="default"/>
          <w:w w:val="95"/>
          <w:sz w:val="18"/>
          <w:szCs w:val="18"/>
        </w:rPr>
        <w:t>IT</w:t>
      </w:r>
      <w:r>
        <w:rPr>
          <w:rFonts w:ascii="宋体" w:hAnsi="宋体" w:cs="宋体" w:eastAsia="宋体" w:hint="default"/>
          <w:w w:val="95"/>
          <w:sz w:val="18"/>
          <w:szCs w:val="18"/>
        </w:rPr>
        <w:t>研究与顾问咨询公司</w:t>
      </w:r>
      <w:r>
        <w:rPr>
          <w:rFonts w:ascii="Times New Roman" w:hAnsi="Times New Roman" w:cs="Times New Roman" w:eastAsia="Times New Roman" w:hint="default"/>
          <w:w w:val="95"/>
          <w:sz w:val="18"/>
          <w:szCs w:val="18"/>
        </w:rPr>
        <w:t>Gartner</w:t>
      </w:r>
      <w:r>
        <w:rPr>
          <w:rFonts w:ascii="宋体" w:hAnsi="宋体" w:cs="宋体" w:eastAsia="宋体" w:hint="default"/>
          <w:w w:val="95"/>
          <w:sz w:val="18"/>
          <w:szCs w:val="18"/>
        </w:rPr>
        <w:t>认为，</w:t>
      </w:r>
      <w:r>
        <w:rPr>
          <w:rFonts w:ascii="宋体" w:hAnsi="宋体" w:cs="宋体" w:eastAsia="宋体" w:hint="default"/>
          <w:b/>
          <w:bCs/>
          <w:w w:val="95"/>
          <w:sz w:val="18"/>
          <w:szCs w:val="18"/>
        </w:rPr>
        <w:t>人工智能的深度学习算法已经成功应用于语音识别和图像识别等方面，</w:t>
      </w:r>
      <w:r>
        <w:rPr>
          <w:rFonts w:ascii="宋体" w:hAnsi="宋体" w:cs="宋体" w:eastAsia="宋体" w:hint="default"/>
          <w:b/>
          <w:bCs/>
          <w:spacing w:val="4"/>
          <w:w w:val="95"/>
          <w:sz w:val="18"/>
          <w:szCs w:val="18"/>
        </w:rPr>
        <w:t> </w:t>
      </w:r>
      <w:r>
        <w:rPr>
          <w:rFonts w:ascii="宋体" w:hAnsi="宋体" w:cs="宋体" w:eastAsia="宋体" w:hint="default"/>
          <w:b/>
          <w:bCs/>
          <w:spacing w:val="4"/>
          <w:w w:val="95"/>
          <w:sz w:val="18"/>
          <w:szCs w:val="18"/>
        </w:rPr>
      </w:r>
      <w:r>
        <w:rPr>
          <w:rFonts w:ascii="宋体" w:hAnsi="宋体" w:cs="宋体" w:eastAsia="宋体" w:hint="default"/>
          <w:b/>
          <w:bCs/>
          <w:spacing w:val="6"/>
          <w:sz w:val="18"/>
          <w:szCs w:val="18"/>
        </w:rPr>
        <w:t>自然语言处理很可能是人工智能下一个十年的突破所在。</w:t>
      </w:r>
      <w:r>
        <w:rPr>
          <w:rFonts w:ascii="Times New Roman" w:hAnsi="Times New Roman" w:cs="Times New Roman" w:eastAsia="Times New Roman" w:hint="default"/>
          <w:spacing w:val="6"/>
          <w:sz w:val="18"/>
          <w:szCs w:val="18"/>
        </w:rPr>
        <w:t>2017</w:t>
      </w:r>
      <w:r>
        <w:rPr>
          <w:rFonts w:ascii="宋体" w:hAnsi="宋体" w:cs="宋体" w:eastAsia="宋体" w:hint="default"/>
          <w:spacing w:val="6"/>
          <w:sz w:val="18"/>
          <w:szCs w:val="18"/>
        </w:rPr>
        <w:t>年</w:t>
      </w:r>
      <w:r>
        <w:rPr>
          <w:rFonts w:ascii="Times New Roman" w:hAnsi="Times New Roman" w:cs="Times New Roman" w:eastAsia="Times New Roman" w:hint="default"/>
          <w:spacing w:val="6"/>
          <w:sz w:val="18"/>
          <w:szCs w:val="18"/>
        </w:rPr>
        <w:t>6</w:t>
      </w:r>
      <w:r>
        <w:rPr>
          <w:rFonts w:ascii="宋体" w:hAnsi="宋体" w:cs="宋体" w:eastAsia="宋体" w:hint="default"/>
          <w:spacing w:val="6"/>
          <w:sz w:val="18"/>
          <w:szCs w:val="18"/>
        </w:rPr>
        <w:t>月，</w:t>
      </w:r>
      <w:r>
        <w:rPr>
          <w:rFonts w:ascii="Times New Roman" w:hAnsi="Times New Roman" w:cs="Times New Roman" w:eastAsia="Times New Roman" w:hint="default"/>
          <w:spacing w:val="6"/>
          <w:sz w:val="18"/>
          <w:szCs w:val="18"/>
        </w:rPr>
        <w:t>Gartner</w:t>
      </w:r>
      <w:r>
        <w:rPr>
          <w:rFonts w:ascii="宋体" w:hAnsi="宋体" w:cs="宋体" w:eastAsia="宋体" w:hint="default"/>
          <w:spacing w:val="6"/>
          <w:sz w:val="18"/>
          <w:szCs w:val="18"/>
        </w:rPr>
        <w:t>公布的“</w:t>
      </w:r>
      <w:r>
        <w:rPr>
          <w:rFonts w:ascii="Times New Roman" w:hAnsi="Times New Roman" w:cs="Times New Roman" w:eastAsia="Times New Roman" w:hint="default"/>
          <w:spacing w:val="6"/>
          <w:sz w:val="18"/>
          <w:szCs w:val="18"/>
        </w:rPr>
        <w:t>Market </w:t>
      </w:r>
      <w:r>
        <w:rPr>
          <w:rFonts w:ascii="Times New Roman" w:hAnsi="Times New Roman" w:cs="Times New Roman" w:eastAsia="Times New Roman" w:hint="default"/>
          <w:sz w:val="18"/>
          <w:szCs w:val="18"/>
        </w:rPr>
        <w:t>Guide for Conversational</w:t>
      </w:r>
      <w:r>
        <w:rPr>
          <w:rFonts w:ascii="Times New Roman" w:hAnsi="Times New Roman" w:cs="Times New Roman" w:eastAsia="Times New Roman" w:hint="default"/>
          <w:sz w:val="18"/>
          <w:szCs w:val="18"/>
        </w:rPr>
        <w:t> Artificial Intelligence in</w:t>
      </w:r>
      <w:r>
        <w:rPr>
          <w:rFonts w:ascii="Times New Roman" w:hAnsi="Times New Roman" w:cs="Times New Roman" w:eastAsia="Times New Roman" w:hint="default"/>
          <w:spacing w:val="30"/>
          <w:sz w:val="18"/>
          <w:szCs w:val="18"/>
        </w:rPr>
        <w:t> </w:t>
      </w:r>
      <w:r>
        <w:rPr>
          <w:rFonts w:ascii="Times New Roman" w:hAnsi="Times New Roman" w:cs="Times New Roman" w:eastAsia="Times New Roman" w:hint="default"/>
          <w:sz w:val="18"/>
          <w:szCs w:val="18"/>
        </w:rPr>
        <w:t>China</w:t>
      </w:r>
      <w:r>
        <w:rPr>
          <w:rFonts w:ascii="宋体" w:hAnsi="宋体" w:cs="宋体" w:eastAsia="宋体" w:hint="default"/>
          <w:sz w:val="18"/>
          <w:szCs w:val="18"/>
        </w:rPr>
        <w:t>”报告中，神州泰岳作为国内人工智能自然语言语义分析技术的代表厂商被列入。</w:t>
      </w:r>
      <w:r>
        <w:rPr>
          <w:rFonts w:ascii="Times New Roman" w:hAnsi="Times New Roman" w:cs="Times New Roman" w:eastAsia="Times New Roman" w:hint="default"/>
          <w:sz w:val="18"/>
          <w:szCs w:val="18"/>
        </w:rPr>
        <w:t>Gartner</w:t>
      </w:r>
      <w:r>
        <w:rPr>
          <w:rFonts w:ascii="宋体" w:hAnsi="宋体" w:cs="宋体" w:eastAsia="宋体" w:hint="default"/>
          <w:sz w:val="18"/>
          <w:szCs w:val="18"/>
        </w:rPr>
        <w:t>指明 “在复杂的中文语言环境下，神州泰岳的语义分析技术比深度学习更加有效、迅速的进行</w:t>
      </w:r>
      <w:r>
        <w:rPr>
          <w:rFonts w:ascii="宋体" w:hAnsi="宋体" w:cs="宋体" w:eastAsia="宋体" w:hint="default"/>
          <w:sz w:val="18"/>
          <w:szCs w:val="18"/>
        </w:rPr>
        <w:t>NLP</w:t>
      </w:r>
      <w:r>
        <w:rPr>
          <w:rFonts w:ascii="宋体" w:hAnsi="宋体" w:cs="宋体" w:eastAsia="宋体" w:hint="default"/>
          <w:sz w:val="18"/>
          <w:szCs w:val="18"/>
        </w:rPr>
        <w:t>建模。”</w:t>
      </w:r>
    </w:p>
    <w:p>
      <w:pPr>
        <w:pStyle w:val="BodyText"/>
        <w:spacing w:line="477" w:lineRule="auto" w:before="74"/>
        <w:ind w:right="1131" w:firstLine="360"/>
        <w:jc w:val="both"/>
      </w:pPr>
      <w:r>
        <w:rPr>
          <w:spacing w:val="-2"/>
        </w:rPr>
        <w:t>大数据作为我国在人工智能领域逐步达到世界领先的核心优势之一，是人工智能持续发展的动力且市场规模也已得到确</w:t>
      </w:r>
      <w:r>
        <w:rPr/>
        <w:t> 认。</w:t>
      </w:r>
    </w:p>
    <w:p>
      <w:pPr>
        <w:pStyle w:val="BodyText"/>
        <w:spacing w:line="458" w:lineRule="auto" w:before="54"/>
        <w:ind w:right="1129" w:firstLine="361"/>
        <w:jc w:val="both"/>
      </w:pPr>
      <w:r>
        <w:rPr>
          <w:rFonts w:ascii="宋体" w:hAnsi="宋体" w:cs="宋体" w:eastAsia="宋体" w:hint="default"/>
          <w:b/>
          <w:bCs/>
          <w:spacing w:val="-2"/>
          <w:w w:val="99"/>
        </w:rPr>
        <w:t>在大数据方向</w:t>
      </w:r>
      <w:r>
        <w:rPr>
          <w:spacing w:val="-2"/>
          <w:w w:val="99"/>
        </w:rPr>
        <w:t>，国务院和工信部等政府部门印发了《“十三五”国家战略性新兴产业发展规划》《“十三五”国家信息</w:t>
      </w:r>
      <w:r>
        <w:rPr/>
        <w:t> </w:t>
      </w:r>
      <w:r>
        <w:rPr>
          <w:spacing w:val="-5"/>
        </w:rPr>
        <w:t>化规划》《大数据产业发展规划（</w:t>
      </w:r>
      <w:r>
        <w:rPr>
          <w:rFonts w:ascii="Times New Roman" w:hAnsi="Times New Roman" w:cs="Times New Roman" w:eastAsia="Times New Roman" w:hint="default"/>
          <w:spacing w:val="-5"/>
        </w:rPr>
        <w:t>2016-2020</w:t>
      </w:r>
      <w:r>
        <w:rPr>
          <w:rFonts w:ascii="Times New Roman" w:hAnsi="Times New Roman" w:cs="Times New Roman" w:eastAsia="Times New Roman" w:hint="default"/>
          <w:spacing w:val="24"/>
        </w:rPr>
        <w:t> </w:t>
      </w:r>
      <w:r>
        <w:rPr>
          <w:spacing w:val="-4"/>
        </w:rPr>
        <w:t>年）》等一系列鼓励政策，在国家政策的推动下，大数据市场发展迅速，根据中</w:t>
      </w:r>
      <w:r>
        <w:rPr>
          <w:spacing w:val="-88"/>
        </w:rPr>
        <w:t> </w:t>
      </w:r>
      <w:r>
        <w:rPr>
          <w:spacing w:val="-88"/>
        </w:rPr>
      </w:r>
      <w:r>
        <w:rPr>
          <w:spacing w:val="-2"/>
        </w:rPr>
        <w:t>国信息通信研究院发布的《大数据白皮书</w:t>
      </w:r>
      <w:r>
        <w:rPr>
          <w:rFonts w:ascii="Times New Roman" w:hAnsi="Times New Roman" w:cs="Times New Roman" w:eastAsia="Times New Roman" w:hint="default"/>
          <w:spacing w:val="-2"/>
        </w:rPr>
        <w:t>2018</w:t>
      </w:r>
      <w:r>
        <w:rPr>
          <w:spacing w:val="-2"/>
        </w:rPr>
        <w:t>》报告显示，</w:t>
      </w:r>
      <w:r>
        <w:rPr>
          <w:rFonts w:ascii="Times New Roman" w:hAnsi="Times New Roman" w:cs="Times New Roman" w:eastAsia="Times New Roman" w:hint="default"/>
          <w:spacing w:val="-2"/>
        </w:rPr>
        <w:t>2017</w:t>
      </w:r>
      <w:r>
        <w:rPr>
          <w:spacing w:val="-2"/>
        </w:rPr>
        <w:t>年我国大数据产业规模</w:t>
      </w:r>
      <w:r>
        <w:rPr>
          <w:rFonts w:ascii="Times New Roman" w:hAnsi="Times New Roman" w:cs="Times New Roman" w:eastAsia="Times New Roman" w:hint="default"/>
          <w:spacing w:val="-2"/>
        </w:rPr>
        <w:t>4700</w:t>
      </w:r>
      <w:r>
        <w:rPr>
          <w:spacing w:val="-2"/>
        </w:rPr>
        <w:t>亿元人民币，同比增长</w:t>
      </w:r>
      <w:r>
        <w:rPr>
          <w:rFonts w:ascii="Times New Roman" w:hAnsi="Times New Roman" w:cs="Times New Roman" w:eastAsia="Times New Roman" w:hint="default"/>
          <w:spacing w:val="-2"/>
        </w:rPr>
        <w:t>30%</w:t>
      </w:r>
      <w:r>
        <w:rPr>
          <w:spacing w:val="-2"/>
        </w:rPr>
        <w:t>，预</w:t>
      </w:r>
      <w:r>
        <w:rPr>
          <w:spacing w:val="-32"/>
        </w:rPr>
        <w:t> </w:t>
      </w:r>
      <w:r>
        <w:rPr/>
        <w:t>计到</w:t>
      </w:r>
      <w:r>
        <w:rPr>
          <w:rFonts w:ascii="Times New Roman" w:hAnsi="Times New Roman" w:cs="Times New Roman" w:eastAsia="Times New Roman" w:hint="default"/>
        </w:rPr>
        <w:t>2020</w:t>
      </w:r>
      <w:r>
        <w:rPr/>
        <w:t>年整体市场将达到万亿规模。</w:t>
      </w:r>
    </w:p>
    <w:p>
      <w:pPr>
        <w:pStyle w:val="BodyText"/>
        <w:spacing w:line="463" w:lineRule="auto" w:before="37"/>
        <w:ind w:right="1130" w:firstLine="360"/>
        <w:jc w:val="both"/>
      </w:pPr>
      <w:r>
        <w:rPr>
          <w:spacing w:val="-2"/>
        </w:rPr>
        <w:t>而根据另一份</w:t>
      </w:r>
      <w:r>
        <w:rPr>
          <w:rFonts w:ascii="Times New Roman" w:hAnsi="Times New Roman" w:cs="Times New Roman" w:eastAsia="Times New Roman" w:hint="default"/>
          <w:spacing w:val="-2"/>
        </w:rPr>
        <w:t>IDC</w:t>
      </w:r>
      <w:r>
        <w:rPr>
          <w:spacing w:val="-2"/>
        </w:rPr>
        <w:t>的数据显示，截至</w:t>
      </w:r>
      <w:r>
        <w:rPr>
          <w:rFonts w:ascii="Times New Roman" w:hAnsi="Times New Roman" w:cs="Times New Roman" w:eastAsia="Times New Roman" w:hint="default"/>
          <w:spacing w:val="-2"/>
        </w:rPr>
        <w:t>2018</w:t>
      </w:r>
      <w:r>
        <w:rPr>
          <w:spacing w:val="-2"/>
        </w:rPr>
        <w:t>年年底，中国大数据解决方案市场软硬服总额达到</w:t>
      </w:r>
      <w:r>
        <w:rPr>
          <w:rFonts w:ascii="Times New Roman" w:hAnsi="Times New Roman" w:cs="Times New Roman" w:eastAsia="Times New Roman" w:hint="default"/>
          <w:spacing w:val="-2"/>
        </w:rPr>
        <w:t>388.8</w:t>
      </w:r>
      <w:r>
        <w:rPr>
          <w:spacing w:val="-2"/>
        </w:rPr>
        <w:t>亿元人民币，中国大数</w:t>
      </w:r>
      <w:r>
        <w:rPr/>
        <w:t> 据市场预计未来</w:t>
      </w:r>
      <w:r>
        <w:rPr>
          <w:rFonts w:ascii="Times New Roman" w:hAnsi="Times New Roman" w:cs="Times New Roman" w:eastAsia="Times New Roman" w:hint="default"/>
        </w:rPr>
        <w:t>5</w:t>
      </w:r>
      <w:r>
        <w:rPr/>
        <w:t>年将保持持续增长的趋势，年复合增长率将达到</w:t>
      </w:r>
      <w:r>
        <w:rPr>
          <w:rFonts w:ascii="Times New Roman" w:hAnsi="Times New Roman" w:cs="Times New Roman" w:eastAsia="Times New Roman" w:hint="default"/>
        </w:rPr>
        <w:t>17.3%</w:t>
      </w:r>
      <w:r>
        <w:rPr/>
        <w:t>。公司经过多年来在大数据领域，技术能力与基础</w:t>
      </w:r>
      <w:r>
        <w:rPr>
          <w:spacing w:val="-20"/>
        </w:rPr>
        <w:t> </w:t>
      </w:r>
      <w:r>
        <w:rPr>
          <w:spacing w:val="-20"/>
        </w:rPr>
      </w:r>
      <w:r>
        <w:rPr>
          <w:spacing w:val="-2"/>
        </w:rPr>
        <w:t>数据的积累和商业模式探索，从原有业务模式已逐步转入数据运营能力与产业生态环境闭环打造工作，着重探索数据能力在</w:t>
      </w:r>
      <w:r>
        <w:rPr>
          <w:spacing w:val="-64"/>
        </w:rPr>
        <w:t> </w:t>
      </w:r>
      <w:r>
        <w:rPr>
          <w:spacing w:val="-64"/>
        </w:rPr>
      </w:r>
      <w:r>
        <w:rPr>
          <w:spacing w:val="-2"/>
        </w:rPr>
        <w:t>垂直领域的应用，广泛服务于众多合作伙伴，竭诚为企业提供大数据分析、精准营销及人工智能创新产品和服务。在用户模</w:t>
      </w:r>
      <w:r>
        <w:rPr>
          <w:spacing w:val="-65"/>
        </w:rPr>
        <w:t> </w:t>
      </w:r>
      <w:r>
        <w:rPr>
          <w:spacing w:val="-65"/>
        </w:rPr>
      </w:r>
      <w:r>
        <w:rPr/>
        <w:t>型精准度、触达能力、触达手段上等方面均具有较高的能力。</w:t>
      </w:r>
    </w:p>
    <w:p>
      <w:pPr>
        <w:pStyle w:val="Heading5"/>
        <w:spacing w:line="240" w:lineRule="auto" w:before="65"/>
        <w:ind w:left="515" w:right="0"/>
        <w:jc w:val="left"/>
        <w:rPr>
          <w:b w:val="0"/>
          <w:bCs w:val="0"/>
        </w:rPr>
      </w:pPr>
      <w:r>
        <w:rPr>
          <w:rFonts w:ascii="Times New Roman" w:hAnsi="Times New Roman" w:cs="Times New Roman" w:eastAsia="Times New Roman" w:hint="default"/>
        </w:rPr>
        <w:t>3</w:t>
      </w:r>
      <w:r>
        <w:rPr/>
        <w:t>、</w:t>
      </w:r>
      <w:r>
        <w:rPr>
          <w:rFonts w:ascii="Times New Roman" w:hAnsi="Times New Roman" w:cs="Times New Roman" w:eastAsia="Times New Roman" w:hint="default"/>
        </w:rPr>
        <w:t>ICT</w:t>
      </w:r>
      <w:r>
        <w:rPr/>
        <w:t>运营管理领域</w:t>
      </w:r>
      <w:r>
        <w:rPr>
          <w:b w:val="0"/>
          <w:bCs w:val="0"/>
        </w:rPr>
      </w:r>
    </w:p>
    <w:p>
      <w:pPr>
        <w:pStyle w:val="BodyText"/>
        <w:spacing w:line="470" w:lineRule="atLeast"/>
        <w:ind w:right="1129" w:firstLine="360"/>
        <w:jc w:val="both"/>
      </w:pPr>
      <w:r>
        <w:rPr>
          <w:rFonts w:ascii="Times New Roman" w:hAnsi="Times New Roman" w:cs="Times New Roman" w:eastAsia="Times New Roman" w:hint="default"/>
        </w:rPr>
        <w:t>ICT</w:t>
      </w:r>
      <w:r>
        <w:rPr/>
        <w:t>运营管理是</w:t>
      </w:r>
      <w:r>
        <w:rPr>
          <w:rFonts w:ascii="Times New Roman" w:hAnsi="Times New Roman" w:cs="Times New Roman" w:eastAsia="Times New Roman" w:hint="default"/>
        </w:rPr>
        <w:t>ICT</w:t>
      </w:r>
      <w:r>
        <w:rPr/>
        <w:t>系统运行不可缺少的组成部分，其需求是刚性的、持续的，随着技术、业务的变化而不断迭代。在</w:t>
      </w:r>
      <w:r>
        <w:rPr>
          <w:spacing w:val="1"/>
          <w:w w:val="99"/>
        </w:rPr>
        <w:t> </w:t>
      </w:r>
      <w:r>
        <w:rPr>
          <w:spacing w:val="-2"/>
          <w:w w:val="99"/>
        </w:rPr>
        <w:t>人工智能、云计算、大数据、</w:t>
      </w:r>
      <w:r>
        <w:rPr>
          <w:rFonts w:ascii="Times New Roman" w:hAnsi="Times New Roman" w:cs="Times New Roman" w:eastAsia="Times New Roman" w:hint="default"/>
          <w:spacing w:val="-2"/>
          <w:w w:val="99"/>
        </w:rPr>
        <w:t>SDN</w:t>
      </w:r>
      <w:r>
        <w:rPr>
          <w:spacing w:val="-2"/>
          <w:w w:val="99"/>
        </w:rPr>
        <w:t>（软件定义网络）、</w:t>
      </w:r>
      <w:r>
        <w:rPr>
          <w:rFonts w:ascii="Times New Roman" w:hAnsi="Times New Roman" w:cs="Times New Roman" w:eastAsia="Times New Roman" w:hint="default"/>
          <w:spacing w:val="-2"/>
          <w:w w:val="99"/>
        </w:rPr>
        <w:t>NFV</w:t>
      </w:r>
      <w:r>
        <w:rPr>
          <w:spacing w:val="-2"/>
          <w:w w:val="99"/>
        </w:rPr>
        <w:t>（网络虚拟化</w:t>
      </w:r>
      <w:r>
        <w:rPr>
          <w:rFonts w:ascii="Times New Roman" w:hAnsi="Times New Roman" w:cs="Times New Roman" w:eastAsia="Times New Roman" w:hint="default"/>
          <w:spacing w:val="-2"/>
          <w:w w:val="99"/>
        </w:rPr>
        <w:t>)</w:t>
      </w:r>
      <w:r>
        <w:rPr>
          <w:spacing w:val="-2"/>
          <w:w w:val="99"/>
        </w:rPr>
        <w:t>等新架构、新技术的推动下，</w:t>
      </w:r>
      <w:r>
        <w:rPr>
          <w:rFonts w:ascii="Times New Roman" w:hAnsi="Times New Roman" w:cs="Times New Roman" w:eastAsia="Times New Roman" w:hint="default"/>
          <w:spacing w:val="-2"/>
          <w:w w:val="99"/>
        </w:rPr>
        <w:t>ICT</w:t>
      </w:r>
      <w:r>
        <w:rPr>
          <w:spacing w:val="-2"/>
          <w:w w:val="99"/>
        </w:rPr>
        <w:t>环境正发生着颠</w:t>
      </w:r>
      <w:r>
        <w:rPr>
          <w:spacing w:val="-50"/>
          <w:w w:val="99"/>
        </w:rPr>
        <w:t> </w:t>
      </w:r>
      <w:r>
        <w:rPr>
          <w:spacing w:val="-50"/>
          <w:w w:val="99"/>
        </w:rPr>
      </w:r>
      <w:r>
        <w:rPr/>
        <w:t>覆性变革，汇集开发、测试、运维于一体的</w:t>
      </w:r>
      <w:r>
        <w:rPr>
          <w:rFonts w:ascii="Times New Roman" w:hAnsi="Times New Roman" w:cs="Times New Roman" w:eastAsia="Times New Roman" w:hint="default"/>
        </w:rPr>
        <w:t>DevOps</w:t>
      </w:r>
      <w:r>
        <w:rPr/>
        <w:t>体系、</w:t>
      </w:r>
      <w:r>
        <w:rPr>
          <w:rFonts w:ascii="Times New Roman" w:hAnsi="Times New Roman" w:cs="Times New Roman" w:eastAsia="Times New Roman" w:hint="default"/>
        </w:rPr>
        <w:t>AIOps</w:t>
      </w:r>
      <w:r>
        <w:rPr/>
        <w:t>（人工智能运维）架构已经开始逐渐兴起成为热点。</w:t>
      </w:r>
    </w:p>
    <w:p>
      <w:pPr>
        <w:spacing w:after="0" w:line="470" w:lineRule="atLeast"/>
        <w:jc w:val="both"/>
        <w:sectPr>
          <w:pgSz w:w="11910" w:h="16840"/>
          <w:pgMar w:header="851" w:footer="1187" w:top="1400" w:bottom="1380" w:left="980" w:right="0"/>
        </w:sectPr>
      </w:pPr>
    </w:p>
    <w:p>
      <w:pPr>
        <w:spacing w:line="240" w:lineRule="auto" w:before="1"/>
        <w:rPr>
          <w:rFonts w:ascii="宋体" w:hAnsi="宋体" w:cs="宋体" w:eastAsia="宋体" w:hint="default"/>
          <w:sz w:val="8"/>
          <w:szCs w:val="8"/>
        </w:rPr>
      </w:pPr>
    </w:p>
    <w:p>
      <w:pPr>
        <w:pStyle w:val="BodyText"/>
        <w:spacing w:line="451" w:lineRule="auto" w:before="44"/>
        <w:ind w:right="1131" w:firstLine="360"/>
        <w:jc w:val="both"/>
      </w:pPr>
      <w:r>
        <w:rPr/>
        <w:t>计算机网络（</w:t>
      </w:r>
      <w:r>
        <w:rPr>
          <w:rFonts w:ascii="Times New Roman" w:hAnsi="Times New Roman" w:cs="Times New Roman" w:eastAsia="Times New Roman" w:hint="default"/>
        </w:rPr>
        <w:t>IT</w:t>
      </w:r>
      <w:r>
        <w:rPr/>
        <w:t>）与通讯网络（</w:t>
      </w:r>
      <w:r>
        <w:rPr>
          <w:rFonts w:ascii="Times New Roman" w:hAnsi="Times New Roman" w:cs="Times New Roman" w:eastAsia="Times New Roman" w:hint="default"/>
        </w:rPr>
        <w:t>CT</w:t>
      </w:r>
      <w:r>
        <w:rPr/>
        <w:t>）的融合已成共识，传统软硬件一体、专用的</w:t>
      </w:r>
      <w:r>
        <w:rPr>
          <w:rFonts w:ascii="Times New Roman" w:hAnsi="Times New Roman" w:cs="Times New Roman" w:eastAsia="Times New Roman" w:hint="default"/>
        </w:rPr>
        <w:t>CT</w:t>
      </w:r>
      <w:r>
        <w:rPr/>
        <w:t>设备和技术，会逐步演进为部署在 </w:t>
      </w:r>
      <w:r>
        <w:rPr>
          <w:spacing w:val="-1"/>
        </w:rPr>
        <w:t>通用、弹性的</w:t>
      </w:r>
      <w:r>
        <w:rPr>
          <w:rFonts w:ascii="Times New Roman" w:hAnsi="Times New Roman" w:cs="Times New Roman" w:eastAsia="Times New Roman" w:hint="default"/>
          <w:spacing w:val="-1"/>
        </w:rPr>
        <w:t>IT</w:t>
      </w:r>
      <w:r>
        <w:rPr>
          <w:spacing w:val="-1"/>
        </w:rPr>
        <w:t>基础设施之上的软件系统，融合到</w:t>
      </w:r>
      <w:r>
        <w:rPr>
          <w:rFonts w:ascii="Times New Roman" w:hAnsi="Times New Roman" w:cs="Times New Roman" w:eastAsia="Times New Roman" w:hint="default"/>
          <w:spacing w:val="-1"/>
        </w:rPr>
        <w:t>IT</w:t>
      </w:r>
      <w:r>
        <w:rPr>
          <w:spacing w:val="-1"/>
        </w:rPr>
        <w:t>体系架构中。公司作为</w:t>
      </w:r>
      <w:r>
        <w:rPr>
          <w:rFonts w:ascii="Times New Roman" w:hAnsi="Times New Roman" w:cs="Times New Roman" w:eastAsia="Times New Roman" w:hint="default"/>
          <w:spacing w:val="-1"/>
        </w:rPr>
        <w:t>IT</w:t>
      </w:r>
      <w:r>
        <w:rPr>
          <w:spacing w:val="-1"/>
        </w:rPr>
        <w:t>运营管理领域的优势厂商，与传输、话务等传</w:t>
      </w:r>
      <w:r>
        <w:rPr>
          <w:spacing w:val="-88"/>
        </w:rPr>
        <w:t> </w:t>
      </w:r>
      <w:r>
        <w:rPr>
          <w:spacing w:val="-88"/>
        </w:rPr>
      </w:r>
      <w:r>
        <w:rPr/>
        <w:t>统</w:t>
      </w:r>
      <w:r>
        <w:rPr>
          <w:rFonts w:ascii="Times New Roman" w:hAnsi="Times New Roman" w:cs="Times New Roman" w:eastAsia="Times New Roman" w:hint="default"/>
        </w:rPr>
        <w:t>CT</w:t>
      </w:r>
      <w:r>
        <w:rPr/>
        <w:t>运营管理厂商相比，更为适应</w:t>
      </w:r>
      <w:r>
        <w:rPr>
          <w:rFonts w:ascii="Times New Roman" w:hAnsi="Times New Roman" w:cs="Times New Roman" w:eastAsia="Times New Roman" w:hint="default"/>
        </w:rPr>
        <w:t>ICT</w:t>
      </w:r>
      <w:r>
        <w:rPr/>
        <w:t>融合环境下的运营管理要求，拥有更大的竞争优势。</w:t>
      </w:r>
    </w:p>
    <w:p>
      <w:pPr>
        <w:pStyle w:val="BodyText"/>
        <w:spacing w:line="451" w:lineRule="auto" w:before="44"/>
        <w:ind w:right="1130" w:firstLine="360"/>
        <w:jc w:val="both"/>
      </w:pPr>
      <w:r>
        <w:rPr>
          <w:rFonts w:ascii="Times New Roman" w:hAnsi="Times New Roman" w:cs="Times New Roman" w:eastAsia="Times New Roman" w:hint="default"/>
        </w:rPr>
        <w:t>2018</w:t>
      </w:r>
      <w:r>
        <w:rPr/>
        <w:t>年，中国的信息通信产业高速发展，</w:t>
      </w:r>
      <w:r>
        <w:rPr>
          <w:rFonts w:ascii="Times New Roman" w:hAnsi="Times New Roman" w:cs="Times New Roman" w:eastAsia="Times New Roman" w:hint="default"/>
        </w:rPr>
        <w:t>5G</w:t>
      </w:r>
      <w:r>
        <w:rPr/>
        <w:t>第三阶段测试完成，三大基础电信运营商已经获得全国范围</w:t>
      </w:r>
      <w:r>
        <w:rPr>
          <w:rFonts w:ascii="Times New Roman" w:hAnsi="Times New Roman" w:cs="Times New Roman" w:eastAsia="Times New Roman" w:hint="default"/>
        </w:rPr>
        <w:t>5G</w:t>
      </w:r>
      <w:r>
        <w:rPr/>
        <w:t>中低频段试 </w:t>
      </w:r>
      <w:r>
        <w:rPr>
          <w:spacing w:val="-1"/>
        </w:rPr>
        <w:t>验频率使用许可，</w:t>
      </w:r>
      <w:r>
        <w:rPr>
          <w:rFonts w:ascii="Times New Roman" w:hAnsi="Times New Roman" w:cs="Times New Roman" w:eastAsia="Times New Roman" w:hint="default"/>
          <w:spacing w:val="-1"/>
        </w:rPr>
        <w:t>2019</w:t>
      </w:r>
      <w:r>
        <w:rPr>
          <w:spacing w:val="-1"/>
        </w:rPr>
        <w:t>年将迎来</w:t>
      </w:r>
      <w:r>
        <w:rPr>
          <w:rFonts w:ascii="Times New Roman" w:hAnsi="Times New Roman" w:cs="Times New Roman" w:eastAsia="Times New Roman" w:hint="default"/>
          <w:spacing w:val="-1"/>
        </w:rPr>
        <w:t>5G</w:t>
      </w:r>
      <w:r>
        <w:rPr>
          <w:spacing w:val="-1"/>
        </w:rPr>
        <w:t>商用的落地。伴随电信运营商底层通信传输网络</w:t>
      </w:r>
      <w:r>
        <w:rPr>
          <w:rFonts w:ascii="Times New Roman" w:hAnsi="Times New Roman" w:cs="Times New Roman" w:eastAsia="Times New Roman" w:hint="default"/>
          <w:spacing w:val="-1"/>
        </w:rPr>
        <w:t>5G</w:t>
      </w:r>
      <w:r>
        <w:rPr>
          <w:spacing w:val="-1"/>
        </w:rPr>
        <w:t>、</w:t>
      </w:r>
      <w:r>
        <w:rPr>
          <w:rFonts w:ascii="Times New Roman" w:hAnsi="Times New Roman" w:cs="Times New Roman" w:eastAsia="Times New Roman" w:hint="default"/>
          <w:spacing w:val="-1"/>
        </w:rPr>
        <w:t>NB-IOT</w:t>
      </w:r>
      <w:r>
        <w:rPr>
          <w:spacing w:val="-1"/>
        </w:rPr>
        <w:t>的部署，电信网络的规模和</w:t>
      </w:r>
      <w:r>
        <w:rPr>
          <w:spacing w:val="-88"/>
        </w:rPr>
        <w:t> </w:t>
      </w:r>
      <w:r>
        <w:rPr>
          <w:spacing w:val="-88"/>
        </w:rPr>
      </w:r>
      <w:r>
        <w:rPr/>
        <w:t>复杂度不断升级，运营管理需求的空间越来越大。</w:t>
      </w:r>
    </w:p>
    <w:p>
      <w:pPr>
        <w:pStyle w:val="BodyText"/>
        <w:spacing w:line="451" w:lineRule="auto" w:before="74"/>
        <w:ind w:right="1041" w:firstLine="361"/>
        <w:jc w:val="left"/>
      </w:pPr>
      <w:r>
        <w:rPr>
          <w:rFonts w:ascii="宋体" w:hAnsi="宋体" w:cs="宋体" w:eastAsia="宋体" w:hint="default"/>
          <w:b/>
          <w:bCs/>
        </w:rPr>
        <w:t>在信息安全方面</w:t>
      </w:r>
      <w:r>
        <w:rPr/>
        <w:t>，近几年国家相继出台系列政策支持信息安全行业的发展，随着</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12</w:t>
      </w:r>
      <w:r>
        <w:rPr/>
        <w:t>月《国家网络空间安全战略》 和</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月《网络安全法》的发布，也标志着网络信息安全产业从满足行业的合规要求上升到满足国家的法律要求，未来</w:t>
      </w:r>
      <w:r>
        <w:rPr>
          <w:spacing w:val="-83"/>
        </w:rPr>
        <w:t> </w:t>
      </w:r>
      <w:r>
        <w:rPr>
          <w:spacing w:val="-83"/>
        </w:rPr>
      </w:r>
      <w:r>
        <w:rPr>
          <w:spacing w:val="-4"/>
        </w:rPr>
        <w:t>信息安全产业必定迎来蓬勃发展。根据中国产业信息网发布的《</w:t>
      </w:r>
      <w:r>
        <w:rPr>
          <w:rFonts w:ascii="Times New Roman" w:hAnsi="Times New Roman" w:cs="Times New Roman" w:eastAsia="Times New Roman" w:hint="default"/>
          <w:spacing w:val="-4"/>
        </w:rPr>
        <w:t>2018</w:t>
      </w:r>
      <w:r>
        <w:rPr>
          <w:spacing w:val="-4"/>
        </w:rPr>
        <w:t>年</w:t>
      </w:r>
      <w:r>
        <w:rPr>
          <w:rFonts w:ascii="Times New Roman" w:hAnsi="Times New Roman" w:cs="Times New Roman" w:eastAsia="Times New Roman" w:hint="default"/>
          <w:spacing w:val="-4"/>
        </w:rPr>
        <w:t>-2024</w:t>
      </w:r>
      <w:r>
        <w:rPr>
          <w:spacing w:val="-4"/>
        </w:rPr>
        <w:t>年中国信息安全行业分析及投资前景预测报告》，</w:t>
      </w:r>
      <w:r>
        <w:rPr>
          <w:spacing w:val="-82"/>
        </w:rPr>
        <w:t> </w:t>
      </w:r>
      <w:r>
        <w:rPr>
          <w:spacing w:val="-82"/>
        </w:rPr>
      </w:r>
      <w:r>
        <w:rPr/>
        <w:t>预测国内信息安全市场规模预计在</w:t>
      </w:r>
      <w:r>
        <w:rPr>
          <w:rFonts w:ascii="Times New Roman" w:hAnsi="Times New Roman" w:cs="Times New Roman" w:eastAsia="Times New Roman" w:hint="default"/>
        </w:rPr>
        <w:t>2020</w:t>
      </w:r>
      <w:r>
        <w:rPr/>
        <w:t>年将达到</w:t>
      </w:r>
      <w:r>
        <w:rPr>
          <w:rFonts w:ascii="Times New Roman" w:hAnsi="Times New Roman" w:cs="Times New Roman" w:eastAsia="Times New Roman" w:hint="default"/>
        </w:rPr>
        <w:t>69</w:t>
      </w:r>
      <w:r>
        <w:rPr/>
        <w:t>亿美元，全球安全产业规模从</w:t>
      </w:r>
      <w:r>
        <w:rPr>
          <w:rFonts w:ascii="Times New Roman" w:hAnsi="Times New Roman" w:cs="Times New Roman" w:eastAsia="Times New Roman" w:hint="default"/>
        </w:rPr>
        <w:t>2016</w:t>
      </w:r>
      <w:r>
        <w:rPr/>
        <w:t>年至</w:t>
      </w:r>
      <w:r>
        <w:rPr>
          <w:rFonts w:ascii="Times New Roman" w:hAnsi="Times New Roman" w:cs="Times New Roman" w:eastAsia="Times New Roman" w:hint="default"/>
        </w:rPr>
        <w:t>2019</w:t>
      </w:r>
      <w:r>
        <w:rPr/>
        <w:t>年有望保持超过</w:t>
      </w:r>
      <w:r>
        <w:rPr>
          <w:rFonts w:ascii="Times New Roman" w:hAnsi="Times New Roman" w:cs="Times New Roman" w:eastAsia="Times New Roman" w:hint="default"/>
        </w:rPr>
        <w:t>8%</w:t>
      </w:r>
      <w:r>
        <w:rPr/>
        <w:t>的增长速</w:t>
      </w:r>
      <w:r>
        <w:rPr>
          <w:spacing w:val="-56"/>
        </w:rPr>
        <w:t> </w:t>
      </w:r>
      <w:r>
        <w:rPr/>
        <w:t>率。与美、日等国家相比，中国信息安全投入仍有较大增长空间。</w:t>
      </w:r>
    </w:p>
    <w:p>
      <w:pPr>
        <w:spacing w:line="451" w:lineRule="auto" w:before="74"/>
        <w:ind w:left="515" w:right="1115" w:hanging="362"/>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、手机游戏领域</w:t>
      </w:r>
      <w:r>
        <w:rPr>
          <w:rFonts w:ascii="宋体" w:hAnsi="宋体" w:cs="宋体" w:eastAsia="宋体" w:hint="default"/>
          <w:b/>
          <w:bCs/>
          <w:w w:val="99"/>
          <w:sz w:val="18"/>
          <w:szCs w:val="18"/>
        </w:rPr>
        <w:t> </w:t>
      </w:r>
      <w:r>
        <w:rPr>
          <w:rFonts w:ascii="宋体" w:hAnsi="宋体" w:cs="宋体" w:eastAsia="宋体" w:hint="default"/>
          <w:b/>
          <w:bCs/>
          <w:sz w:val="18"/>
          <w:szCs w:val="18"/>
        </w:rPr>
        <w:t>根据谷歌与伽马数据联合推出的《中国移动游戏海外市场发展报告》显示，</w:t>
      </w:r>
      <w:r>
        <w:rPr>
          <w:rFonts w:ascii="Times New Roman" w:hAnsi="Times New Roman" w:cs="Times New Roman" w:eastAsia="Times New Roman" w:hint="default"/>
          <w:sz w:val="18"/>
          <w:szCs w:val="18"/>
        </w:rPr>
        <w:t>2018</w:t>
      </w:r>
      <w:r>
        <w:rPr>
          <w:rFonts w:ascii="宋体" w:hAnsi="宋体" w:cs="宋体" w:eastAsia="宋体" w:hint="default"/>
          <w:sz w:val="18"/>
          <w:szCs w:val="18"/>
        </w:rPr>
        <w:t>年海外移动游戏收入</w:t>
      </w:r>
      <w:r>
        <w:rPr>
          <w:rFonts w:ascii="Times New Roman" w:hAnsi="Times New Roman" w:cs="Times New Roman" w:eastAsia="Times New Roman" w:hint="default"/>
          <w:sz w:val="18"/>
          <w:szCs w:val="18"/>
        </w:rPr>
        <w:t>437.6</w:t>
      </w:r>
      <w:r>
        <w:rPr>
          <w:rFonts w:ascii="宋体" w:hAnsi="宋体" w:cs="宋体" w:eastAsia="宋体" w:hint="default"/>
          <w:sz w:val="18"/>
          <w:szCs w:val="18"/>
        </w:rPr>
        <w:t>亿美元、中</w:t>
      </w:r>
    </w:p>
    <w:p>
      <w:pPr>
        <w:pStyle w:val="BodyText"/>
        <w:spacing w:line="468" w:lineRule="auto" w:before="43"/>
        <w:ind w:right="1131"/>
        <w:jc w:val="both"/>
      </w:pPr>
      <w:r>
        <w:rPr>
          <w:spacing w:val="-1"/>
        </w:rPr>
        <w:t>国移动游戏海外占比</w:t>
      </w:r>
      <w:r>
        <w:rPr>
          <w:rFonts w:ascii="Times New Roman" w:hAnsi="Times New Roman" w:cs="Times New Roman" w:eastAsia="Times New Roman" w:hint="default"/>
          <w:spacing w:val="-1"/>
        </w:rPr>
        <w:t>15.8%</w:t>
      </w:r>
      <w:r>
        <w:rPr>
          <w:spacing w:val="-1"/>
        </w:rPr>
        <w:t>，仍有很大潜力；中国移动游戏海外收入依然保持增长，但增长放缓，这主要受产品同质化、用</w:t>
      </w:r>
      <w:r>
        <w:rPr>
          <w:spacing w:val="-45"/>
        </w:rPr>
        <w:t> </w:t>
      </w:r>
      <w:r>
        <w:rPr>
          <w:spacing w:val="-45"/>
        </w:rPr>
      </w:r>
      <w:r>
        <w:rPr>
          <w:spacing w:val="-2"/>
        </w:rPr>
        <w:t>户需求改变、用户获取难度提升、新产品竞争力减弱等因素影响。公司手机游戏研发团队的策略主要致力于打造精品重度游</w:t>
      </w:r>
      <w:r>
        <w:rPr>
          <w:spacing w:val="-65"/>
        </w:rPr>
        <w:t> </w:t>
      </w:r>
      <w:r>
        <w:rPr>
          <w:spacing w:val="-65"/>
        </w:rPr>
      </w:r>
      <w:r>
        <w:rPr>
          <w:spacing w:val="-2"/>
        </w:rPr>
        <w:t>戏，进行全球发行，虽然目前阶段手游市场整体增速放缓，竞争激烈程度日益加强，游戏类别层出不穷，但重度游戏在移动</w:t>
      </w:r>
      <w:r>
        <w:rPr>
          <w:spacing w:val="-66"/>
        </w:rPr>
        <w:t> </w:t>
      </w:r>
      <w:r>
        <w:rPr>
          <w:spacing w:val="-66"/>
        </w:rPr>
      </w:r>
      <w:r>
        <w:rPr/>
        <w:t>游戏用户存量市场仍被越来越多的玩家所青睐，未来仍有良好的市场增长空间。</w:t>
      </w:r>
    </w:p>
    <w:p>
      <w:pPr>
        <w:pStyle w:val="Heading5"/>
        <w:spacing w:line="240" w:lineRule="auto" w:before="61"/>
        <w:ind w:left="515" w:right="0"/>
        <w:jc w:val="left"/>
        <w:rPr>
          <w:b w:val="0"/>
          <w:bCs w:val="0"/>
        </w:rPr>
      </w:pPr>
      <w:r>
        <w:rPr/>
        <w:t>（二）公司</w:t>
      </w:r>
      <w:r>
        <w:rPr>
          <w:rFonts w:ascii="Times New Roman" w:hAnsi="Times New Roman" w:cs="Times New Roman" w:eastAsia="Times New Roman" w:hint="default"/>
        </w:rPr>
        <w:t>2019</w:t>
      </w:r>
      <w:r>
        <w:rPr/>
        <w:t>年经营计划</w:t>
      </w:r>
      <w:r>
        <w:rPr>
          <w:b w:val="0"/>
          <w:bCs w:val="0"/>
        </w:rPr>
      </w:r>
    </w:p>
    <w:p>
      <w:pPr>
        <w:spacing w:line="240" w:lineRule="auto" w:before="9"/>
        <w:rPr>
          <w:rFonts w:ascii="宋体" w:hAnsi="宋体" w:cs="宋体" w:eastAsia="宋体" w:hint="default"/>
          <w:b/>
          <w:bCs/>
          <w:sz w:val="16"/>
          <w:szCs w:val="16"/>
        </w:rPr>
      </w:pPr>
    </w:p>
    <w:p>
      <w:pPr>
        <w:pStyle w:val="Heading5"/>
        <w:spacing w:line="240" w:lineRule="auto"/>
        <w:ind w:left="515" w:right="0"/>
        <w:jc w:val="left"/>
        <w:rPr>
          <w:b w:val="0"/>
          <w:bCs w:val="0"/>
        </w:rPr>
      </w:pPr>
      <w:r>
        <w:rPr>
          <w:rFonts w:ascii="Times New Roman" w:hAnsi="Times New Roman" w:cs="Times New Roman" w:eastAsia="Times New Roman" w:hint="default"/>
        </w:rPr>
        <w:t>1</w:t>
      </w:r>
      <w:r>
        <w:rPr/>
        <w:t>、物联网</w:t>
      </w:r>
      <w:r>
        <w:rPr>
          <w:rFonts w:ascii="Times New Roman" w:hAnsi="Times New Roman" w:cs="Times New Roman" w:eastAsia="Times New Roman" w:hint="default"/>
        </w:rPr>
        <w:t>/</w:t>
      </w:r>
      <w:r>
        <w:rPr/>
        <w:t>通讯领域</w:t>
      </w:r>
      <w:r>
        <w:rPr>
          <w:b w:val="0"/>
          <w:bCs w:val="0"/>
        </w:rPr>
      </w:r>
    </w:p>
    <w:p>
      <w:pPr>
        <w:spacing w:line="240" w:lineRule="auto" w:before="9"/>
        <w:rPr>
          <w:rFonts w:ascii="宋体" w:hAnsi="宋体" w:cs="宋体" w:eastAsia="宋体" w:hint="default"/>
          <w:b/>
          <w:bCs/>
          <w:sz w:val="16"/>
          <w:szCs w:val="16"/>
        </w:rPr>
      </w:pPr>
    </w:p>
    <w:p>
      <w:pPr>
        <w:pStyle w:val="BodyText"/>
        <w:spacing w:line="451" w:lineRule="auto"/>
        <w:ind w:right="1025" w:firstLine="360"/>
        <w:jc w:val="left"/>
      </w:pPr>
      <w:r>
        <w:rPr>
          <w:rFonts w:ascii="Times New Roman" w:hAnsi="Times New Roman" w:cs="Times New Roman" w:eastAsia="Times New Roman" w:hint="default"/>
        </w:rPr>
        <w:t>A</w:t>
      </w:r>
      <w:r>
        <w:rPr/>
        <w:t>、</w:t>
      </w:r>
      <w:r>
        <w:rPr>
          <w:rFonts w:ascii="Times New Roman" w:hAnsi="Times New Roman" w:cs="Times New Roman" w:eastAsia="Times New Roman" w:hint="default"/>
        </w:rPr>
        <w:t>2019</w:t>
      </w:r>
      <w:r>
        <w:rPr>
          <w:rFonts w:ascii="Times New Roman" w:hAnsi="Times New Roman" w:cs="Times New Roman" w:eastAsia="Times New Roman" w:hint="default"/>
          <w:spacing w:val="12"/>
        </w:rPr>
        <w:t> </w:t>
      </w:r>
      <w:r>
        <w:rPr/>
        <w:t>年公司将持续加强以“智慧线”技术为核心的物联网通信技术的研发，涵盖通信协议、核心算法、深度学习、 融合通信以及重要场景（核岛核电、周界安防、管廊信息化）产品解决方案的优化等。</w:t>
      </w:r>
    </w:p>
    <w:p>
      <w:pPr>
        <w:pStyle w:val="BodyText"/>
        <w:spacing w:line="451" w:lineRule="auto" w:before="74"/>
        <w:ind w:right="1113" w:firstLine="360"/>
        <w:jc w:val="left"/>
      </w:pPr>
      <w:r>
        <w:rPr>
          <w:rFonts w:ascii="Times New Roman" w:hAnsi="Times New Roman" w:cs="Times New Roman" w:eastAsia="Times New Roman" w:hint="default"/>
        </w:rPr>
        <w:t>B</w:t>
      </w:r>
      <w:r>
        <w:rPr/>
        <w:t>、公司将充分发挥与中核及中广核集团的深度战略合作以及已有的先发优势，推进</w:t>
      </w:r>
      <w:r>
        <w:rPr>
          <w:spacing w:val="-65"/>
        </w:rPr>
        <w:t> </w:t>
      </w:r>
      <w:r>
        <w:rPr>
          <w:rFonts w:ascii="Times New Roman" w:hAnsi="Times New Roman" w:cs="Times New Roman" w:eastAsia="Times New Roman" w:hint="default"/>
        </w:rPr>
        <w:t>Nu-WiFi</w:t>
      </w:r>
      <w:r>
        <w:rPr>
          <w:rFonts w:ascii="Times New Roman" w:hAnsi="Times New Roman" w:cs="Times New Roman" w:eastAsia="Times New Roman" w:hint="default"/>
          <w:spacing w:val="-21"/>
        </w:rPr>
        <w:t> </w:t>
      </w:r>
      <w:r>
        <w:rPr/>
        <w:t>核专业无线通信系统的应 用实践，加速新核电站项目的签约落地，打造公司智慧核电的品牌力。</w:t>
      </w:r>
    </w:p>
    <w:p>
      <w:pPr>
        <w:pStyle w:val="BodyText"/>
        <w:spacing w:line="451" w:lineRule="auto" w:before="74"/>
        <w:ind w:right="0" w:firstLine="360"/>
        <w:jc w:val="left"/>
      </w:pPr>
      <w:r>
        <w:rPr>
          <w:rFonts w:ascii="Times New Roman" w:hAnsi="Times New Roman" w:cs="Times New Roman" w:eastAsia="Times New Roman" w:hint="default"/>
          <w:spacing w:val="-1"/>
        </w:rPr>
        <w:t>C</w:t>
      </w:r>
      <w:r>
        <w:rPr>
          <w:spacing w:val="-1"/>
        </w:rPr>
        <w:t>、公司将大力推进“智慧墙入侵探测系统”在石油石化、政府、机场等尤其是中国边防、高铁沿线、军事相关领域的</w:t>
      </w:r>
      <w:r>
        <w:rPr/>
        <w:t> 周界安防应用，夯实公司高端周界安防的竞争优势。</w:t>
      </w:r>
    </w:p>
    <w:p>
      <w:pPr>
        <w:pStyle w:val="BodyText"/>
        <w:spacing w:line="451" w:lineRule="auto" w:before="74"/>
        <w:ind w:right="1114" w:firstLine="360"/>
        <w:jc w:val="left"/>
      </w:pPr>
      <w:r>
        <w:rPr>
          <w:rFonts w:ascii="Times New Roman" w:hAnsi="Times New Roman" w:cs="Times New Roman" w:eastAsia="Times New Roman" w:hint="default"/>
          <w:spacing w:val="-4"/>
        </w:rPr>
        <w:t>D</w:t>
      </w:r>
      <w:r>
        <w:rPr>
          <w:spacing w:val="-4"/>
        </w:rPr>
        <w:t>、积极推进城市综合管廊信息化应用的市场推广，充分发挥与中建集团的战略合作优势，将物联网、云计算、大数据、</w:t>
      </w:r>
      <w:r>
        <w:rPr/>
        <w:t> 人工智能和互联网等先进技术与传统建筑行业充分融合，助力城市地下管廊信息化建设，提升该领域的竞争地位。</w:t>
      </w:r>
    </w:p>
    <w:p>
      <w:pPr>
        <w:pStyle w:val="Heading5"/>
        <w:spacing w:line="240" w:lineRule="auto" w:before="74"/>
        <w:ind w:left="515" w:right="0"/>
        <w:jc w:val="left"/>
        <w:rPr>
          <w:b w:val="0"/>
          <w:bCs w:val="0"/>
        </w:rPr>
      </w:pPr>
      <w:r>
        <w:rPr>
          <w:rFonts w:ascii="Times New Roman" w:hAnsi="Times New Roman" w:cs="Times New Roman" w:eastAsia="Times New Roman" w:hint="default"/>
        </w:rPr>
        <w:t>2</w:t>
      </w:r>
      <w:r>
        <w:rPr/>
        <w:t>、人工智能</w:t>
      </w:r>
      <w:r>
        <w:rPr>
          <w:rFonts w:ascii="Times New Roman" w:hAnsi="Times New Roman" w:cs="Times New Roman" w:eastAsia="Times New Roman" w:hint="default"/>
        </w:rPr>
        <w:t>/</w:t>
      </w:r>
      <w:r>
        <w:rPr/>
        <w:t>大数据领域</w:t>
      </w:r>
      <w:r>
        <w:rPr>
          <w:b w:val="0"/>
          <w:bCs w:val="0"/>
        </w:rPr>
      </w:r>
    </w:p>
    <w:p>
      <w:pPr>
        <w:spacing w:line="240" w:lineRule="auto" w:before="9"/>
        <w:rPr>
          <w:rFonts w:ascii="宋体" w:hAnsi="宋体" w:cs="宋体" w:eastAsia="宋体" w:hint="default"/>
          <w:b/>
          <w:bCs/>
          <w:sz w:val="16"/>
          <w:szCs w:val="16"/>
        </w:rPr>
      </w:pPr>
    </w:p>
    <w:p>
      <w:pPr>
        <w:pStyle w:val="BodyText"/>
        <w:spacing w:line="240" w:lineRule="auto"/>
        <w:ind w:left="514" w:right="0"/>
        <w:jc w:val="left"/>
      </w:pPr>
      <w:r>
        <w:rPr>
          <w:rFonts w:ascii="Times New Roman" w:hAnsi="Times New Roman" w:cs="Times New Roman" w:eastAsia="Times New Roman" w:hint="default"/>
        </w:rPr>
        <w:t>A</w:t>
      </w:r>
      <w:r>
        <w:rPr/>
        <w:t>、进一步迭代优化“智脑”平台，充分发挥“智脑”平台数据开放共享、算法持续优化、交付成本不断降低的特点，</w:t>
      </w:r>
    </w:p>
    <w:p>
      <w:pPr>
        <w:spacing w:after="0" w:line="240" w:lineRule="auto"/>
        <w:jc w:val="left"/>
        <w:sectPr>
          <w:footerReference w:type="default" r:id="rId83"/>
          <w:pgSz w:w="11910" w:h="16840"/>
          <w:pgMar w:footer="1458" w:header="851" w:top="1400" w:bottom="1640" w:left="980" w:right="0"/>
          <w:pgNumType w:start="53"/>
        </w:sectPr>
      </w:pPr>
    </w:p>
    <w:p>
      <w:pPr>
        <w:spacing w:line="240" w:lineRule="auto" w:before="1"/>
        <w:rPr>
          <w:rFonts w:ascii="宋体" w:hAnsi="宋体" w:cs="宋体" w:eastAsia="宋体" w:hint="default"/>
          <w:sz w:val="8"/>
          <w:szCs w:val="8"/>
        </w:rPr>
      </w:pPr>
    </w:p>
    <w:p>
      <w:pPr>
        <w:pStyle w:val="BodyText"/>
        <w:spacing w:line="451" w:lineRule="auto" w:before="44"/>
        <w:ind w:right="1131" w:firstLine="360"/>
        <w:jc w:val="both"/>
      </w:pPr>
      <w:r>
        <w:rPr>
          <w:rFonts w:ascii="Times New Roman" w:hAnsi="Times New Roman" w:cs="Times New Roman" w:eastAsia="Times New Roman" w:hint="default"/>
          <w:spacing w:val="-1"/>
        </w:rPr>
        <w:t>B</w:t>
      </w:r>
      <w:r>
        <w:rPr>
          <w:spacing w:val="-1"/>
        </w:rPr>
        <w:t>、进一步深入加强与中国中文信息学会、计算机学会等的合作，继续全面深入推进中文信息（深度）处理开放创新平</w:t>
      </w:r>
      <w:r>
        <w:rPr/>
        <w:t> </w:t>
      </w:r>
      <w:r>
        <w:rPr>
          <w:spacing w:val="-2"/>
        </w:rPr>
        <w:t>台，扩大影响力，同时作为新一代人工智能产业技术创新战略联盟发起成员及</w:t>
      </w:r>
      <w:r>
        <w:rPr>
          <w:rFonts w:ascii="Times New Roman" w:hAnsi="Times New Roman" w:cs="Times New Roman" w:eastAsia="Times New Roman" w:hint="default"/>
          <w:spacing w:val="-2"/>
        </w:rPr>
        <w:t>NLP</w:t>
      </w:r>
      <w:r>
        <w:rPr>
          <w:spacing w:val="-2"/>
        </w:rPr>
        <w:t>推进组组长，也将为新一代人工智能开源</w:t>
      </w:r>
      <w:r>
        <w:rPr>
          <w:spacing w:val="-45"/>
        </w:rPr>
        <w:t> </w:t>
      </w:r>
      <w:r>
        <w:rPr>
          <w:spacing w:val="-45"/>
        </w:rPr>
      </w:r>
      <w:r>
        <w:rPr/>
        <w:t>开放平台——</w:t>
      </w:r>
      <w:r>
        <w:rPr>
          <w:rFonts w:ascii="Times New Roman" w:hAnsi="Times New Roman" w:cs="Times New Roman" w:eastAsia="Times New Roman" w:hint="default"/>
        </w:rPr>
        <w:t>OpenI</w:t>
      </w:r>
      <w:r>
        <w:rPr>
          <w:rFonts w:ascii="Times New Roman" w:hAnsi="Times New Roman" w:cs="Times New Roman" w:eastAsia="Times New Roman" w:hint="default"/>
          <w:spacing w:val="43"/>
        </w:rPr>
        <w:t> </w:t>
      </w:r>
      <w:r>
        <w:rPr/>
        <w:t>启智新一代人工智能开源开放平台贡献力量。</w:t>
      </w:r>
    </w:p>
    <w:p>
      <w:pPr>
        <w:pStyle w:val="BodyText"/>
        <w:spacing w:line="240" w:lineRule="auto" w:before="44"/>
        <w:ind w:left="514" w:right="0"/>
        <w:jc w:val="left"/>
      </w:pPr>
      <w:r>
        <w:rPr>
          <w:rFonts w:ascii="Times New Roman" w:hAnsi="Times New Roman" w:cs="Times New Roman" w:eastAsia="Times New Roman" w:hint="default"/>
        </w:rPr>
        <w:t>C</w:t>
      </w:r>
      <w:r>
        <w:rPr/>
        <w:t>、继续开放泰岳历时数年所沉淀下来的</w:t>
      </w:r>
      <w:r>
        <w:rPr>
          <w:rFonts w:ascii="Times New Roman" w:hAnsi="Times New Roman" w:cs="Times New Roman" w:eastAsia="Times New Roman" w:hint="default"/>
        </w:rPr>
        <w:t>NLP</w:t>
      </w:r>
      <w:r>
        <w:rPr/>
        <w:t>技术，结合</w:t>
      </w:r>
      <w:r>
        <w:rPr>
          <w:rFonts w:ascii="Times New Roman" w:hAnsi="Times New Roman" w:cs="Times New Roman" w:eastAsia="Times New Roman" w:hint="default"/>
        </w:rPr>
        <w:t>AI</w:t>
      </w:r>
      <w:r>
        <w:rPr/>
        <w:t>研究院的最新研发成果，推进泰岳语义工厂的对外合作。</w:t>
      </w:r>
    </w:p>
    <w:p>
      <w:pPr>
        <w:spacing w:line="240" w:lineRule="auto" w:before="9"/>
        <w:rPr>
          <w:rFonts w:ascii="宋体" w:hAnsi="宋体" w:cs="宋体" w:eastAsia="宋体" w:hint="default"/>
          <w:sz w:val="16"/>
          <w:szCs w:val="16"/>
        </w:rPr>
      </w:pPr>
    </w:p>
    <w:p>
      <w:pPr>
        <w:pStyle w:val="Heading5"/>
        <w:spacing w:line="240" w:lineRule="auto"/>
        <w:ind w:left="515" w:right="0"/>
        <w:jc w:val="left"/>
        <w:rPr>
          <w:b w:val="0"/>
          <w:bCs w:val="0"/>
        </w:rPr>
      </w:pPr>
      <w:r>
        <w:rPr>
          <w:rFonts w:ascii="Times New Roman" w:hAnsi="Times New Roman" w:cs="Times New Roman" w:eastAsia="Times New Roman" w:hint="default"/>
        </w:rPr>
        <w:t>3</w:t>
      </w:r>
      <w:r>
        <w:rPr/>
        <w:t>、</w:t>
      </w:r>
      <w:r>
        <w:rPr>
          <w:rFonts w:ascii="Times New Roman" w:hAnsi="Times New Roman" w:cs="Times New Roman" w:eastAsia="Times New Roman" w:hint="default"/>
        </w:rPr>
        <w:t>ICT</w:t>
      </w:r>
      <w:r>
        <w:rPr>
          <w:rFonts w:ascii="Times New Roman" w:hAnsi="Times New Roman" w:cs="Times New Roman" w:eastAsia="Times New Roman" w:hint="default"/>
          <w:spacing w:val="-2"/>
        </w:rPr>
        <w:t> </w:t>
      </w:r>
      <w:r>
        <w:rPr/>
        <w:t>运营管理领域</w:t>
      </w:r>
      <w:r>
        <w:rPr>
          <w:b w:val="0"/>
          <w:bCs w:val="0"/>
        </w:rPr>
      </w:r>
    </w:p>
    <w:p>
      <w:pPr>
        <w:spacing w:line="240" w:lineRule="auto" w:before="9"/>
        <w:rPr>
          <w:rFonts w:ascii="宋体" w:hAnsi="宋体" w:cs="宋体" w:eastAsia="宋体" w:hint="default"/>
          <w:b/>
          <w:bCs/>
          <w:sz w:val="16"/>
          <w:szCs w:val="16"/>
        </w:rPr>
      </w:pPr>
    </w:p>
    <w:p>
      <w:pPr>
        <w:spacing w:line="451" w:lineRule="auto" w:before="0"/>
        <w:ind w:left="514"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A</w:t>
      </w:r>
      <w:r>
        <w:rPr>
          <w:rFonts w:ascii="宋体" w:hAnsi="宋体" w:cs="宋体" w:eastAsia="宋体" w:hint="default"/>
          <w:b/>
          <w:bCs/>
          <w:sz w:val="18"/>
          <w:szCs w:val="18"/>
        </w:rPr>
        <w:t>、紧随客户战略，优化创新产品</w:t>
      </w:r>
      <w:r>
        <w:rPr>
          <w:rFonts w:ascii="宋体" w:hAnsi="宋体" w:cs="宋体" w:eastAsia="宋体" w:hint="default"/>
          <w:b/>
          <w:bCs/>
          <w:w w:val="99"/>
          <w:sz w:val="18"/>
          <w:szCs w:val="18"/>
        </w:rPr>
        <w:t> </w:t>
      </w:r>
      <w:r>
        <w:rPr>
          <w:rFonts w:ascii="宋体" w:hAnsi="宋体" w:cs="宋体" w:eastAsia="宋体" w:hint="default"/>
          <w:spacing w:val="-2"/>
          <w:sz w:val="18"/>
          <w:szCs w:val="18"/>
        </w:rPr>
        <w:t>未来，公司将深耕细作、步步为营，进一步加强和拓展产品线和客户群、不断提升产品性能与功能，紧密跟踪电信运营</w:t>
      </w:r>
    </w:p>
    <w:p>
      <w:pPr>
        <w:pStyle w:val="BodyText"/>
        <w:spacing w:line="240" w:lineRule="auto" w:before="74"/>
        <w:ind w:right="0"/>
        <w:jc w:val="left"/>
      </w:pPr>
      <w:r>
        <w:rPr/>
        <w:t>商的业务战略和</w:t>
      </w:r>
      <w:r>
        <w:rPr>
          <w:spacing w:val="-46"/>
        </w:rPr>
        <w:t> </w:t>
      </w:r>
      <w:r>
        <w:rPr>
          <w:rFonts w:ascii="Times New Roman" w:hAnsi="Times New Roman" w:cs="Times New Roman" w:eastAsia="Times New Roman" w:hint="default"/>
        </w:rPr>
        <w:t>5G</w:t>
      </w:r>
      <w:r>
        <w:rPr>
          <w:rFonts w:ascii="Times New Roman" w:hAnsi="Times New Roman" w:cs="Times New Roman" w:eastAsia="Times New Roman" w:hint="default"/>
          <w:spacing w:val="-1"/>
        </w:rPr>
        <w:t> </w:t>
      </w:r>
      <w:r>
        <w:rPr/>
        <w:t>商用进展，优化与创新运营管理产品线。</w:t>
      </w:r>
    </w:p>
    <w:p>
      <w:pPr>
        <w:spacing w:line="240" w:lineRule="auto" w:before="9"/>
        <w:rPr>
          <w:rFonts w:ascii="宋体" w:hAnsi="宋体" w:cs="宋体" w:eastAsia="宋体" w:hint="default"/>
          <w:sz w:val="16"/>
          <w:szCs w:val="16"/>
        </w:rPr>
      </w:pPr>
    </w:p>
    <w:p>
      <w:pPr>
        <w:pStyle w:val="Heading5"/>
        <w:spacing w:line="240" w:lineRule="auto"/>
        <w:ind w:left="515" w:right="0"/>
        <w:jc w:val="left"/>
        <w:rPr>
          <w:b w:val="0"/>
          <w:bCs w:val="0"/>
        </w:rPr>
      </w:pPr>
      <w:r>
        <w:rPr>
          <w:rFonts w:ascii="Times New Roman" w:hAnsi="Times New Roman" w:cs="Times New Roman" w:eastAsia="Times New Roman" w:hint="default"/>
        </w:rPr>
        <w:t>B</w:t>
      </w:r>
      <w:r>
        <w:rPr/>
        <w:t>、重点推进新一代监控管理平台和运维自动化平台</w:t>
      </w:r>
      <w:r>
        <w:rPr>
          <w:b w:val="0"/>
          <w:bCs w:val="0"/>
        </w:rPr>
      </w:r>
    </w:p>
    <w:p>
      <w:pPr>
        <w:spacing w:line="240" w:lineRule="auto" w:before="9"/>
        <w:rPr>
          <w:rFonts w:ascii="宋体" w:hAnsi="宋体" w:cs="宋体" w:eastAsia="宋体" w:hint="default"/>
          <w:b/>
          <w:bCs/>
          <w:sz w:val="16"/>
          <w:szCs w:val="16"/>
        </w:rPr>
      </w:pPr>
    </w:p>
    <w:p>
      <w:pPr>
        <w:pStyle w:val="BodyText"/>
        <w:spacing w:line="451" w:lineRule="auto"/>
        <w:ind w:right="1132" w:firstLine="360"/>
        <w:jc w:val="both"/>
      </w:pPr>
      <w:r>
        <w:rPr/>
        <w:t>重点推进以云计算、大数据、</w:t>
      </w:r>
      <w:r>
        <w:rPr>
          <w:rFonts w:ascii="Times New Roman" w:hAnsi="Times New Roman" w:cs="Times New Roman" w:eastAsia="Times New Roman" w:hint="default"/>
        </w:rPr>
        <w:t>SDN</w:t>
      </w:r>
      <w:r>
        <w:rPr/>
        <w:t>、</w:t>
      </w:r>
      <w:r>
        <w:rPr>
          <w:rFonts w:ascii="Times New Roman" w:hAnsi="Times New Roman" w:cs="Times New Roman" w:eastAsia="Times New Roman" w:hint="default"/>
        </w:rPr>
        <w:t>NFV</w:t>
      </w:r>
      <w:r>
        <w:rPr>
          <w:rFonts w:ascii="Times New Roman" w:hAnsi="Times New Roman" w:cs="Times New Roman" w:eastAsia="Times New Roman" w:hint="default"/>
          <w:spacing w:val="5"/>
        </w:rPr>
        <w:t> </w:t>
      </w:r>
      <w:r>
        <w:rPr/>
        <w:t>为特征的新一代监控管理平台和运维自动化平台的产品研发与迭代，完善新 兴</w:t>
      </w:r>
      <w:r>
        <w:rPr>
          <w:spacing w:val="-46"/>
        </w:rPr>
        <w:t> </w:t>
      </w:r>
      <w:r>
        <w:rPr>
          <w:rFonts w:ascii="Times New Roman" w:hAnsi="Times New Roman" w:cs="Times New Roman" w:eastAsia="Times New Roman" w:hint="default"/>
        </w:rPr>
        <w:t>ICT </w:t>
      </w:r>
      <w:r>
        <w:rPr>
          <w:spacing w:val="-2"/>
          <w:w w:val="99"/>
        </w:rPr>
        <w:t>架构的运营管理、</w:t>
      </w:r>
      <w:r>
        <w:rPr>
          <w:rFonts w:ascii="Times New Roman" w:hAnsi="Times New Roman" w:cs="Times New Roman" w:eastAsia="Times New Roman" w:hint="default"/>
          <w:spacing w:val="-2"/>
          <w:w w:val="99"/>
        </w:rPr>
        <w:t>DevOps</w:t>
      </w:r>
      <w:r>
        <w:rPr>
          <w:spacing w:val="-2"/>
          <w:w w:val="99"/>
        </w:rPr>
        <w:t>（研发运维一体化管理）、</w:t>
      </w:r>
      <w:r>
        <w:rPr>
          <w:rFonts w:ascii="Times New Roman" w:hAnsi="Times New Roman" w:cs="Times New Roman" w:eastAsia="Times New Roman" w:hint="default"/>
          <w:spacing w:val="-2"/>
          <w:w w:val="99"/>
        </w:rPr>
        <w:t>AIOps</w:t>
      </w:r>
      <w:r>
        <w:rPr>
          <w:spacing w:val="-2"/>
          <w:w w:val="99"/>
        </w:rPr>
        <w:t>（运营管理智能化</w:t>
      </w:r>
      <w:r>
        <w:rPr>
          <w:rFonts w:ascii="Times New Roman" w:hAnsi="Times New Roman" w:cs="Times New Roman" w:eastAsia="Times New Roman" w:hint="default"/>
          <w:spacing w:val="-2"/>
          <w:w w:val="99"/>
        </w:rPr>
        <w:t>)</w:t>
      </w:r>
      <w:r>
        <w:rPr>
          <w:spacing w:val="-2"/>
          <w:w w:val="99"/>
        </w:rPr>
        <w:t>解决方案。</w:t>
      </w:r>
    </w:p>
    <w:p>
      <w:pPr>
        <w:pStyle w:val="Heading5"/>
        <w:spacing w:line="240" w:lineRule="auto" w:before="43"/>
        <w:ind w:left="515" w:right="0"/>
        <w:jc w:val="left"/>
        <w:rPr>
          <w:b w:val="0"/>
          <w:bCs w:val="0"/>
        </w:rPr>
      </w:pPr>
      <w:r>
        <w:rPr>
          <w:rFonts w:ascii="Times New Roman" w:hAnsi="Times New Roman" w:cs="Times New Roman" w:eastAsia="Times New Roman" w:hint="default"/>
        </w:rPr>
        <w:t>C</w:t>
      </w:r>
      <w:r>
        <w:rPr/>
        <w:t>、信息安全类业务走向更广泛的行业用户市场</w:t>
      </w:r>
      <w:r>
        <w:rPr>
          <w:b w:val="0"/>
          <w:bCs w:val="0"/>
        </w:rPr>
      </w:r>
    </w:p>
    <w:p>
      <w:pPr>
        <w:spacing w:line="240" w:lineRule="auto" w:before="9"/>
        <w:rPr>
          <w:rFonts w:ascii="宋体" w:hAnsi="宋体" w:cs="宋体" w:eastAsia="宋体" w:hint="default"/>
          <w:b/>
          <w:bCs/>
          <w:sz w:val="16"/>
          <w:szCs w:val="16"/>
        </w:rPr>
      </w:pPr>
    </w:p>
    <w:p>
      <w:pPr>
        <w:pStyle w:val="BodyText"/>
        <w:spacing w:line="463" w:lineRule="auto"/>
        <w:ind w:right="1131" w:firstLine="360"/>
        <w:jc w:val="both"/>
      </w:pPr>
      <w:r>
        <w:rPr>
          <w:rFonts w:ascii="Times New Roman" w:hAnsi="Times New Roman" w:cs="Times New Roman" w:eastAsia="Times New Roman" w:hint="default"/>
        </w:rPr>
        <w:t>2019</w:t>
      </w:r>
      <w:r>
        <w:rPr>
          <w:rFonts w:ascii="Times New Roman" w:hAnsi="Times New Roman" w:cs="Times New Roman" w:eastAsia="Times New Roman" w:hint="default"/>
          <w:spacing w:val="7"/>
        </w:rPr>
        <w:t> </w:t>
      </w:r>
      <w:r>
        <w:rPr/>
        <w:t>年公司在原有安全产品系统架构上，继续积极拓展五类安全业务：行业定制类安全管理平台业务、数据采集类标 </w:t>
      </w:r>
      <w:r>
        <w:rPr>
          <w:spacing w:val="-2"/>
        </w:rPr>
        <w:t>准化产品及其承载的标准化业务、安全监测分析类专项工具、网络安全法强制符合性工具以及工业物联网安全的创新预研产</w:t>
      </w:r>
      <w:r>
        <w:rPr>
          <w:spacing w:val="-64"/>
        </w:rPr>
        <w:t> </w:t>
      </w:r>
      <w:r>
        <w:rPr>
          <w:spacing w:val="-64"/>
        </w:rPr>
      </w:r>
      <w:r>
        <w:rPr/>
        <w:t>品等。并将客户群体逐步从电信、金融等市场扩大到更为广泛的行业用户市场。</w:t>
      </w:r>
    </w:p>
    <w:p>
      <w:pPr>
        <w:spacing w:line="451" w:lineRule="auto" w:before="65"/>
        <w:ind w:left="515"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、手机游戏领域</w:t>
      </w:r>
      <w:r>
        <w:rPr>
          <w:rFonts w:ascii="宋体" w:hAnsi="宋体" w:cs="宋体" w:eastAsia="宋体" w:hint="default"/>
          <w:b/>
          <w:bCs/>
          <w:w w:val="99"/>
          <w:sz w:val="18"/>
          <w:szCs w:val="18"/>
        </w:rPr>
        <w:t> </w:t>
      </w:r>
      <w:r>
        <w:rPr>
          <w:rFonts w:ascii="Times New Roman" w:hAnsi="Times New Roman" w:cs="Times New Roman" w:eastAsia="Times New Roman" w:hint="default"/>
          <w:b/>
          <w:bCs/>
          <w:sz w:val="18"/>
          <w:szCs w:val="18"/>
        </w:rPr>
        <w:t>A</w:t>
      </w:r>
      <w:r>
        <w:rPr>
          <w:rFonts w:ascii="宋体" w:hAnsi="宋体" w:cs="宋体" w:eastAsia="宋体" w:hint="default"/>
          <w:b/>
          <w:bCs/>
          <w:sz w:val="18"/>
          <w:szCs w:val="18"/>
        </w:rPr>
        <w:t>、优化升级现有玩家体验，</w:t>
      </w:r>
      <w:r>
        <w:rPr>
          <w:rFonts w:ascii="宋体" w:hAnsi="宋体" w:cs="宋体" w:eastAsia="宋体" w:hint="default"/>
          <w:sz w:val="18"/>
          <w:szCs w:val="18"/>
        </w:rPr>
        <w:t>公司继续聚焦海外策略类</w:t>
      </w:r>
      <w:r>
        <w:rPr>
          <w:rFonts w:ascii="Times New Roman" w:hAnsi="Times New Roman" w:cs="Times New Roman" w:eastAsia="Times New Roman" w:hint="default"/>
          <w:sz w:val="18"/>
          <w:szCs w:val="18"/>
        </w:rPr>
        <w:t>(SLG)</w:t>
      </w:r>
      <w:r>
        <w:rPr>
          <w:rFonts w:ascii="宋体" w:hAnsi="宋体" w:cs="宋体" w:eastAsia="宋体" w:hint="default"/>
          <w:sz w:val="18"/>
          <w:szCs w:val="18"/>
        </w:rPr>
        <w:t>游戏的研发和发行，以打造有竞争力、受用户欢迎的重度</w:t>
      </w:r>
    </w:p>
    <w:p>
      <w:pPr>
        <w:pStyle w:val="BodyText"/>
        <w:spacing w:line="451" w:lineRule="auto" w:before="43"/>
        <w:ind w:right="1032"/>
        <w:jc w:val="left"/>
      </w:pPr>
      <w:r>
        <w:rPr/>
        <w:t>手机游戏为根本。</w:t>
      </w:r>
      <w:r>
        <w:rPr>
          <w:rFonts w:ascii="Times New Roman" w:hAnsi="Times New Roman" w:cs="Times New Roman" w:eastAsia="Times New Roman" w:hint="default"/>
        </w:rPr>
        <w:t>2019</w:t>
      </w:r>
      <w:r>
        <w:rPr/>
        <w:t>年将深耕细作、不断优化爆款游戏《战火与秩序》的玩法与用户体验，重点加强海外市场推广力度，</w:t>
      </w:r>
      <w:r>
        <w:rPr>
          <w:spacing w:val="-85"/>
        </w:rPr>
        <w:t> </w:t>
      </w:r>
      <w:r>
        <w:rPr>
          <w:spacing w:val="-85"/>
        </w:rPr>
      </w:r>
      <w:r>
        <w:rPr/>
        <w:t>致力于将其打造成长生命周期的重度类手游产品；</w:t>
      </w:r>
    </w:p>
    <w:p>
      <w:pPr>
        <w:pStyle w:val="BodyText"/>
        <w:spacing w:line="451" w:lineRule="auto" w:before="74"/>
        <w:ind w:right="1138" w:firstLine="361"/>
        <w:jc w:val="both"/>
      </w:pPr>
      <w:r>
        <w:rPr>
          <w:rFonts w:ascii="Times New Roman" w:hAnsi="Times New Roman" w:cs="Times New Roman" w:eastAsia="Times New Roman" w:hint="default"/>
          <w:b/>
          <w:bCs/>
        </w:rPr>
        <w:t>B</w:t>
      </w:r>
      <w:r>
        <w:rPr>
          <w:rFonts w:ascii="宋体" w:hAnsi="宋体" w:cs="宋体" w:eastAsia="宋体" w:hint="default"/>
          <w:b/>
          <w:bCs/>
        </w:rPr>
        <w:t>、开发打磨储备产品，</w:t>
      </w:r>
      <w:r>
        <w:rPr/>
        <w:t>着力进行</w:t>
      </w:r>
      <w:r>
        <w:rPr>
          <w:rFonts w:ascii="Times New Roman" w:hAnsi="Times New Roman" w:cs="Times New Roman" w:eastAsia="Times New Roman" w:hint="default"/>
        </w:rPr>
        <w:t>2-3</w:t>
      </w:r>
      <w:r>
        <w:rPr/>
        <w:t>款新品游戏的开发与打磨，积极做好游戏产品储备，为公司游戏业务的可持续发 展打下良好基础。</w:t>
      </w:r>
    </w:p>
    <w:p>
      <w:pPr>
        <w:pStyle w:val="Heading5"/>
        <w:spacing w:line="240" w:lineRule="auto" w:before="74"/>
        <w:ind w:right="0"/>
        <w:jc w:val="left"/>
        <w:rPr>
          <w:b w:val="0"/>
          <w:bCs w:val="0"/>
        </w:rPr>
      </w:pPr>
      <w:r>
        <w:rPr/>
        <w:t>（三）对公司未来发展战略和经营目标的实现产生不利影响的风险因素分析</w:t>
      </w:r>
      <w:r>
        <w:rPr>
          <w:b w:val="0"/>
          <w:bCs w:val="0"/>
        </w:rPr>
      </w:r>
    </w:p>
    <w:p>
      <w:pPr>
        <w:spacing w:line="240" w:lineRule="auto" w:before="10"/>
        <w:rPr>
          <w:rFonts w:ascii="宋体" w:hAnsi="宋体" w:cs="宋体" w:eastAsia="宋体" w:hint="default"/>
          <w:b/>
          <w:bCs/>
          <w:sz w:val="17"/>
          <w:szCs w:val="17"/>
        </w:rPr>
      </w:pPr>
    </w:p>
    <w:p>
      <w:pPr>
        <w:pStyle w:val="BodyText"/>
        <w:spacing w:line="468" w:lineRule="auto"/>
        <w:ind w:right="1130" w:firstLine="360"/>
        <w:jc w:val="both"/>
      </w:pPr>
      <w:r>
        <w:rPr>
          <w:rFonts w:ascii="Times New Roman" w:hAnsi="Times New Roman" w:cs="Times New Roman" w:eastAsia="Times New Roman" w:hint="default"/>
        </w:rPr>
        <w:t>1</w:t>
      </w:r>
      <w:r>
        <w:rPr/>
        <w:t>、随着市场竞争的激烈、业务发展的深入，在战略规划、组织架构、运营管理、内部控制、激励机制、企业文化建设 </w:t>
      </w:r>
      <w:r>
        <w:rPr>
          <w:spacing w:val="-2"/>
        </w:rPr>
        <w:t>等方面，都将对管理水平提出更大的挑战。为此，公司继续坚持基于扁平化的组织体系和以绩效为核心的管理机制，缩短决</w:t>
      </w:r>
      <w:r>
        <w:rPr>
          <w:spacing w:val="-66"/>
        </w:rPr>
        <w:t> </w:t>
      </w:r>
      <w:r>
        <w:rPr>
          <w:spacing w:val="-66"/>
        </w:rPr>
      </w:r>
      <w:r>
        <w:rPr>
          <w:spacing w:val="-2"/>
        </w:rPr>
        <w:t>策链条、提升决策效率，以交付价值为指导思想深入组织结构的优化与调整，不断加强内部管控，建立规范化的流程管理和</w:t>
      </w:r>
      <w:r>
        <w:rPr>
          <w:spacing w:val="-66"/>
        </w:rPr>
        <w:t> </w:t>
      </w:r>
      <w:r>
        <w:rPr>
          <w:spacing w:val="-66"/>
        </w:rPr>
      </w:r>
      <w:r>
        <w:rPr/>
        <w:t>项目管理体系，控制成本支出、提升整体管理效能。</w:t>
      </w:r>
    </w:p>
    <w:p>
      <w:pPr>
        <w:pStyle w:val="BodyText"/>
        <w:spacing w:line="463" w:lineRule="auto" w:before="61"/>
        <w:ind w:right="1043" w:firstLine="361"/>
        <w:jc w:val="both"/>
      </w:pPr>
      <w:r>
        <w:rPr>
          <w:rFonts w:ascii="Times New Roman" w:hAnsi="Times New Roman" w:cs="Times New Roman" w:eastAsia="Times New Roman" w:hint="default"/>
          <w:b/>
          <w:bCs/>
        </w:rPr>
        <w:t>2</w:t>
      </w:r>
      <w:r>
        <w:rPr>
          <w:rFonts w:ascii="宋体" w:hAnsi="宋体" w:cs="宋体" w:eastAsia="宋体" w:hint="default"/>
          <w:b/>
          <w:bCs/>
        </w:rPr>
        <w:t>、创新业务市场落地风险。</w:t>
      </w:r>
      <w:r>
        <w:rPr/>
        <w:t>人工智能、物联网通讯技术两大创新领域目前处于行业高速发展期，技术更新迭代迅速， 行业竞争激烈。若公司不能准确判断行业发展趋势，无法及时更新迭代技术、产品，满足市场需求，将会失去市场竞争力，</w:t>
      </w:r>
      <w:r>
        <w:rPr>
          <w:spacing w:val="-85"/>
        </w:rPr>
        <w:t> </w:t>
      </w:r>
      <w:r>
        <w:rPr>
          <w:spacing w:val="-85"/>
        </w:rPr>
      </w:r>
      <w:r>
        <w:rPr>
          <w:spacing w:val="-2"/>
        </w:rPr>
        <w:t>从而影响公司持续发展能力。为此，公司会深入了解市场需求，紧跟新技术发展趋势，快速迭代推进，始终保持公司技术与</w:t>
      </w:r>
    </w:p>
    <w:p>
      <w:pPr>
        <w:spacing w:after="0" w:line="463" w:lineRule="auto"/>
        <w:jc w:val="both"/>
        <w:sectPr>
          <w:footerReference w:type="default" r:id="rId84"/>
          <w:pgSz w:w="11910" w:h="16840"/>
          <w:pgMar w:footer="1458" w:header="851" w:top="1400" w:bottom="1640" w:left="980" w:right="0"/>
          <w:pgNumType w:start="54"/>
        </w:sectPr>
      </w:pPr>
    </w:p>
    <w:p>
      <w:pPr>
        <w:spacing w:line="240" w:lineRule="auto" w:before="1"/>
        <w:rPr>
          <w:rFonts w:ascii="宋体" w:hAnsi="宋体" w:cs="宋体" w:eastAsia="宋体" w:hint="default"/>
          <w:sz w:val="8"/>
          <w:szCs w:val="8"/>
        </w:rPr>
      </w:pPr>
    </w:p>
    <w:p>
      <w:pPr>
        <w:spacing w:line="451" w:lineRule="auto" w:before="44"/>
        <w:ind w:left="514"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、未来</w:t>
      </w:r>
      <w:r>
        <w:rPr>
          <w:rFonts w:ascii="Times New Roman" w:hAnsi="Times New Roman" w:cs="Times New Roman" w:eastAsia="Times New Roman" w:hint="default"/>
          <w:b/>
          <w:bCs/>
          <w:sz w:val="18"/>
          <w:szCs w:val="18"/>
        </w:rPr>
        <w:t>ICT</w:t>
      </w:r>
      <w:r>
        <w:rPr>
          <w:rFonts w:ascii="宋体" w:hAnsi="宋体" w:cs="宋体" w:eastAsia="宋体" w:hint="default"/>
          <w:b/>
          <w:bCs/>
          <w:sz w:val="18"/>
          <w:szCs w:val="18"/>
        </w:rPr>
        <w:t>环境和运营管理领域竞争格局变化的风险</w:t>
      </w:r>
      <w:r>
        <w:rPr>
          <w:rFonts w:ascii="宋体" w:hAnsi="宋体" w:cs="宋体" w:eastAsia="宋体" w:hint="default"/>
          <w:b/>
          <w:bCs/>
          <w:w w:val="99"/>
          <w:sz w:val="18"/>
          <w:szCs w:val="18"/>
        </w:rPr>
        <w:t> </w:t>
      </w:r>
      <w:r>
        <w:rPr>
          <w:rFonts w:ascii="宋体" w:hAnsi="宋体" w:cs="宋体" w:eastAsia="宋体" w:hint="default"/>
          <w:spacing w:val="-2"/>
          <w:sz w:val="18"/>
          <w:szCs w:val="18"/>
        </w:rPr>
        <w:t>在云计算、大数据、软件定义网络</w:t>
      </w:r>
      <w:r>
        <w:rPr>
          <w:rFonts w:ascii="Times New Roman" w:hAnsi="Times New Roman" w:cs="Times New Roman" w:eastAsia="Times New Roman" w:hint="default"/>
          <w:spacing w:val="-2"/>
          <w:sz w:val="18"/>
          <w:szCs w:val="18"/>
        </w:rPr>
        <w:t>(SDN)</w:t>
      </w:r>
      <w:r>
        <w:rPr>
          <w:rFonts w:ascii="宋体" w:hAnsi="宋体" w:cs="宋体" w:eastAsia="宋体" w:hint="default"/>
          <w:spacing w:val="-2"/>
          <w:sz w:val="18"/>
          <w:szCs w:val="18"/>
        </w:rPr>
        <w:t>、网络虚拟化</w:t>
      </w:r>
      <w:r>
        <w:rPr>
          <w:rFonts w:ascii="Times New Roman" w:hAnsi="Times New Roman" w:cs="Times New Roman" w:eastAsia="Times New Roman" w:hint="default"/>
          <w:spacing w:val="-2"/>
          <w:sz w:val="18"/>
          <w:szCs w:val="18"/>
        </w:rPr>
        <w:t>(NFV)</w:t>
      </w:r>
      <w:r>
        <w:rPr>
          <w:rFonts w:ascii="宋体" w:hAnsi="宋体" w:cs="宋体" w:eastAsia="宋体" w:hint="default"/>
          <w:spacing w:val="-2"/>
          <w:sz w:val="18"/>
          <w:szCs w:val="18"/>
        </w:rPr>
        <w:t>、人工智能等新架构、新技术的推动下，</w:t>
      </w:r>
      <w:r>
        <w:rPr>
          <w:rFonts w:ascii="Times New Roman" w:hAnsi="Times New Roman" w:cs="Times New Roman" w:eastAsia="Times New Roman" w:hint="default"/>
          <w:spacing w:val="-2"/>
          <w:sz w:val="18"/>
          <w:szCs w:val="18"/>
        </w:rPr>
        <w:t>ICT</w:t>
      </w:r>
      <w:r>
        <w:rPr>
          <w:rFonts w:ascii="宋体" w:hAnsi="宋体" w:cs="宋体" w:eastAsia="宋体" w:hint="default"/>
          <w:spacing w:val="-2"/>
          <w:sz w:val="18"/>
          <w:szCs w:val="18"/>
        </w:rPr>
        <w:t>环境正发生着</w:t>
      </w:r>
    </w:p>
    <w:p>
      <w:pPr>
        <w:pStyle w:val="BodyText"/>
        <w:spacing w:line="470" w:lineRule="auto" w:before="43"/>
        <w:ind w:right="0"/>
        <w:jc w:val="left"/>
      </w:pPr>
      <w:r>
        <w:rPr/>
        <w:t>颠覆性变革，运营管理的对象、重点、要求也随着发生巨变。同时，运营管理在新架构、新环境中的地位和作用大大提升，</w:t>
      </w:r>
      <w:r>
        <w:rPr>
          <w:spacing w:val="-85"/>
        </w:rPr>
        <w:t> </w:t>
      </w:r>
      <w:r>
        <w:rPr>
          <w:spacing w:val="-85"/>
        </w:rPr>
      </w:r>
      <w:r>
        <w:rPr/>
        <w:t>吸引了一些跨界厂商涉足运营管理软件和服务领域。如公司技术实力、运营理念、软件和服务能力无法适应这种变化，或者</w:t>
      </w:r>
      <w:r>
        <w:rPr/>
        <w:t> 无法在与跨界涉足者竞争中获胜，将会影响公司运营管理业务的发展。电信行业是公司</w:t>
      </w:r>
      <w:r>
        <w:rPr>
          <w:rFonts w:ascii="Times New Roman" w:hAnsi="Times New Roman" w:cs="Times New Roman" w:eastAsia="Times New Roman" w:hint="default"/>
        </w:rPr>
        <w:t>ICT</w:t>
      </w:r>
      <w:r>
        <w:rPr/>
        <w:t>运营管理业务的重点市场领域，</w:t>
      </w:r>
      <w:r>
        <w:rPr>
          <w:spacing w:val="-23"/>
        </w:rPr>
        <w:t> </w:t>
      </w:r>
      <w:r>
        <w:rPr>
          <w:spacing w:val="-23"/>
        </w:rPr>
      </w:r>
      <w:r>
        <w:rPr>
          <w:spacing w:val="-2"/>
        </w:rPr>
        <w:t>公司对电信行业的依赖程度较高。如果未来电信行业发生运营的不利变化或者电信运营商对信息化建设的投资规模大幅下降，</w:t>
      </w:r>
      <w:r>
        <w:rPr>
          <w:spacing w:val="-62"/>
        </w:rPr>
        <w:t> </w:t>
      </w:r>
      <w:r>
        <w:rPr>
          <w:spacing w:val="-62"/>
        </w:rPr>
      </w:r>
      <w:r>
        <w:rPr/>
        <w:t>将对公司的盈利能力产生较大不利影响。</w:t>
      </w:r>
    </w:p>
    <w:p>
      <w:pPr>
        <w:pStyle w:val="BodyText"/>
        <w:spacing w:line="463" w:lineRule="auto" w:before="59"/>
        <w:ind w:right="1129" w:firstLine="360"/>
        <w:jc w:val="both"/>
      </w:pPr>
      <w:r>
        <w:rPr>
          <w:spacing w:val="-2"/>
        </w:rPr>
        <w:t>近年来，虽然运营商也是受到互联网</w:t>
      </w:r>
      <w:r>
        <w:rPr>
          <w:rFonts w:ascii="Times New Roman" w:hAnsi="Times New Roman" w:cs="Times New Roman" w:eastAsia="Times New Roman" w:hint="default"/>
          <w:spacing w:val="-2"/>
        </w:rPr>
        <w:t>OTT</w:t>
      </w:r>
      <w:r>
        <w:rPr>
          <w:spacing w:val="-2"/>
        </w:rPr>
        <w:t>冲击，但作为影响国计民生的重要行业，且用户和业务规模巨大、网络建设演</w:t>
      </w:r>
      <w:r>
        <w:rPr/>
        <w:t> </w:t>
      </w:r>
      <w:r>
        <w:rPr>
          <w:spacing w:val="-1"/>
        </w:rPr>
        <w:t>进迅速，运营软件和服务投入一直很大。公司营收占运营商该项投资的比例仍有巨大的提升空间。公司对大中企业</w:t>
      </w:r>
      <w:r>
        <w:rPr>
          <w:rFonts w:ascii="Times New Roman" w:hAnsi="Times New Roman" w:cs="Times New Roman" w:eastAsia="Times New Roman" w:hint="default"/>
          <w:spacing w:val="-1"/>
        </w:rPr>
        <w:t>ICT</w:t>
      </w:r>
      <w:r>
        <w:rPr>
          <w:spacing w:val="-1"/>
        </w:rPr>
        <w:t>运营</w:t>
      </w:r>
      <w:r>
        <w:rPr>
          <w:spacing w:val="-46"/>
        </w:rPr>
        <w:t> </w:t>
      </w:r>
      <w:r>
        <w:rPr>
          <w:spacing w:val="-5"/>
        </w:rPr>
        <w:t>环境及与互联网运维环境的区别有深入了解，积累了完善丰富的产品、方案、方法和队伍。同时，公司一直跟进新技术演进、</w:t>
      </w:r>
      <w:r>
        <w:rPr>
          <w:spacing w:val="-79"/>
        </w:rPr>
        <w:t> </w:t>
      </w:r>
      <w:r>
        <w:rPr>
          <w:spacing w:val="-79"/>
        </w:rPr>
      </w:r>
      <w:r>
        <w:rPr>
          <w:spacing w:val="-5"/>
        </w:rPr>
        <w:t>特别是运营管理的影响，已经研发面向新架构、新环境、新运维理念的产品和方案，并在项目中得到了实践验证和客户认可。</w:t>
      </w:r>
      <w:r>
        <w:rPr>
          <w:spacing w:val="-82"/>
        </w:rPr>
        <w:t> </w:t>
      </w:r>
      <w:r>
        <w:rPr>
          <w:spacing w:val="-82"/>
        </w:rPr>
      </w:r>
      <w:r>
        <w:rPr>
          <w:spacing w:val="-4"/>
        </w:rPr>
        <w:t>公司有信心、有实力在急剧变化、危中有机的</w:t>
      </w:r>
      <w:r>
        <w:rPr>
          <w:rFonts w:ascii="Times New Roman" w:hAnsi="Times New Roman" w:cs="Times New Roman" w:eastAsia="Times New Roman" w:hint="default"/>
          <w:spacing w:val="-4"/>
        </w:rPr>
        <w:t>ICT</w:t>
      </w:r>
      <w:r>
        <w:rPr>
          <w:spacing w:val="-4"/>
        </w:rPr>
        <w:t>运营管理软件和服务市场中，抓住机遇，保持和扩大市场份额和领导地位。</w:t>
      </w:r>
      <w:r>
        <w:rPr>
          <w:spacing w:val="-62"/>
        </w:rPr>
        <w:t> </w:t>
      </w:r>
      <w:r>
        <w:rPr>
          <w:spacing w:val="-62"/>
        </w:rPr>
      </w:r>
      <w:r>
        <w:rPr>
          <w:spacing w:val="-5"/>
        </w:rPr>
        <w:t>公司将基于既有产品、业务和客户优势，交付更为先进、实用的产品和服务，为电信客户降本增效、开源节流做出积极贡献，</w:t>
      </w:r>
      <w:r>
        <w:rPr>
          <w:spacing w:val="-79"/>
        </w:rPr>
        <w:t> </w:t>
      </w:r>
      <w:r>
        <w:rPr>
          <w:spacing w:val="-79"/>
        </w:rPr>
      </w:r>
      <w:r>
        <w:rPr/>
        <w:t>以产品和服务的价值和成效，提升客户满意度和业务粘性，进一步确立在</w:t>
      </w:r>
      <w:r>
        <w:rPr>
          <w:rFonts w:ascii="Times New Roman" w:hAnsi="Times New Roman" w:cs="Times New Roman" w:eastAsia="Times New Roman" w:hint="default"/>
        </w:rPr>
        <w:t>ICT</w:t>
      </w:r>
      <w:r>
        <w:rPr/>
        <w:t>运营管理领域的技术优势和领先地位。</w:t>
      </w:r>
    </w:p>
    <w:p>
      <w:pPr>
        <w:spacing w:line="451" w:lineRule="auto" w:before="33"/>
        <w:ind w:left="514"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、手机游戏开发与运营风险</w:t>
      </w:r>
      <w:r>
        <w:rPr>
          <w:rFonts w:ascii="宋体" w:hAnsi="宋体" w:cs="宋体" w:eastAsia="宋体" w:hint="default"/>
          <w:b/>
          <w:bCs/>
          <w:w w:val="99"/>
          <w:sz w:val="18"/>
          <w:szCs w:val="18"/>
        </w:rPr>
        <w:t> </w:t>
      </w:r>
      <w:r>
        <w:rPr>
          <w:rFonts w:ascii="宋体" w:hAnsi="宋体" w:cs="宋体" w:eastAsia="宋体" w:hint="default"/>
          <w:spacing w:val="-2"/>
          <w:sz w:val="18"/>
          <w:szCs w:val="18"/>
        </w:rPr>
        <w:t>游戏产品具有更新快、可模仿性较高、玩家喜好转换快、市场竞争激烈等特点，如果公司无法持续推出受玩家认可的成</w:t>
      </w:r>
    </w:p>
    <w:p>
      <w:pPr>
        <w:pStyle w:val="BodyText"/>
        <w:spacing w:line="477" w:lineRule="auto" w:before="74"/>
        <w:ind w:right="0"/>
        <w:jc w:val="left"/>
      </w:pPr>
      <w:r>
        <w:rPr>
          <w:spacing w:val="-2"/>
        </w:rPr>
        <w:t>功的游戏产品，或由于游戏研发周期延长、推广时间延长等原因造成游戏无法按计划推出，从而造成老游戏盈利能力出现下</w:t>
      </w:r>
      <w:r>
        <w:rPr>
          <w:spacing w:val="-66"/>
        </w:rPr>
        <w:t> </w:t>
      </w:r>
      <w:r>
        <w:rPr>
          <w:spacing w:val="-66"/>
        </w:rPr>
      </w:r>
      <w:r>
        <w:rPr/>
        <w:t>滑时，新游戏无法成功按时推出难以弥补老游戏收入的下滑，则将对公司的运营产生不利影响。</w:t>
      </w:r>
    </w:p>
    <w:p>
      <w:pPr>
        <w:pStyle w:val="BodyText"/>
        <w:spacing w:line="470" w:lineRule="auto" w:before="54"/>
        <w:ind w:right="1032" w:firstLine="360"/>
        <w:jc w:val="left"/>
      </w:pPr>
      <w:r>
        <w:rPr>
          <w:spacing w:val="-2"/>
        </w:rPr>
        <w:t>网络游戏受到工业信息、文化和新闻出版等部门的监管，在中国境内从事移动网络游戏运营的，需要取得该等部门的许</w:t>
      </w:r>
      <w:r>
        <w:rPr/>
        <w:t> </w:t>
      </w:r>
      <w:r>
        <w:rPr>
          <w:spacing w:val="-2"/>
        </w:rPr>
        <w:t>可。公司新开发的游戏产品若无法通过备案审核或审批，则可能存在游戏产品无法顺利上线的风险。</w:t>
      </w:r>
      <w:r>
        <w:rPr>
          <w:rFonts w:ascii="Times New Roman" w:hAnsi="Times New Roman" w:cs="Times New Roman" w:eastAsia="Times New Roman" w:hint="default"/>
          <w:spacing w:val="-2"/>
        </w:rPr>
        <w:t>2016</w:t>
      </w:r>
      <w:r>
        <w:rPr>
          <w:spacing w:val="-2"/>
        </w:rPr>
        <w:t>年国家出台的版号</w:t>
      </w:r>
      <w:r>
        <w:rPr>
          <w:spacing w:val="-61"/>
        </w:rPr>
        <w:t> </w:t>
      </w:r>
      <w:r>
        <w:rPr>
          <w:spacing w:val="-2"/>
        </w:rPr>
        <w:t>新规及上线资质等政策，增强了对移动游戏行业的监管，对产品上市周期、开发及运营成本都有所影响。另外，我国尚未有</w:t>
      </w:r>
      <w:r>
        <w:rPr>
          <w:spacing w:val="-66"/>
        </w:rPr>
        <w:t> </w:t>
      </w:r>
      <w:r>
        <w:rPr>
          <w:spacing w:val="-66"/>
        </w:rPr>
      </w:r>
      <w:r>
        <w:rPr/>
        <w:t>法律法规监管虚拟资产的产权，而游戏公司大部分收入来自虚拟物品销售，若是政策发生变动，限制虚拟货币和资产业务，</w:t>
      </w:r>
      <w:r>
        <w:rPr>
          <w:spacing w:val="-85"/>
        </w:rPr>
        <w:t> </w:t>
      </w:r>
      <w:r>
        <w:rPr>
          <w:spacing w:val="-85"/>
        </w:rPr>
      </w:r>
      <w:r>
        <w:rPr/>
        <w:t>公司的经营业绩、财务状态及业务前景可能承受重大不利影响。</w:t>
      </w:r>
    </w:p>
    <w:p>
      <w:pPr>
        <w:pStyle w:val="BodyText"/>
        <w:spacing w:line="477" w:lineRule="auto" w:before="59"/>
        <w:ind w:right="1133" w:firstLine="360"/>
        <w:jc w:val="both"/>
      </w:pPr>
      <w:r>
        <w:rPr>
          <w:spacing w:val="-2"/>
        </w:rPr>
        <w:t>公司将充分发挥自身优势和技术实力，积极调整战略部署，重点打造领先市场需求的新型精品游戏，重点发行全球优势</w:t>
      </w:r>
      <w:r>
        <w:rPr/>
        <w:t> 市场，并且时刻关注行业最新的法律法规，严格遵守国家制定的法律法规，确保自身业务和经营的合法合规。</w:t>
      </w:r>
    </w:p>
    <w:p>
      <w:pPr>
        <w:pStyle w:val="Heading5"/>
        <w:spacing w:line="240" w:lineRule="auto" w:before="54"/>
        <w:ind w:left="515" w:right="0"/>
        <w:jc w:val="left"/>
        <w:rPr>
          <w:b w:val="0"/>
          <w:bCs w:val="0"/>
        </w:rPr>
      </w:pPr>
      <w:r>
        <w:rPr>
          <w:rFonts w:ascii="Times New Roman" w:hAnsi="Times New Roman" w:cs="Times New Roman" w:eastAsia="Times New Roman" w:hint="default"/>
        </w:rPr>
        <w:t>5</w:t>
      </w:r>
      <w:r>
        <w:rPr/>
        <w:t>、应收款项管理风险</w:t>
      </w:r>
      <w:r>
        <w:rPr>
          <w:b w:val="0"/>
          <w:bCs w:val="0"/>
        </w:rPr>
      </w:r>
    </w:p>
    <w:p>
      <w:pPr>
        <w:spacing w:line="240" w:lineRule="auto" w:before="9"/>
        <w:rPr>
          <w:rFonts w:ascii="宋体" w:hAnsi="宋体" w:cs="宋体" w:eastAsia="宋体" w:hint="default"/>
          <w:b/>
          <w:bCs/>
          <w:sz w:val="16"/>
          <w:szCs w:val="16"/>
        </w:rPr>
      </w:pPr>
    </w:p>
    <w:p>
      <w:pPr>
        <w:pStyle w:val="BodyText"/>
        <w:spacing w:line="463" w:lineRule="auto"/>
        <w:ind w:right="1130" w:firstLine="360"/>
        <w:jc w:val="both"/>
      </w:pPr>
      <w:r>
        <w:rPr>
          <w:rFonts w:ascii="Times New Roman" w:hAnsi="Times New Roman" w:cs="Times New Roman" w:eastAsia="Times New Roman" w:hint="default"/>
          <w:spacing w:val="-2"/>
        </w:rPr>
        <w:t>2017</w:t>
      </w:r>
      <w:r>
        <w:rPr>
          <w:spacing w:val="-2"/>
        </w:rPr>
        <w:t>年，公司严格加强客户的信用管理（包括黑名单制度、信用额度控制、结算政策、抵押担保等），大规模减少系统</w:t>
      </w:r>
      <w:r>
        <w:rPr/>
        <w:t> </w:t>
      </w:r>
      <w:r>
        <w:rPr>
          <w:spacing w:val="-2"/>
        </w:rPr>
        <w:t>集成业务的规模，运用市场化手段、法律手段等合法措施加大应收款项的催收，以保护上市公司合法权益。其中公司起诉大</w:t>
      </w:r>
      <w:r>
        <w:rPr>
          <w:spacing w:val="-66"/>
        </w:rPr>
        <w:t> </w:t>
      </w:r>
      <w:r>
        <w:rPr>
          <w:spacing w:val="-66"/>
        </w:rPr>
      </w:r>
      <w:r>
        <w:rPr>
          <w:spacing w:val="-1"/>
        </w:rPr>
        <w:t>唐半导体设计有限公司、大唐微电子技术有限公司要求其支付合同款项并支付相应违约金合计</w:t>
      </w:r>
      <w:r>
        <w:rPr>
          <w:rFonts w:ascii="Times New Roman" w:hAnsi="Times New Roman" w:cs="Times New Roman" w:eastAsia="Times New Roman" w:hint="default"/>
          <w:spacing w:val="-1"/>
        </w:rPr>
        <w:t>4.24</w:t>
      </w:r>
      <w:r>
        <w:rPr>
          <w:spacing w:val="-1"/>
        </w:rPr>
        <w:t>亿元，目前尚处于诉讼进</w:t>
      </w:r>
    </w:p>
    <w:p>
      <w:pPr>
        <w:pStyle w:val="BodyText"/>
        <w:spacing w:line="240" w:lineRule="auto" w:before="33"/>
        <w:ind w:right="0"/>
        <w:jc w:val="left"/>
      </w:pPr>
      <w:r>
        <w:rPr/>
        <w:t>程中，未来如果无法收回或收回周期很长，将对公司产生较大程度的影响和损失。</w:t>
      </w:r>
    </w:p>
    <w:p>
      <w:pPr>
        <w:spacing w:after="0" w:line="240" w:lineRule="auto"/>
        <w:jc w:val="left"/>
        <w:sectPr>
          <w:footerReference w:type="default" r:id="rId85"/>
          <w:pgSz w:w="11910" w:h="16840"/>
          <w:pgMar w:footer="1187" w:header="851" w:top="1400" w:bottom="1380" w:left="980" w:right="0"/>
          <w:pgNumType w:start="55"/>
        </w:sectPr>
      </w:pPr>
    </w:p>
    <w:p>
      <w:pPr>
        <w:spacing w:line="240" w:lineRule="auto" w:before="1"/>
        <w:rPr>
          <w:rFonts w:ascii="宋体" w:hAnsi="宋体" w:cs="宋体" w:eastAsia="宋体" w:hint="default"/>
          <w:sz w:val="8"/>
          <w:szCs w:val="8"/>
        </w:rPr>
      </w:pPr>
    </w:p>
    <w:p>
      <w:pPr>
        <w:spacing w:line="451" w:lineRule="auto" w:before="44"/>
        <w:ind w:left="514"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6</w:t>
      </w:r>
      <w:r>
        <w:rPr>
          <w:rFonts w:ascii="宋体" w:hAnsi="宋体" w:cs="宋体" w:eastAsia="宋体" w:hint="default"/>
          <w:b/>
          <w:bCs/>
          <w:sz w:val="18"/>
          <w:szCs w:val="18"/>
        </w:rPr>
        <w:t>、对高端人才的持续需求风险</w:t>
      </w:r>
      <w:r>
        <w:rPr>
          <w:rFonts w:ascii="宋体" w:hAnsi="宋体" w:cs="宋体" w:eastAsia="宋体" w:hint="default"/>
          <w:b/>
          <w:bCs/>
          <w:w w:val="99"/>
          <w:sz w:val="18"/>
          <w:szCs w:val="18"/>
        </w:rPr>
        <w:t> </w:t>
      </w:r>
      <w:r>
        <w:rPr>
          <w:rFonts w:ascii="宋体" w:hAnsi="宋体" w:cs="宋体" w:eastAsia="宋体" w:hint="default"/>
          <w:spacing w:val="-2"/>
          <w:sz w:val="18"/>
          <w:szCs w:val="18"/>
        </w:rPr>
        <w:t>公司属于知识密集型、智力密集型行业，高端人才储备不足将制约着企业的进一步发展，尤其是在人工智能、物联网领</w:t>
      </w:r>
    </w:p>
    <w:p>
      <w:pPr>
        <w:pStyle w:val="BodyText"/>
        <w:spacing w:line="468" w:lineRule="auto" w:before="74"/>
        <w:ind w:right="1130"/>
        <w:jc w:val="both"/>
      </w:pPr>
      <w:r>
        <w:rPr>
          <w:spacing w:val="-2"/>
        </w:rPr>
        <w:t>域的人才竞争更是激烈。随着公司业务规模不断扩大，新技术演进层出不穷，对软件高级技术人员、营销人员和管理人员具</w:t>
      </w:r>
      <w:r>
        <w:rPr>
          <w:spacing w:val="-66"/>
        </w:rPr>
        <w:t> </w:t>
      </w:r>
      <w:r>
        <w:rPr>
          <w:spacing w:val="-66"/>
        </w:rPr>
      </w:r>
      <w:r>
        <w:rPr>
          <w:spacing w:val="-2"/>
        </w:rPr>
        <w:t>有较大的需求。如何保持现有技术队伍和管理层的稳定、提高业务人员专业水平和综合素质、培养和引进优秀人才，对公司</w:t>
      </w:r>
      <w:r>
        <w:rPr>
          <w:spacing w:val="-66"/>
        </w:rPr>
        <w:t> </w:t>
      </w:r>
      <w:r>
        <w:rPr>
          <w:spacing w:val="-66"/>
        </w:rPr>
      </w:r>
      <w:r>
        <w:rPr>
          <w:spacing w:val="-2"/>
        </w:rPr>
        <w:t>的快速发展至关重要。为此，公司将始终坚持</w:t>
      </w:r>
      <w:r>
        <w:rPr>
          <w:rFonts w:ascii="Times New Roman" w:hAnsi="Times New Roman" w:cs="Times New Roman" w:eastAsia="Times New Roman" w:hint="default"/>
          <w:spacing w:val="-2"/>
        </w:rPr>
        <w:t>“</w:t>
      </w:r>
      <w:r>
        <w:rPr>
          <w:spacing w:val="-2"/>
        </w:rPr>
        <w:t>高绩效、高贡献、高回报</w:t>
      </w:r>
      <w:r>
        <w:rPr>
          <w:rFonts w:ascii="Times New Roman" w:hAnsi="Times New Roman" w:cs="Times New Roman" w:eastAsia="Times New Roman" w:hint="default"/>
          <w:spacing w:val="-2"/>
        </w:rPr>
        <w:t>”</w:t>
      </w:r>
      <w:r>
        <w:rPr>
          <w:spacing w:val="-2"/>
        </w:rPr>
        <w:t>的人才发展观，通过提升薪资竞争力提高人才的吸</w:t>
      </w:r>
      <w:r>
        <w:rPr>
          <w:spacing w:val="-46"/>
        </w:rPr>
        <w:t> </w:t>
      </w:r>
      <w:r>
        <w:rPr>
          <w:spacing w:val="-46"/>
        </w:rPr>
      </w:r>
      <w:r>
        <w:rPr/>
        <w:t>引力，通过为员工创造良好的职业发展环境、营造适宜的企业文化氛围等系统性的措施来吸引、留住和激励人才。</w:t>
      </w:r>
    </w:p>
    <w:p>
      <w:pPr>
        <w:pStyle w:val="BodyText"/>
        <w:spacing w:line="451" w:lineRule="auto" w:before="61"/>
        <w:ind w:left="514" w:right="0" w:firstLine="1"/>
        <w:jc w:val="left"/>
      </w:pPr>
      <w:r>
        <w:rPr>
          <w:rFonts w:ascii="Times New Roman" w:hAnsi="Times New Roman" w:cs="Times New Roman" w:eastAsia="Times New Roman" w:hint="default"/>
          <w:b/>
          <w:bCs/>
        </w:rPr>
        <w:t>7</w:t>
      </w:r>
      <w:r>
        <w:rPr>
          <w:rFonts w:ascii="宋体" w:hAnsi="宋体" w:cs="宋体" w:eastAsia="宋体" w:hint="default"/>
          <w:b/>
          <w:bCs/>
        </w:rPr>
        <w:t>、商誉减值风险</w:t>
      </w:r>
      <w:r>
        <w:rPr>
          <w:rFonts w:ascii="宋体" w:hAnsi="宋体" w:cs="宋体" w:eastAsia="宋体" w:hint="default"/>
          <w:b/>
          <w:bCs/>
          <w:w w:val="99"/>
        </w:rPr>
        <w:t> </w:t>
      </w:r>
      <w:r>
        <w:rPr>
          <w:spacing w:val="-2"/>
        </w:rPr>
        <w:t>投资并购是企业发展的重要方式之一，由此也带来商誉金额的增加。如果未来受宏观经济形势变化、整体行业萎靡、市</w:t>
      </w:r>
    </w:p>
    <w:p>
      <w:pPr>
        <w:pStyle w:val="BodyText"/>
        <w:spacing w:line="477" w:lineRule="auto" w:before="74"/>
        <w:ind w:right="1115"/>
        <w:jc w:val="left"/>
      </w:pPr>
      <w:r>
        <w:rPr>
          <w:spacing w:val="-2"/>
        </w:rPr>
        <w:t>场拓展、内部管理或其他原因导致相关公司未来经营状况未达预期，则公司可能存在商誉减值风险，从而对公司当期业绩造</w:t>
      </w:r>
      <w:r>
        <w:rPr>
          <w:spacing w:val="-66"/>
        </w:rPr>
        <w:t> </w:t>
      </w:r>
      <w:r>
        <w:rPr>
          <w:spacing w:val="-66"/>
        </w:rPr>
      </w:r>
      <w:r>
        <w:rPr/>
        <w:t>成不利影响。</w:t>
      </w:r>
    </w:p>
    <w:p>
      <w:pPr>
        <w:pStyle w:val="BodyText"/>
        <w:spacing w:line="451" w:lineRule="auto" w:before="54"/>
        <w:ind w:right="1129" w:firstLine="360"/>
        <w:jc w:val="both"/>
      </w:pPr>
      <w:r>
        <w:rPr>
          <w:spacing w:val="-4"/>
        </w:rPr>
        <w:t>公司已充分意识到潜在的商誉减值风险，为此公司：（</w:t>
      </w:r>
      <w:r>
        <w:rPr>
          <w:rFonts w:ascii="Times New Roman" w:hAnsi="Times New Roman" w:cs="Times New Roman" w:eastAsia="Times New Roman" w:hint="default"/>
          <w:spacing w:val="-4"/>
        </w:rPr>
        <w:t>1</w:t>
      </w:r>
      <w:r>
        <w:rPr>
          <w:spacing w:val="-4"/>
        </w:rPr>
        <w:t>）积极加强公司并购后的资源、文化融合，形成协同效应，努力</w:t>
      </w:r>
      <w:r>
        <w:rPr/>
        <w:t> </w:t>
      </w:r>
      <w:r>
        <w:rPr>
          <w:spacing w:val="-4"/>
        </w:rPr>
        <w:t>实现预期盈利目标，最大限度地降低商誉减值风险；（</w:t>
      </w:r>
      <w:r>
        <w:rPr>
          <w:rFonts w:ascii="Times New Roman" w:hAnsi="Times New Roman" w:cs="Times New Roman" w:eastAsia="Times New Roman" w:hint="default"/>
          <w:spacing w:val="-4"/>
        </w:rPr>
        <w:t>2</w:t>
      </w:r>
      <w:r>
        <w:rPr>
          <w:spacing w:val="-4"/>
        </w:rPr>
        <w:t>）通过跟踪关注并购公司的经营情况及行业趋势，通过业务、管理等</w:t>
      </w:r>
      <w:r>
        <w:rPr>
          <w:spacing w:val="-44"/>
        </w:rPr>
        <w:t> </w:t>
      </w:r>
      <w:r>
        <w:rPr>
          <w:spacing w:val="-44"/>
        </w:rPr>
      </w:r>
      <w:r>
        <w:rPr>
          <w:spacing w:val="-4"/>
        </w:rPr>
        <w:t>方面的协同共进，加强内部子公司管理，强化投后管理管控；（</w:t>
      </w:r>
      <w:r>
        <w:rPr>
          <w:rFonts w:ascii="Times New Roman" w:hAnsi="Times New Roman" w:cs="Times New Roman" w:eastAsia="Times New Roman" w:hint="default"/>
          <w:spacing w:val="-4"/>
        </w:rPr>
        <w:t>3</w:t>
      </w:r>
      <w:r>
        <w:rPr>
          <w:spacing w:val="-4"/>
        </w:rPr>
        <w:t>）通过规范运作、风险把控、业务整体筹划等措施，持续提</w:t>
      </w:r>
      <w:r>
        <w:rPr>
          <w:spacing w:val="-50"/>
        </w:rPr>
        <w:t> </w:t>
      </w:r>
      <w:r>
        <w:rPr>
          <w:spacing w:val="-50"/>
        </w:rPr>
      </w:r>
      <w:r>
        <w:rPr/>
        <w:t>升公司的核心竞争力，促进并购公司业绩的持续增长，避免商誉减值风险发生。</w:t>
      </w:r>
    </w:p>
    <w:p>
      <w:pPr>
        <w:pStyle w:val="BodyText"/>
        <w:spacing w:line="451" w:lineRule="auto" w:before="74"/>
        <w:ind w:left="514" w:right="0" w:firstLine="1"/>
        <w:jc w:val="left"/>
      </w:pPr>
      <w:r>
        <w:rPr>
          <w:rFonts w:ascii="Times New Roman" w:hAnsi="Times New Roman" w:cs="Times New Roman" w:eastAsia="Times New Roman" w:hint="default"/>
          <w:b/>
          <w:bCs/>
        </w:rPr>
        <w:t>8</w:t>
      </w:r>
      <w:r>
        <w:rPr>
          <w:rFonts w:ascii="宋体" w:hAnsi="宋体" w:cs="宋体" w:eastAsia="宋体" w:hint="default"/>
          <w:b/>
          <w:bCs/>
        </w:rPr>
        <w:t>、长期股权投资减值风险</w:t>
      </w:r>
      <w:r>
        <w:rPr>
          <w:rFonts w:ascii="宋体" w:hAnsi="宋体" w:cs="宋体" w:eastAsia="宋体" w:hint="default"/>
          <w:b/>
          <w:bCs/>
          <w:w w:val="99"/>
        </w:rPr>
        <w:t> </w:t>
      </w:r>
      <w:r>
        <w:rPr>
          <w:spacing w:val="-4"/>
        </w:rPr>
        <w:t>截止本报告期，公司长期股权投资金额、可供出售金融资产分别为</w:t>
      </w:r>
      <w:r>
        <w:rPr>
          <w:rFonts w:ascii="Times New Roman" w:hAnsi="Times New Roman" w:cs="Times New Roman" w:eastAsia="Times New Roman" w:hint="default"/>
          <w:spacing w:val="-4"/>
        </w:rPr>
        <w:t>3.14</w:t>
      </w:r>
      <w:r>
        <w:rPr>
          <w:spacing w:val="-4"/>
        </w:rPr>
        <w:t>亿、</w:t>
      </w:r>
      <w:r>
        <w:rPr>
          <w:rFonts w:ascii="Times New Roman" w:hAnsi="Times New Roman" w:cs="Times New Roman" w:eastAsia="Times New Roman" w:hint="default"/>
          <w:spacing w:val="-4"/>
        </w:rPr>
        <w:t>3.68</w:t>
      </w:r>
      <w:r>
        <w:rPr>
          <w:spacing w:val="-4"/>
        </w:rPr>
        <w:t>亿（（所涉及公司参见本报告中财务注释</w:t>
      </w:r>
    </w:p>
    <w:p>
      <w:pPr>
        <w:pStyle w:val="BodyText"/>
        <w:spacing w:line="477" w:lineRule="auto" w:before="43"/>
        <w:ind w:right="0"/>
        <w:jc w:val="left"/>
      </w:pPr>
      <w:r>
        <w:rPr>
          <w:spacing w:val="-2"/>
        </w:rPr>
        <w:t>部分相关内容），如果所涉公司未来受宏观经济形势变化、整体行业萎靡、市场拓展、内部管理或其他原因导致经营状况不</w:t>
      </w:r>
      <w:r>
        <w:rPr>
          <w:spacing w:val="-64"/>
        </w:rPr>
        <w:t> </w:t>
      </w:r>
      <w:r>
        <w:rPr>
          <w:spacing w:val="-64"/>
        </w:rPr>
      </w:r>
      <w:r>
        <w:rPr/>
        <w:t>佳，将有可能导致公司存在减值风险，从而对公司当期损益造成影响。</w:t>
      </w:r>
    </w:p>
    <w:p>
      <w:pPr>
        <w:pStyle w:val="BodyText"/>
        <w:spacing w:line="477" w:lineRule="auto" w:before="54"/>
        <w:ind w:right="1132" w:firstLine="360"/>
        <w:jc w:val="both"/>
      </w:pPr>
      <w:r>
        <w:rPr>
          <w:spacing w:val="-5"/>
        </w:rPr>
        <w:t>为此，公司将不断加强对外股权投资的监督管理，降低和规避对外投资风险，并提高与其他出资方协作监督管理的效率，</w:t>
      </w:r>
      <w:r>
        <w:rPr/>
        <w:t> 依法行使出资人的权利，维护公司利益以及全体股东的合法权益。</w:t>
      </w:r>
    </w:p>
    <w:p>
      <w:pPr>
        <w:spacing w:line="240" w:lineRule="auto" w:before="7"/>
        <w:rPr>
          <w:rFonts w:ascii="宋体" w:hAnsi="宋体" w:cs="宋体" w:eastAsia="宋体" w:hint="default"/>
          <w:sz w:val="17"/>
          <w:szCs w:val="17"/>
        </w:rPr>
      </w:pPr>
    </w:p>
    <w:p>
      <w:pPr>
        <w:pStyle w:val="Heading2"/>
        <w:spacing w:line="240" w:lineRule="auto"/>
        <w:ind w:right="0"/>
        <w:jc w:val="both"/>
        <w:rPr>
          <w:b w:val="0"/>
          <w:bCs w:val="0"/>
        </w:rPr>
      </w:pPr>
      <w:bookmarkStart w:name="十、接待调研、沟通、采访等活动登记表" w:id="68"/>
      <w:bookmarkEnd w:id="68"/>
      <w:r>
        <w:rPr>
          <w:b w:val="0"/>
          <w:bCs w:val="0"/>
        </w:rPr>
      </w:r>
      <w:r>
        <w:rPr/>
        <w:t>十、接待调研、沟通、采访等活动登记表</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both"/>
        <w:rPr>
          <w:b w:val="0"/>
          <w:bCs w:val="0"/>
        </w:rPr>
      </w:pPr>
      <w:bookmarkStart w:name="1、报告期内接待调研、沟通、采访等活动登记表" w:id="69"/>
      <w:bookmarkEnd w:id="69"/>
      <w:r>
        <w:rPr>
          <w:b w:val="0"/>
          <w:bCs w:val="0"/>
        </w:rPr>
      </w: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8"/>
        <w:rPr>
          <w:rFonts w:ascii="宋体" w:hAnsi="宋体" w:cs="宋体" w:eastAsia="宋体" w:hint="default"/>
          <w:b/>
          <w:bCs/>
          <w:sz w:val="26"/>
          <w:szCs w:val="26"/>
        </w:rPr>
      </w:pPr>
    </w:p>
    <w:p>
      <w:pPr>
        <w:pStyle w:val="BodyText"/>
        <w:spacing w:line="412" w:lineRule="auto"/>
        <w:ind w:right="6612"/>
        <w:jc w:val="left"/>
      </w:pPr>
      <w:r>
        <w:rPr>
          <w:rFonts w:ascii="Times New Roman" w:hAnsi="Times New Roman" w:cs="Times New Roman" w:eastAsia="Times New Roman" w:hint="default"/>
        </w:rPr>
        <w:t>□ </w:t>
      </w:r>
      <w:r>
        <w:rPr/>
        <w:t>适用 </w:t>
      </w:r>
      <w:r>
        <w:rPr>
          <w:rFonts w:ascii="宋体" w:hAnsi="宋体" w:cs="宋体" w:eastAsia="宋体" w:hint="default"/>
          <w:b/>
          <w:bCs/>
        </w:rPr>
        <w:t>√</w:t>
      </w:r>
      <w:r>
        <w:rPr>
          <w:rFonts w:ascii="宋体" w:hAnsi="宋体" w:cs="宋体" w:eastAsia="宋体" w:hint="default"/>
          <w:b/>
          <w:bCs/>
          <w:spacing w:val="-1"/>
        </w:rPr>
        <w:t> </w:t>
      </w:r>
      <w:r>
        <w:rPr>
          <w:rFonts w:ascii="宋体" w:hAnsi="宋体" w:cs="宋体" w:eastAsia="宋体" w:hint="default"/>
          <w:b/>
          <w:bCs/>
        </w:rPr>
        <w:t>不适用</w:t>
      </w:r>
      <w:r>
        <w:rPr>
          <w:rFonts w:ascii="宋体" w:hAnsi="宋体" w:cs="宋体" w:eastAsia="宋体" w:hint="default"/>
          <w:b/>
          <w:bCs/>
          <w:w w:val="99"/>
        </w:rPr>
        <w:t> </w:t>
      </w:r>
      <w:r>
        <w:rPr/>
        <w:t>公司报告期内未发生接待调研、沟通、采访等活动。</w:t>
      </w:r>
    </w:p>
    <w:p>
      <w:pPr>
        <w:spacing w:after="0" w:line="412" w:lineRule="auto"/>
        <w:jc w:val="left"/>
        <w:sectPr>
          <w:pgSz w:w="11910" w:h="16840"/>
          <w:pgMar w:header="851" w:footer="1187" w:top="1400" w:bottom="1380" w:left="98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pStyle w:val="Heading1"/>
        <w:spacing w:line="240" w:lineRule="auto"/>
        <w:ind w:right="979"/>
        <w:jc w:val="center"/>
        <w:rPr>
          <w:b w:val="0"/>
          <w:bCs w:val="0"/>
        </w:rPr>
      </w:pPr>
      <w:bookmarkStart w:name="第五节重要事项" w:id="70"/>
      <w:bookmarkEnd w:id="70"/>
      <w:r>
        <w:rPr>
          <w:b w:val="0"/>
          <w:bCs w:val="0"/>
        </w:rPr>
      </w:r>
      <w:bookmarkStart w:name="_bookmark4" w:id="71"/>
      <w:bookmarkEnd w:id="71"/>
      <w:r>
        <w:rPr>
          <w:b w:val="0"/>
          <w:bCs w:val="0"/>
        </w:rPr>
      </w:r>
      <w:r>
        <w:rPr/>
        <w:t>第五节重要事项</w:t>
      </w:r>
      <w:r>
        <w:rPr>
          <w:b w:val="0"/>
          <w:bCs w:val="0"/>
        </w:rPr>
      </w:r>
    </w:p>
    <w:p>
      <w:pPr>
        <w:spacing w:line="240" w:lineRule="auto" w:before="12"/>
        <w:rPr>
          <w:rFonts w:ascii="宋体" w:hAnsi="宋体" w:cs="宋体" w:eastAsia="宋体" w:hint="default"/>
          <w:b/>
          <w:bCs/>
          <w:sz w:val="38"/>
          <w:szCs w:val="38"/>
        </w:rPr>
      </w:pPr>
    </w:p>
    <w:p>
      <w:pPr>
        <w:pStyle w:val="Heading2"/>
        <w:spacing w:line="240" w:lineRule="auto"/>
        <w:ind w:right="0"/>
        <w:jc w:val="left"/>
        <w:rPr>
          <w:b w:val="0"/>
          <w:bCs w:val="0"/>
        </w:rPr>
      </w:pPr>
      <w:bookmarkStart w:name="一、公司普通股利润分配及资本公积金转增股本情况" w:id="72"/>
      <w:bookmarkEnd w:id="72"/>
      <w:r>
        <w:rPr>
          <w:b w:val="0"/>
          <w:bCs w:val="0"/>
        </w:rPr>
      </w:r>
      <w:r>
        <w:rPr/>
        <w:t>一、公司普通股利润分配及资本公积金转增股本情况</w:t>
      </w:r>
      <w:r>
        <w:rPr>
          <w:b w:val="0"/>
          <w:bCs w:val="0"/>
        </w:rPr>
      </w:r>
    </w:p>
    <w:p>
      <w:pPr>
        <w:spacing w:line="240" w:lineRule="auto" w:before="6"/>
        <w:rPr>
          <w:rFonts w:ascii="宋体" w:hAnsi="宋体" w:cs="宋体" w:eastAsia="宋体" w:hint="default"/>
          <w:b/>
          <w:bCs/>
          <w:sz w:val="32"/>
          <w:szCs w:val="32"/>
        </w:rPr>
      </w:pPr>
    </w:p>
    <w:p>
      <w:pPr>
        <w:pStyle w:val="Heading5"/>
        <w:spacing w:line="240" w:lineRule="auto"/>
        <w:ind w:right="0"/>
        <w:jc w:val="left"/>
        <w:rPr>
          <w:b w:val="0"/>
          <w:bCs w:val="0"/>
        </w:rPr>
      </w:pPr>
      <w:r>
        <w:rPr/>
        <w:t>报告期内普通股利润分配政策，特别是现金分红政策的制定、执行或调整情况</w:t>
      </w:r>
      <w:r>
        <w:rPr>
          <w:b w:val="0"/>
          <w:bCs w:val="0"/>
        </w:rPr>
      </w:r>
    </w:p>
    <w:p>
      <w:pPr>
        <w:spacing w:line="240" w:lineRule="auto" w:before="10"/>
        <w:rPr>
          <w:rFonts w:ascii="宋体" w:hAnsi="宋体" w:cs="宋体" w:eastAsia="宋体" w:hint="default"/>
          <w:b/>
          <w:bCs/>
          <w:sz w:val="17"/>
          <w:szCs w:val="17"/>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16"/>
          <w:szCs w:val="16"/>
        </w:rPr>
      </w:pPr>
    </w:p>
    <w:p>
      <w:pPr>
        <w:pStyle w:val="BodyText"/>
        <w:spacing w:line="240" w:lineRule="auto"/>
        <w:ind w:left="514" w:right="0"/>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5 </w:t>
      </w:r>
      <w:r>
        <w:rPr/>
        <w:t>月</w:t>
      </w:r>
      <w:r>
        <w:rPr>
          <w:spacing w:val="-45"/>
        </w:rPr>
        <w:t> </w:t>
      </w:r>
      <w:r>
        <w:rPr>
          <w:rFonts w:ascii="Times New Roman" w:hAnsi="Times New Roman" w:cs="Times New Roman" w:eastAsia="Times New Roman" w:hint="default"/>
        </w:rPr>
        <w:t>18 </w:t>
      </w:r>
      <w:r>
        <w:rPr/>
        <w:t>日，公司</w:t>
      </w:r>
      <w:r>
        <w:rPr>
          <w:spacing w:val="-45"/>
        </w:rPr>
        <w:t> </w:t>
      </w:r>
      <w:r>
        <w:rPr>
          <w:rFonts w:ascii="Times New Roman" w:hAnsi="Times New Roman" w:cs="Times New Roman" w:eastAsia="Times New Roman" w:hint="default"/>
        </w:rPr>
        <w:t>2017 </w:t>
      </w:r>
      <w:r>
        <w:rPr/>
        <w:t>年度股东大会审议通过了《</w:t>
      </w:r>
      <w:r>
        <w:rPr>
          <w:rFonts w:ascii="Times New Roman" w:hAnsi="Times New Roman" w:cs="Times New Roman" w:eastAsia="Times New Roman" w:hint="default"/>
        </w:rPr>
        <w:t>2017 </w:t>
      </w:r>
      <w:r>
        <w:rPr/>
        <w:t>年度利润分配预案</w:t>
      </w:r>
      <w:r>
        <w:rPr>
          <w:spacing w:val="-90"/>
        </w:rPr>
        <w:t>》</w:t>
      </w:r>
      <w:r>
        <w:rPr/>
        <w:t>，以公司</w:t>
      </w:r>
      <w:r>
        <w:rPr>
          <w:spacing w:val="-44"/>
        </w:rPr>
        <w:t> </w:t>
      </w:r>
      <w:r>
        <w:rPr>
          <w:rFonts w:ascii="Times New Roman" w:hAnsi="Times New Roman" w:cs="Times New Roman" w:eastAsia="Times New Roman" w:hint="default"/>
        </w:rPr>
        <w:t>2017 </w:t>
      </w:r>
      <w:r>
        <w:rPr/>
        <w:t>年</w:t>
      </w:r>
      <w:r>
        <w:rPr>
          <w:spacing w:val="-45"/>
        </w:rPr>
        <w:t> </w:t>
      </w:r>
      <w:r>
        <w:rPr>
          <w:rFonts w:ascii="Times New Roman" w:hAnsi="Times New Roman" w:cs="Times New Roman" w:eastAsia="Times New Roman" w:hint="default"/>
        </w:rPr>
        <w:t>12 </w:t>
      </w:r>
      <w:r>
        <w:rPr/>
        <w:t>月</w:t>
      </w:r>
      <w:r>
        <w:rPr>
          <w:spacing w:val="-45"/>
        </w:rPr>
        <w:t> </w:t>
      </w:r>
      <w:r>
        <w:rPr>
          <w:rFonts w:ascii="Times New Roman" w:hAnsi="Times New Roman" w:cs="Times New Roman" w:eastAsia="Times New Roman" w:hint="default"/>
        </w:rPr>
        <w:t>31 </w:t>
      </w:r>
      <w:r>
        <w:rPr/>
        <w:t>日总股本</w:t>
      </w:r>
    </w:p>
    <w:p>
      <w:pPr>
        <w:spacing w:line="240" w:lineRule="auto" w:before="9"/>
        <w:rPr>
          <w:rFonts w:ascii="宋体" w:hAnsi="宋体" w:cs="宋体" w:eastAsia="宋体" w:hint="default"/>
          <w:sz w:val="16"/>
          <w:szCs w:val="16"/>
        </w:rPr>
      </w:pPr>
    </w:p>
    <w:p>
      <w:pPr>
        <w:pStyle w:val="BodyText"/>
        <w:spacing w:line="240" w:lineRule="auto"/>
        <w:ind w:right="0"/>
        <w:jc w:val="left"/>
      </w:pPr>
      <w:r>
        <w:rPr>
          <w:rFonts w:ascii="Times New Roman" w:hAnsi="Times New Roman" w:cs="Times New Roman" w:eastAsia="Times New Roman" w:hint="default"/>
        </w:rPr>
        <w:t>1,961,09</w:t>
      </w:r>
      <w:r>
        <w:rPr>
          <w:rFonts w:ascii="Times New Roman" w:hAnsi="Times New Roman" w:cs="Times New Roman" w:eastAsia="Times New Roman" w:hint="default"/>
          <w:spacing w:val="-2"/>
        </w:rPr>
        <w:t>1</w:t>
      </w:r>
      <w:r>
        <w:rPr>
          <w:rFonts w:ascii="Times New Roman" w:hAnsi="Times New Roman" w:cs="Times New Roman" w:eastAsia="Times New Roman" w:hint="default"/>
        </w:rPr>
        <w:t>,984 </w:t>
      </w:r>
      <w:r>
        <w:rPr/>
        <w:t>股为基数</w:t>
      </w:r>
      <w:r>
        <w:rPr>
          <w:spacing w:val="-67"/>
        </w:rPr>
        <w:t>，</w:t>
      </w:r>
      <w:r>
        <w:rPr/>
        <w:t>向全体股东每</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spacing w:val="1"/>
        </w:rPr>
        <w:t>股</w:t>
      </w:r>
      <w:r>
        <w:rPr/>
        <w:t>派发现金红利</w:t>
      </w:r>
      <w:r>
        <w:rPr>
          <w:spacing w:val="-46"/>
        </w:rPr>
        <w:t> </w:t>
      </w:r>
      <w:r>
        <w:rPr>
          <w:rFonts w:ascii="Times New Roman" w:hAnsi="Times New Roman" w:cs="Times New Roman" w:eastAsia="Times New Roman" w:hint="default"/>
        </w:rPr>
        <w:t>0.07</w:t>
      </w:r>
      <w:r>
        <w:rPr>
          <w:rFonts w:ascii="Times New Roman" w:hAnsi="Times New Roman" w:cs="Times New Roman" w:eastAsia="Times New Roman" w:hint="default"/>
          <w:spacing w:val="-1"/>
        </w:rPr>
        <w:t> </w:t>
      </w:r>
      <w:r>
        <w:rPr/>
        <w:t>元人民</w:t>
      </w:r>
      <w:r>
        <w:rPr>
          <w:spacing w:val="-67"/>
        </w:rPr>
        <w:t>币</w:t>
      </w:r>
      <w:r>
        <w:rPr/>
        <w:t>（含税</w:t>
      </w:r>
      <w:r>
        <w:rPr>
          <w:spacing w:val="-90"/>
        </w:rPr>
        <w:t>）</w:t>
      </w:r>
      <w:r>
        <w:rPr>
          <w:spacing w:val="-67"/>
        </w:rPr>
        <w:t>，</w:t>
      </w:r>
      <w:r>
        <w:rPr/>
        <w:t>共分配现金红利</w:t>
      </w:r>
      <w:r>
        <w:rPr>
          <w:spacing w:val="-46"/>
        </w:rPr>
        <w:t> </w:t>
      </w:r>
      <w:r>
        <w:rPr>
          <w:rFonts w:ascii="Times New Roman" w:hAnsi="Times New Roman" w:cs="Times New Roman" w:eastAsia="Times New Roman" w:hint="default"/>
        </w:rPr>
        <w:t>13,727,643.89 </w:t>
      </w:r>
      <w:r>
        <w:rPr>
          <w:spacing w:val="-67"/>
        </w:rPr>
        <w:t>元</w:t>
      </w:r>
      <w:r>
        <w:rPr/>
        <w:t>（含税</w:t>
      </w:r>
      <w:r>
        <w:rPr>
          <w:spacing w:val="-89"/>
        </w:rPr>
        <w:t>）</w:t>
      </w:r>
      <w:r>
        <w:rPr/>
        <w:t>。</w:t>
      </w:r>
    </w:p>
    <w:p>
      <w:pPr>
        <w:spacing w:line="240" w:lineRule="auto" w:before="9"/>
        <w:rPr>
          <w:rFonts w:ascii="宋体" w:hAnsi="宋体" w:cs="宋体" w:eastAsia="宋体" w:hint="default"/>
          <w:sz w:val="16"/>
          <w:szCs w:val="16"/>
        </w:rPr>
      </w:pPr>
    </w:p>
    <w:p>
      <w:pPr>
        <w:pStyle w:val="BodyText"/>
        <w:spacing w:line="240" w:lineRule="auto"/>
        <w:ind w:left="514" w:right="0"/>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6 </w:t>
      </w:r>
      <w:r>
        <w:rPr/>
        <w:t>月</w:t>
      </w:r>
      <w:r>
        <w:rPr>
          <w:spacing w:val="-46"/>
        </w:rPr>
        <w:t> </w:t>
      </w:r>
      <w:r>
        <w:rPr>
          <w:rFonts w:ascii="Times New Roman" w:hAnsi="Times New Roman" w:cs="Times New Roman" w:eastAsia="Times New Roman" w:hint="default"/>
        </w:rPr>
        <w:t>27 </w:t>
      </w:r>
      <w:r>
        <w:rPr/>
        <w:t>日</w:t>
      </w:r>
      <w:r>
        <w:rPr>
          <w:spacing w:val="-10"/>
        </w:rPr>
        <w:t>，</w:t>
      </w:r>
      <w:r>
        <w:rPr/>
        <w:t>公司在巨潮资讯网刊登</w:t>
      </w:r>
      <w:r>
        <w:rPr>
          <w:spacing w:val="-10"/>
        </w:rPr>
        <w:t>了</w:t>
      </w:r>
      <w:r>
        <w:rPr/>
        <w:t>《</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1"/>
        </w:rPr>
        <w:t>年</w:t>
      </w:r>
      <w:r>
        <w:rPr/>
        <w:t>度权益分派实施公告</w:t>
      </w:r>
      <w:r>
        <w:rPr>
          <w:spacing w:val="-90"/>
        </w:rPr>
        <w:t>》</w:t>
      </w:r>
      <w:r>
        <w:rPr>
          <w:spacing w:val="-10"/>
        </w:rPr>
        <w:t>，</w:t>
      </w:r>
      <w:r>
        <w:rPr/>
        <w:t>本次权益分派股权登记日为</w:t>
      </w:r>
      <w:r>
        <w:rPr>
          <w:spacing w:val="-10"/>
        </w:rPr>
        <w:t>：</w:t>
      </w:r>
      <w:r>
        <w:rPr>
          <w:rFonts w:ascii="Times New Roman" w:hAnsi="Times New Roman" w:cs="Times New Roman" w:eastAsia="Times New Roman" w:hint="default"/>
        </w:rPr>
        <w:t>2018 </w:t>
      </w:r>
      <w:r>
        <w:rPr/>
        <w:t>年</w:t>
      </w:r>
    </w:p>
    <w:p>
      <w:pPr>
        <w:spacing w:line="240" w:lineRule="auto" w:before="9"/>
        <w:rPr>
          <w:rFonts w:ascii="宋体" w:hAnsi="宋体" w:cs="宋体" w:eastAsia="宋体" w:hint="default"/>
          <w:sz w:val="16"/>
          <w:szCs w:val="16"/>
        </w:rPr>
      </w:pPr>
    </w:p>
    <w:p>
      <w:pPr>
        <w:pStyle w:val="BodyText"/>
        <w:spacing w:line="240" w:lineRule="auto"/>
        <w:ind w:right="0"/>
        <w:jc w:val="left"/>
      </w:pP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w:t>
      </w:r>
      <w:r>
        <w:rPr>
          <w:spacing w:val="-46"/>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日；除权除息日为：</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7 </w:t>
      </w:r>
      <w:r>
        <w:rPr/>
        <w:t>月</w:t>
      </w:r>
      <w:r>
        <w:rPr>
          <w:spacing w:val="-46"/>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日。截止目前，该利润分配方案已实施完毕。</w:t>
      </w:r>
    </w:p>
    <w:p>
      <w:pPr>
        <w:spacing w:line="240" w:lineRule="auto" w:before="0"/>
        <w:rPr>
          <w:rFonts w:ascii="宋体" w:hAnsi="宋体" w:cs="宋体" w:eastAsia="宋体" w:hint="default"/>
          <w:sz w:val="10"/>
          <w:szCs w:val="10"/>
        </w:rPr>
      </w:pPr>
    </w:p>
    <w:tbl>
      <w:tblPr>
        <w:tblW w:w="0" w:type="auto"/>
        <w:jc w:val="left"/>
        <w:tblInd w:w="133" w:type="dxa"/>
        <w:tblLayout w:type="fixed"/>
        <w:tblCellMar>
          <w:top w:w="0" w:type="dxa"/>
          <w:left w:w="0" w:type="dxa"/>
          <w:bottom w:w="0" w:type="dxa"/>
          <w:right w:w="0" w:type="dxa"/>
        </w:tblCellMar>
        <w:tblLook w:val="01E0"/>
      </w:tblPr>
      <w:tblGrid>
        <w:gridCol w:w="6550"/>
        <w:gridCol w:w="3133"/>
      </w:tblGrid>
      <w:tr>
        <w:trPr>
          <w:trHeight w:val="402" w:hRule="exact"/>
        </w:trPr>
        <w:tc>
          <w:tcPr>
            <w:tcW w:w="968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0"/>
              <w:jc w:val="center"/>
              <w:rPr>
                <w:rFonts w:ascii="宋体" w:hAnsi="宋体" w:cs="宋体" w:eastAsia="宋体" w:hint="default"/>
                <w:sz w:val="18"/>
                <w:szCs w:val="18"/>
              </w:rPr>
            </w:pPr>
            <w:r>
              <w:rPr>
                <w:rFonts w:ascii="宋体" w:hAnsi="宋体" w:cs="宋体" w:eastAsia="宋体" w:hint="default"/>
                <w:sz w:val="18"/>
                <w:szCs w:val="18"/>
              </w:rPr>
              <w:t>现金分红政策的专项说明</w:t>
            </w:r>
          </w:p>
        </w:tc>
      </w:tr>
      <w:tr>
        <w:trPr>
          <w:trHeight w:val="402" w:hRule="exact"/>
        </w:trPr>
        <w:tc>
          <w:tcPr>
            <w:tcW w:w="65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是否符合公司章程的规定或股东大会决议的要求：</w:t>
            </w:r>
          </w:p>
        </w:tc>
        <w:tc>
          <w:tcPr>
            <w:tcW w:w="313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65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分红标准和比例是否明确和清晰：</w:t>
            </w:r>
          </w:p>
        </w:tc>
        <w:tc>
          <w:tcPr>
            <w:tcW w:w="313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65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相关的决策程序和机制是否完备：</w:t>
            </w:r>
          </w:p>
        </w:tc>
        <w:tc>
          <w:tcPr>
            <w:tcW w:w="313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65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独立董事是否履职尽责并发挥了应有的作用：</w:t>
            </w:r>
          </w:p>
        </w:tc>
        <w:tc>
          <w:tcPr>
            <w:tcW w:w="313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65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中小股东是否有充分表达意见和诉求的机会，其合法权益是否得到了充分保护：</w:t>
            </w:r>
          </w:p>
        </w:tc>
        <w:tc>
          <w:tcPr>
            <w:tcW w:w="313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65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现金分红政策进行调整或变更的，条件及程序是否合规、透明：</w:t>
            </w:r>
          </w:p>
        </w:tc>
        <w:tc>
          <w:tcPr>
            <w:tcW w:w="313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是</w:t>
            </w:r>
          </w:p>
        </w:tc>
      </w:tr>
    </w:tbl>
    <w:p>
      <w:pPr>
        <w:pStyle w:val="Heading5"/>
        <w:spacing w:line="240" w:lineRule="auto" w:before="89"/>
        <w:ind w:right="0"/>
        <w:jc w:val="left"/>
        <w:rPr>
          <w:b w:val="0"/>
          <w:bCs w:val="0"/>
        </w:rPr>
      </w:pPr>
      <w:r>
        <w:rPr/>
        <w:t>公司报告期利润分配预案及资本公积金转增股本预案与公司章程和分红管理办法等的相关规定一致</w:t>
      </w:r>
      <w:r>
        <w:rPr>
          <w:b w:val="0"/>
          <w:bCs w:val="0"/>
        </w:rPr>
      </w:r>
    </w:p>
    <w:p>
      <w:pPr>
        <w:spacing w:line="240" w:lineRule="auto" w:before="10"/>
        <w:rPr>
          <w:rFonts w:ascii="宋体" w:hAnsi="宋体" w:cs="宋体" w:eastAsia="宋体" w:hint="default"/>
          <w:b/>
          <w:bCs/>
          <w:sz w:val="17"/>
          <w:szCs w:val="17"/>
        </w:rPr>
      </w:pPr>
    </w:p>
    <w:p>
      <w:pPr>
        <w:spacing w:line="463" w:lineRule="auto" w:before="0"/>
        <w:ind w:left="154" w:right="4272" w:firstLine="0"/>
        <w:jc w:val="left"/>
        <w:rPr>
          <w:rFonts w:ascii="宋体" w:hAnsi="宋体" w:cs="宋体" w:eastAsia="宋体" w:hint="default"/>
          <w:sz w:val="18"/>
          <w:szCs w:val="18"/>
        </w:rPr>
      </w:pPr>
      <w:r>
        <w:rPr/>
        <w:pict>
          <v:shape style="position:absolute;margin-left:57.029999pt;margin-top:65.771744pt;width:478.6pt;height:221.6pt;mso-position-horizontal-relative:page;mso-position-vertical-relative:paragraph;z-index:22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231"/>
                    <w:gridCol w:w="5327"/>
                  </w:tblGrid>
                  <w:tr>
                    <w:trPr>
                      <w:trHeight w:val="402" w:hRule="exact"/>
                    </w:trPr>
                    <w:tc>
                      <w:tcPr>
                        <w:tcW w:w="4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53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股派息</w:t>
                        </w:r>
                        <w:r>
                          <w:rPr>
                            <w:rFonts w:ascii="宋体" w:hAnsi="宋体" w:cs="宋体" w:eastAsia="宋体" w:hint="default"/>
                            <w:spacing w:val="1"/>
                            <w:sz w:val="18"/>
                            <w:szCs w:val="18"/>
                          </w:rPr>
                          <w:t>数</w:t>
                        </w:r>
                        <w:r>
                          <w:rPr>
                            <w:rFonts w:ascii="宋体" w:hAnsi="宋体" w:cs="宋体" w:eastAsia="宋体" w:hint="default"/>
                            <w:sz w:val="18"/>
                            <w:szCs w:val="18"/>
                          </w:rPr>
                          <w:t>（元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53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4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53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53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1,961,091,984</w:t>
                        </w:r>
                      </w:p>
                    </w:tc>
                  </w:tr>
                  <w:tr>
                    <w:trPr>
                      <w:trHeight w:val="402" w:hRule="exact"/>
                    </w:trPr>
                    <w:tc>
                      <w:tcPr>
                        <w:tcW w:w="4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现金分红金额（元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53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4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以其他方式（如回购股份）现金分红金额（元）</w:t>
                        </w:r>
                      </w:p>
                    </w:tc>
                    <w:tc>
                      <w:tcPr>
                        <w:tcW w:w="53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4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现金分红总额（含其他方式</w:t>
                        </w:r>
                        <w:r>
                          <w:rPr>
                            <w:rFonts w:ascii="宋体" w:hAnsi="宋体" w:cs="宋体" w:eastAsia="宋体" w:hint="default"/>
                            <w:spacing w:val="-90"/>
                            <w:sz w:val="18"/>
                            <w:szCs w:val="18"/>
                          </w:rPr>
                          <w:t>）</w:t>
                        </w:r>
                        <w:r>
                          <w:rPr>
                            <w:rFonts w:ascii="宋体" w:hAnsi="宋体" w:cs="宋体" w:eastAsia="宋体" w:hint="default"/>
                            <w:sz w:val="18"/>
                            <w:szCs w:val="18"/>
                          </w:rPr>
                          <w:t>（元）</w:t>
                        </w:r>
                      </w:p>
                    </w:tc>
                    <w:tc>
                      <w:tcPr>
                        <w:tcW w:w="53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4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3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80,247,586.32</w:t>
                        </w:r>
                      </w:p>
                    </w:tc>
                  </w:tr>
                  <w:tr>
                    <w:trPr>
                      <w:trHeight w:val="407" w:hRule="exact"/>
                    </w:trPr>
                    <w:tc>
                      <w:tcPr>
                        <w:tcW w:w="4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现金分红总额（含其他方式）占利润分配总额的比例</w:t>
                        </w:r>
                      </w:p>
                    </w:tc>
                    <w:tc>
                      <w:tcPr>
                        <w:tcW w:w="53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397" w:hRule="exact"/>
                    </w:trPr>
                    <w:tc>
                      <w:tcPr>
                        <w:tcW w:w="955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 w:right="10"/>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402" w:hRule="exact"/>
                    </w:trPr>
                    <w:tc>
                      <w:tcPr>
                        <w:tcW w:w="95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r>
                </w:tbl>
                <w:p>
                  <w:pPr/>
                </w:p>
              </w:txbxContent>
            </v:textbox>
            <w10:wrap type="none"/>
          </v:shape>
        </w:pict>
      </w:r>
      <w:r>
        <w:rPr>
          <w:rFonts w:ascii="宋体" w:hAnsi="宋体" w:cs="宋体" w:eastAsia="宋体" w:hint="default"/>
          <w:b/>
          <w:bCs/>
          <w:sz w:val="18"/>
          <w:szCs w:val="18"/>
        </w:rPr>
        <w:t>√ 是 </w:t>
      </w:r>
      <w:r>
        <w:rPr>
          <w:rFonts w:ascii="Times New Roman" w:hAnsi="Times New Roman" w:cs="Times New Roman" w:eastAsia="Times New Roman" w:hint="default"/>
          <w:sz w:val="18"/>
          <w:szCs w:val="18"/>
        </w:rPr>
        <w:t>□ </w:t>
      </w:r>
      <w:r>
        <w:rPr>
          <w:rFonts w:ascii="宋体" w:hAnsi="宋体" w:cs="宋体" w:eastAsia="宋体" w:hint="default"/>
          <w:sz w:val="18"/>
          <w:szCs w:val="18"/>
        </w:rPr>
        <w:t>否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不适用 公司报告期利润分配预案及资本公积金转增股本预案符合公司章程等的相关规定。 </w:t>
      </w:r>
      <w:r>
        <w:rPr>
          <w:rFonts w:ascii="宋体" w:hAnsi="宋体" w:cs="宋体" w:eastAsia="宋体" w:hint="default"/>
          <w:b/>
          <w:bCs/>
          <w:sz w:val="18"/>
          <w:szCs w:val="18"/>
        </w:rPr>
        <w:t>本年度利润分配及资本公积金转增股本情况</w:t>
      </w:r>
      <w:r>
        <w:rPr>
          <w:rFonts w:ascii="宋体" w:hAnsi="宋体" w:cs="宋体" w:eastAsia="宋体" w:hint="default"/>
          <w:sz w:val="18"/>
          <w:szCs w:val="18"/>
        </w:rPr>
      </w:r>
    </w:p>
    <w:p>
      <w:pPr>
        <w:spacing w:after="0" w:line="463" w:lineRule="auto"/>
        <w:jc w:val="left"/>
        <w:rPr>
          <w:rFonts w:ascii="宋体" w:hAnsi="宋体" w:cs="宋体" w:eastAsia="宋体" w:hint="default"/>
          <w:sz w:val="18"/>
          <w:szCs w:val="18"/>
        </w:rPr>
        <w:sectPr>
          <w:footerReference w:type="default" r:id="rId86"/>
          <w:pgSz w:w="11910" w:h="16840"/>
          <w:pgMar w:footer="979" w:header="851" w:top="1400" w:bottom="1160" w:left="980" w:right="0"/>
          <w:pgNumType w:start="57"/>
        </w:sectPr>
      </w:pPr>
    </w:p>
    <w:p>
      <w:pPr>
        <w:spacing w:line="240" w:lineRule="auto" w:before="8"/>
        <w:rPr>
          <w:rFonts w:ascii="宋体" w:hAnsi="宋体" w:cs="宋体" w:eastAsia="宋体" w:hint="default"/>
          <w:b/>
          <w:bCs/>
          <w:sz w:val="3"/>
          <w:szCs w:val="3"/>
        </w:rPr>
      </w:pPr>
    </w:p>
    <w:tbl>
      <w:tblPr>
        <w:tblW w:w="0" w:type="auto"/>
        <w:jc w:val="left"/>
        <w:tblInd w:w="129" w:type="dxa"/>
        <w:tblLayout w:type="fixed"/>
        <w:tblCellMar>
          <w:top w:w="0" w:type="dxa"/>
          <w:left w:w="0" w:type="dxa"/>
          <w:bottom w:w="0" w:type="dxa"/>
          <w:right w:w="0" w:type="dxa"/>
        </w:tblCellMar>
        <w:tblLook w:val="01E0"/>
      </w:tblPr>
      <w:tblGrid>
        <w:gridCol w:w="9569"/>
      </w:tblGrid>
      <w:tr>
        <w:trPr>
          <w:trHeight w:val="409" w:hRule="exact"/>
        </w:trPr>
        <w:tc>
          <w:tcPr>
            <w:tcW w:w="956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88"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2742" w:hRule="exact"/>
        </w:trPr>
        <w:tc>
          <w:tcPr>
            <w:tcW w:w="9569" w:type="dxa"/>
            <w:tcBorders>
              <w:top w:val="single" w:sz="4" w:space="0" w:color="000000"/>
              <w:left w:val="single" w:sz="4" w:space="0" w:color="000000"/>
              <w:bottom w:val="single" w:sz="4" w:space="0" w:color="000000"/>
              <w:right w:val="single" w:sz="4" w:space="0" w:color="000000"/>
            </w:tcBorders>
          </w:tcPr>
          <w:p>
            <w:pPr>
              <w:pStyle w:val="TableParagraph"/>
              <w:spacing w:line="451" w:lineRule="auto" w:before="89"/>
              <w:ind w:left="22" w:right="38" w:firstLine="360"/>
              <w:jc w:val="both"/>
              <w:rPr>
                <w:rFonts w:ascii="宋体" w:hAnsi="宋体" w:cs="宋体" w:eastAsia="宋体" w:hint="default"/>
                <w:sz w:val="18"/>
                <w:szCs w:val="18"/>
              </w:rPr>
            </w:pPr>
            <w:r>
              <w:rPr>
                <w:rFonts w:ascii="宋体" w:hAnsi="宋体" w:cs="宋体" w:eastAsia="宋体" w:hint="default"/>
                <w:sz w:val="18"/>
                <w:szCs w:val="18"/>
              </w:rPr>
              <w:t>经立信会计师事务所（特殊普通合伙）审计，公司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年度实现归属于上市公司股东的净利润</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80,247,586.32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元。其 中，母公司实现净利润</w:t>
            </w:r>
            <w:r>
              <w:rPr>
                <w:rFonts w:ascii="Times New Roman" w:hAnsi="Times New Roman" w:cs="Times New Roman" w:eastAsia="Times New Roman" w:hint="default"/>
                <w:sz w:val="18"/>
                <w:szCs w:val="18"/>
              </w:rPr>
              <w:t>-48,833,330.11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元。</w:t>
            </w:r>
          </w:p>
          <w:p>
            <w:pPr>
              <w:pStyle w:val="TableParagraph"/>
              <w:spacing w:line="451" w:lineRule="auto" w:before="44"/>
              <w:ind w:left="22" w:right="33" w:firstLine="360"/>
              <w:jc w:val="both"/>
              <w:rPr>
                <w:rFonts w:ascii="宋体" w:hAnsi="宋体" w:cs="宋体" w:eastAsia="宋体" w:hint="default"/>
                <w:sz w:val="18"/>
                <w:szCs w:val="18"/>
              </w:rPr>
            </w:pPr>
            <w:r>
              <w:rPr>
                <w:rFonts w:ascii="宋体" w:hAnsi="宋体" w:cs="宋体" w:eastAsia="宋体" w:hint="default"/>
                <w:sz w:val="18"/>
                <w:szCs w:val="18"/>
              </w:rPr>
              <w:t>鉴于公司目前的现金流较为紧张，且</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年将继续加大对人工智能</w:t>
            </w:r>
            <w:r>
              <w:rPr>
                <w:rFonts w:ascii="Times New Roman" w:hAnsi="Times New Roman" w:cs="Times New Roman" w:eastAsia="Times New Roman" w:hint="default"/>
                <w:sz w:val="18"/>
                <w:szCs w:val="18"/>
              </w:rPr>
              <w:t>/</w:t>
            </w:r>
            <w:r>
              <w:rPr>
                <w:rFonts w:ascii="宋体" w:hAnsi="宋体" w:cs="宋体" w:eastAsia="宋体" w:hint="default"/>
                <w:sz w:val="18"/>
                <w:szCs w:val="18"/>
              </w:rPr>
              <w:t>大数据、物联网通讯技术等方面投入，根据《公 司法》和《公司章程》的有关规定，公司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年度利润分配预案为：</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年度不派发现金红利，不送红股，也不进行资 本公积金转增股本，未分配利润结转至下一年度。</w:t>
            </w:r>
          </w:p>
          <w:p>
            <w:pPr>
              <w:pStyle w:val="TableParagraph"/>
              <w:spacing w:line="240" w:lineRule="auto" w:before="35"/>
              <w:ind w:left="382" w:right="0"/>
              <w:jc w:val="left"/>
              <w:rPr>
                <w:rFonts w:ascii="宋体" w:hAnsi="宋体" w:cs="宋体" w:eastAsia="宋体" w:hint="default"/>
                <w:sz w:val="18"/>
                <w:szCs w:val="18"/>
              </w:rPr>
            </w:pPr>
            <w:r>
              <w:rPr>
                <w:rFonts w:ascii="宋体" w:hAnsi="宋体" w:cs="宋体" w:eastAsia="宋体" w:hint="default"/>
                <w:sz w:val="18"/>
                <w:szCs w:val="18"/>
              </w:rPr>
              <w:t>本议案尚需提交</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年度股东大会审议。</w:t>
            </w:r>
          </w:p>
        </w:tc>
      </w:tr>
    </w:tbl>
    <w:p>
      <w:pPr>
        <w:pStyle w:val="Heading5"/>
        <w:spacing w:line="240" w:lineRule="auto" w:before="88"/>
        <w:ind w:left="134" w:right="1032"/>
        <w:jc w:val="left"/>
        <w:rPr>
          <w:b w:val="0"/>
          <w:bCs w:val="0"/>
        </w:rPr>
      </w:pPr>
      <w:r>
        <w:rPr>
          <w:spacing w:val="1"/>
          <w:w w:val="99"/>
        </w:rPr>
        <w:t>公</w:t>
      </w:r>
      <w:r>
        <w:rPr>
          <w:w w:val="99"/>
        </w:rPr>
        <w:t>司近</w:t>
      </w:r>
      <w:r>
        <w:rPr>
          <w:spacing w:val="-44"/>
        </w:rPr>
        <w:t> </w:t>
      </w:r>
      <w:r>
        <w:rPr>
          <w:rFonts w:ascii="Times New Roman" w:hAnsi="Times New Roman" w:cs="Times New Roman" w:eastAsia="Times New Roman" w:hint="default"/>
        </w:rPr>
        <w:t>3 </w:t>
      </w:r>
      <w:r>
        <w:rPr>
          <w:w w:val="99"/>
        </w:rPr>
        <w:t>年（</w:t>
      </w:r>
      <w:r>
        <w:rPr>
          <w:spacing w:val="1"/>
          <w:w w:val="99"/>
        </w:rPr>
        <w:t>包括</w:t>
      </w:r>
      <w:r>
        <w:rPr>
          <w:w w:val="99"/>
        </w:rPr>
        <w:t>本</w:t>
      </w:r>
      <w:r>
        <w:rPr>
          <w:spacing w:val="1"/>
          <w:w w:val="99"/>
        </w:rPr>
        <w:t>报</w:t>
      </w:r>
      <w:r>
        <w:rPr>
          <w:w w:val="99"/>
        </w:rPr>
        <w:t>告期</w:t>
      </w:r>
      <w:r>
        <w:rPr>
          <w:spacing w:val="1"/>
          <w:w w:val="99"/>
        </w:rPr>
        <w:t>）的</w:t>
      </w:r>
      <w:r>
        <w:rPr>
          <w:w w:val="99"/>
        </w:rPr>
        <w:t>普</w:t>
      </w:r>
      <w:r>
        <w:rPr>
          <w:spacing w:val="1"/>
          <w:w w:val="99"/>
        </w:rPr>
        <w:t>通</w:t>
      </w:r>
      <w:r>
        <w:rPr>
          <w:w w:val="99"/>
        </w:rPr>
        <w:t>股股</w:t>
      </w:r>
      <w:r>
        <w:rPr>
          <w:spacing w:val="1"/>
          <w:w w:val="99"/>
        </w:rPr>
        <w:t>利分</w:t>
      </w:r>
      <w:r>
        <w:rPr>
          <w:w w:val="99"/>
        </w:rPr>
        <w:t>配</w:t>
      </w:r>
      <w:r>
        <w:rPr>
          <w:spacing w:val="1"/>
          <w:w w:val="99"/>
        </w:rPr>
        <w:t>方</w:t>
      </w:r>
      <w:r>
        <w:rPr>
          <w:w w:val="99"/>
        </w:rPr>
        <w:t>案（</w:t>
      </w:r>
      <w:r>
        <w:rPr>
          <w:spacing w:val="1"/>
          <w:w w:val="99"/>
        </w:rPr>
        <w:t>预</w:t>
      </w:r>
      <w:r>
        <w:rPr>
          <w:w w:val="99"/>
        </w:rPr>
        <w:t>案</w:t>
      </w:r>
      <w:r>
        <w:rPr>
          <w:spacing w:val="-89"/>
          <w:w w:val="99"/>
        </w:rPr>
        <w:t>）</w:t>
      </w:r>
      <w:r>
        <w:rPr>
          <w:spacing w:val="1"/>
          <w:w w:val="99"/>
        </w:rPr>
        <w:t>、</w:t>
      </w:r>
      <w:r>
        <w:rPr>
          <w:w w:val="99"/>
        </w:rPr>
        <w:t>资</w:t>
      </w:r>
      <w:r>
        <w:rPr>
          <w:spacing w:val="1"/>
          <w:w w:val="99"/>
        </w:rPr>
        <w:t>本</w:t>
      </w:r>
      <w:r>
        <w:rPr>
          <w:w w:val="99"/>
        </w:rPr>
        <w:t>公</w:t>
      </w:r>
      <w:r>
        <w:rPr>
          <w:spacing w:val="1"/>
          <w:w w:val="99"/>
        </w:rPr>
        <w:t>积金</w:t>
      </w:r>
      <w:r>
        <w:rPr>
          <w:w w:val="99"/>
        </w:rPr>
        <w:t>转</w:t>
      </w:r>
      <w:r>
        <w:rPr>
          <w:spacing w:val="1"/>
          <w:w w:val="99"/>
        </w:rPr>
        <w:t>增</w:t>
      </w:r>
      <w:r>
        <w:rPr>
          <w:w w:val="99"/>
        </w:rPr>
        <w:t>股本</w:t>
      </w:r>
      <w:r>
        <w:rPr>
          <w:spacing w:val="1"/>
          <w:w w:val="99"/>
        </w:rPr>
        <w:t>方案</w:t>
      </w:r>
      <w:r>
        <w:rPr>
          <w:w w:val="99"/>
        </w:rPr>
        <w:t>（</w:t>
      </w:r>
      <w:r>
        <w:rPr>
          <w:spacing w:val="1"/>
          <w:w w:val="99"/>
        </w:rPr>
        <w:t>预</w:t>
      </w:r>
      <w:r>
        <w:rPr>
          <w:w w:val="99"/>
        </w:rPr>
        <w:t>案）</w:t>
      </w:r>
      <w:r>
        <w:rPr>
          <w:spacing w:val="3"/>
          <w:w w:val="99"/>
        </w:rPr>
        <w:t>情</w:t>
      </w:r>
      <w:r>
        <w:rPr>
          <w:w w:val="99"/>
        </w:rPr>
        <w:t>况</w:t>
      </w:r>
      <w:r>
        <w:rPr>
          <w:b w:val="0"/>
          <w:bCs w:val="0"/>
        </w:rPr>
      </w:r>
    </w:p>
    <w:p>
      <w:pPr>
        <w:spacing w:line="240" w:lineRule="auto" w:before="9"/>
        <w:rPr>
          <w:rFonts w:ascii="宋体" w:hAnsi="宋体" w:cs="宋体" w:eastAsia="宋体" w:hint="default"/>
          <w:b/>
          <w:bCs/>
          <w:sz w:val="16"/>
          <w:szCs w:val="16"/>
        </w:rPr>
      </w:pPr>
    </w:p>
    <w:p>
      <w:pPr>
        <w:pStyle w:val="BodyText"/>
        <w:spacing w:line="240" w:lineRule="auto"/>
        <w:ind w:left="494" w:right="1032"/>
        <w:jc w:val="left"/>
      </w:pPr>
      <w:r>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2016</w:t>
      </w:r>
      <w:r>
        <w:rPr/>
        <w:t>年度利润分配方案为：以公司</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31</w:t>
      </w:r>
      <w:r>
        <w:rPr/>
        <w:t>日总股本</w:t>
      </w:r>
      <w:r>
        <w:rPr>
          <w:rFonts w:ascii="Times New Roman" w:hAnsi="Times New Roman" w:cs="Times New Roman" w:eastAsia="Times New Roman" w:hint="default"/>
        </w:rPr>
        <w:t>1,961,091,984</w:t>
      </w:r>
      <w:r>
        <w:rPr/>
        <w:t>股为基数，向全体股东每</w:t>
      </w:r>
      <w:r>
        <w:rPr>
          <w:rFonts w:ascii="Times New Roman" w:hAnsi="Times New Roman" w:cs="Times New Roman" w:eastAsia="Times New Roman" w:hint="default"/>
        </w:rPr>
        <w:t>10</w:t>
      </w:r>
      <w:r>
        <w:rPr/>
        <w:t>股派发现金红利</w:t>
      </w:r>
    </w:p>
    <w:p>
      <w:pPr>
        <w:spacing w:line="240" w:lineRule="auto" w:before="9"/>
        <w:rPr>
          <w:rFonts w:ascii="宋体" w:hAnsi="宋体" w:cs="宋体" w:eastAsia="宋体" w:hint="default"/>
          <w:sz w:val="16"/>
          <w:szCs w:val="16"/>
        </w:rPr>
      </w:pPr>
    </w:p>
    <w:p>
      <w:pPr>
        <w:pStyle w:val="BodyText"/>
        <w:spacing w:line="240" w:lineRule="auto"/>
        <w:ind w:left="134" w:right="1032"/>
        <w:jc w:val="left"/>
      </w:pPr>
      <w:r>
        <w:rPr>
          <w:rFonts w:ascii="Times New Roman" w:hAnsi="Times New Roman" w:cs="Times New Roman" w:eastAsia="Times New Roman" w:hint="default"/>
        </w:rPr>
        <w:t>0.26</w:t>
      </w:r>
      <w:r>
        <w:rPr/>
        <w:t>元（含税），共分配现金红利</w:t>
      </w:r>
      <w:r>
        <w:rPr>
          <w:rFonts w:ascii="Times New Roman" w:hAnsi="Times New Roman" w:cs="Times New Roman" w:eastAsia="Times New Roman" w:hint="default"/>
        </w:rPr>
        <w:t>50,988,391.58</w:t>
      </w:r>
      <w:r>
        <w:rPr/>
        <w:t>元（含税），送红股</w:t>
      </w:r>
      <w:r>
        <w:rPr>
          <w:rFonts w:ascii="Times New Roman" w:hAnsi="Times New Roman" w:cs="Times New Roman" w:eastAsia="Times New Roman" w:hint="default"/>
        </w:rPr>
        <w:t>0</w:t>
      </w:r>
      <w:r>
        <w:rPr/>
        <w:t>股（含税）。</w:t>
      </w:r>
    </w:p>
    <w:p>
      <w:pPr>
        <w:spacing w:line="240" w:lineRule="auto" w:before="9"/>
        <w:rPr>
          <w:rFonts w:ascii="宋体" w:hAnsi="宋体" w:cs="宋体" w:eastAsia="宋体" w:hint="default"/>
          <w:sz w:val="16"/>
          <w:szCs w:val="16"/>
        </w:rPr>
      </w:pPr>
    </w:p>
    <w:p>
      <w:pPr>
        <w:pStyle w:val="BodyText"/>
        <w:spacing w:line="451" w:lineRule="auto"/>
        <w:ind w:left="134" w:right="1032" w:firstLine="360"/>
        <w:jc w:val="left"/>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2017</w:t>
      </w:r>
      <w:r>
        <w:rPr/>
        <w:t>年度利润分配方案为：以公司</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日总股本</w:t>
      </w:r>
      <w:r>
        <w:rPr>
          <w:rFonts w:ascii="Times New Roman" w:hAnsi="Times New Roman" w:cs="Times New Roman" w:eastAsia="Times New Roman" w:hint="default"/>
        </w:rPr>
        <w:t>1,961,091,984</w:t>
      </w:r>
      <w:r>
        <w:rPr/>
        <w:t>股为基数，向全体股东每</w:t>
      </w:r>
      <w:r>
        <w:rPr>
          <w:rFonts w:ascii="Times New Roman" w:hAnsi="Times New Roman" w:cs="Times New Roman" w:eastAsia="Times New Roman" w:hint="default"/>
        </w:rPr>
        <w:t>10</w:t>
      </w:r>
      <w:r>
        <w:rPr/>
        <w:t>股派发现金红</w:t>
      </w:r>
      <w:r>
        <w:rPr>
          <w:spacing w:val="1"/>
        </w:rPr>
        <w:t> </w:t>
      </w:r>
      <w:r>
        <w:rPr/>
        <w:t>利</w:t>
      </w:r>
      <w:r>
        <w:rPr>
          <w:rFonts w:ascii="Times New Roman" w:hAnsi="Times New Roman" w:cs="Times New Roman" w:eastAsia="Times New Roman" w:hint="default"/>
        </w:rPr>
        <w:t>0.07</w:t>
      </w:r>
      <w:r>
        <w:rPr/>
        <w:t>元（含税）。共分配现金红利</w:t>
      </w:r>
      <w:r>
        <w:rPr>
          <w:rFonts w:ascii="Times New Roman" w:hAnsi="Times New Roman" w:cs="Times New Roman" w:eastAsia="Times New Roman" w:hint="default"/>
        </w:rPr>
        <w:t>13,727,643.89</w:t>
      </w:r>
      <w:r>
        <w:rPr/>
        <w:t>元（含税），送红股</w:t>
      </w:r>
      <w:r>
        <w:rPr>
          <w:rFonts w:ascii="Times New Roman" w:hAnsi="Times New Roman" w:cs="Times New Roman" w:eastAsia="Times New Roman" w:hint="default"/>
        </w:rPr>
        <w:t>0</w:t>
      </w:r>
      <w:r>
        <w:rPr/>
        <w:t>股（含税）。</w:t>
      </w:r>
    </w:p>
    <w:p>
      <w:pPr>
        <w:pStyle w:val="BodyText"/>
        <w:spacing w:line="451" w:lineRule="auto" w:before="43"/>
        <w:ind w:left="134" w:right="1032" w:firstLine="360"/>
        <w:jc w:val="left"/>
      </w:pPr>
      <w:r>
        <w:rPr/>
        <w:t>（</w:t>
      </w:r>
      <w:r>
        <w:rPr>
          <w:rFonts w:ascii="Times New Roman" w:hAnsi="Times New Roman" w:cs="Times New Roman" w:eastAsia="Times New Roman" w:hint="default"/>
        </w:rPr>
        <w:t>3</w:t>
      </w:r>
      <w:r>
        <w:rPr/>
        <w:t>）</w:t>
      </w:r>
      <w:r>
        <w:rPr>
          <w:rFonts w:ascii="Times New Roman" w:hAnsi="Times New Roman" w:cs="Times New Roman" w:eastAsia="Times New Roman" w:hint="default"/>
        </w:rPr>
        <w:t>2018</w:t>
      </w:r>
      <w:r>
        <w:rPr/>
        <w:t>年度利润分配方案为：以公司</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日总股本</w:t>
      </w:r>
      <w:r>
        <w:rPr>
          <w:rFonts w:ascii="Times New Roman" w:hAnsi="Times New Roman" w:cs="Times New Roman" w:eastAsia="Times New Roman" w:hint="default"/>
        </w:rPr>
        <w:t>1,961,091,984</w:t>
      </w:r>
      <w:r>
        <w:rPr/>
        <w:t>股为基数，向全体股东每</w:t>
      </w:r>
      <w:r>
        <w:rPr>
          <w:rFonts w:ascii="Times New Roman" w:hAnsi="Times New Roman" w:cs="Times New Roman" w:eastAsia="Times New Roman" w:hint="default"/>
        </w:rPr>
        <w:t>10</w:t>
      </w:r>
      <w:r>
        <w:rPr/>
        <w:t>股派发现金红</w:t>
      </w:r>
      <w:r>
        <w:rPr>
          <w:spacing w:val="1"/>
        </w:rPr>
        <w:t> </w:t>
      </w:r>
      <w:r>
        <w:rPr/>
        <w:t>利</w:t>
      </w:r>
      <w:r>
        <w:rPr>
          <w:rFonts w:ascii="Times New Roman" w:hAnsi="Times New Roman" w:cs="Times New Roman" w:eastAsia="Times New Roman" w:hint="default"/>
        </w:rPr>
        <w:t>0.00</w:t>
      </w:r>
      <w:r>
        <w:rPr/>
        <w:t>元（含税），送红股</w:t>
      </w:r>
      <w:r>
        <w:rPr>
          <w:rFonts w:ascii="Times New Roman" w:hAnsi="Times New Roman" w:cs="Times New Roman" w:eastAsia="Times New Roman" w:hint="default"/>
        </w:rPr>
        <w:t>0</w:t>
      </w:r>
      <w:r>
        <w:rPr/>
        <w:t>股（含税），以资本公积金向全体股东每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0</w:t>
      </w:r>
      <w:r>
        <w:rPr/>
        <w:t>股。</w:t>
      </w:r>
    </w:p>
    <w:p>
      <w:pPr>
        <w:pStyle w:val="Heading5"/>
        <w:spacing w:line="240" w:lineRule="auto" w:before="43"/>
        <w:ind w:left="495" w:right="1032"/>
        <w:jc w:val="left"/>
        <w:rPr>
          <w:b w:val="0"/>
          <w:bCs w:val="0"/>
        </w:rPr>
      </w:pPr>
      <w:r>
        <w:rPr/>
        <w:t>公司近三年（包括本报告期）普通股现金分红情况表</w:t>
      </w:r>
      <w:r>
        <w:rPr>
          <w:b w:val="0"/>
          <w:bCs w:val="0"/>
        </w:rPr>
      </w:r>
    </w:p>
    <w:p>
      <w:pPr>
        <w:spacing w:line="240" w:lineRule="auto" w:before="10"/>
        <w:rPr>
          <w:rFonts w:ascii="宋体" w:hAnsi="宋体" w:cs="宋体" w:eastAsia="宋体" w:hint="default"/>
          <w:b/>
          <w:bCs/>
          <w:sz w:val="17"/>
          <w:szCs w:val="17"/>
        </w:rPr>
      </w:pPr>
    </w:p>
    <w:p>
      <w:pPr>
        <w:pStyle w:val="BodyText"/>
        <w:spacing w:line="240" w:lineRule="auto"/>
        <w:ind w:left="0" w:right="1130"/>
        <w:jc w:val="right"/>
      </w:pPr>
      <w:r>
        <w:rPr/>
        <w:t>单位：元</w:t>
      </w:r>
    </w:p>
    <w:p>
      <w:pPr>
        <w:spacing w:line="240" w:lineRule="auto" w:before="13"/>
        <w:rPr>
          <w:rFonts w:ascii="宋体" w:hAnsi="宋体" w:cs="宋体" w:eastAsia="宋体" w:hint="default"/>
          <w:sz w:val="10"/>
          <w:szCs w:val="10"/>
        </w:rPr>
      </w:pPr>
    </w:p>
    <w:tbl>
      <w:tblPr>
        <w:tblW w:w="0" w:type="auto"/>
        <w:jc w:val="left"/>
        <w:tblInd w:w="113" w:type="dxa"/>
        <w:tblLayout w:type="fixed"/>
        <w:tblCellMar>
          <w:top w:w="0" w:type="dxa"/>
          <w:left w:w="0" w:type="dxa"/>
          <w:bottom w:w="0" w:type="dxa"/>
          <w:right w:w="0" w:type="dxa"/>
        </w:tblCellMar>
        <w:tblLook w:val="01E0"/>
      </w:tblPr>
      <w:tblGrid>
        <w:gridCol w:w="1201"/>
        <w:gridCol w:w="1210"/>
        <w:gridCol w:w="1212"/>
        <w:gridCol w:w="1212"/>
        <w:gridCol w:w="1212"/>
        <w:gridCol w:w="1201"/>
        <w:gridCol w:w="1223"/>
        <w:gridCol w:w="1201"/>
      </w:tblGrid>
      <w:tr>
        <w:trPr>
          <w:trHeight w:val="162" w:hRule="exact"/>
        </w:trPr>
        <w:tc>
          <w:tcPr>
            <w:tcW w:w="1201" w:type="dxa"/>
            <w:vMerge w:val="restart"/>
            <w:tcBorders>
              <w:top w:val="single" w:sz="4" w:space="0" w:color="000000"/>
              <w:left w:val="single" w:sz="4" w:space="0" w:color="000000"/>
              <w:right w:val="single" w:sz="4" w:space="0" w:color="000000"/>
            </w:tcBorders>
            <w:shd w:val="clear" w:color="auto" w:fill="D2D2D2"/>
          </w:tcPr>
          <w:p>
            <w:pPr/>
          </w:p>
        </w:tc>
        <w:tc>
          <w:tcPr>
            <w:tcW w:w="1210" w:type="dxa"/>
            <w:vMerge w:val="restart"/>
            <w:tcBorders>
              <w:top w:val="single" w:sz="4" w:space="0" w:color="000000"/>
              <w:left w:val="single" w:sz="4" w:space="0" w:color="000000"/>
              <w:right w:val="single" w:sz="4" w:space="0" w:color="000000"/>
            </w:tcBorders>
            <w:shd w:val="clear" w:color="auto" w:fill="D2D2D2"/>
          </w:tcPr>
          <w:p>
            <w:pPr/>
          </w:p>
        </w:tc>
        <w:tc>
          <w:tcPr>
            <w:tcW w:w="1212" w:type="dxa"/>
            <w:vMerge w:val="restart"/>
            <w:tcBorders>
              <w:top w:val="single" w:sz="4" w:space="0" w:color="000000"/>
              <w:left w:val="single" w:sz="4" w:space="0" w:color="000000"/>
              <w:right w:val="single" w:sz="4" w:space="0" w:color="000000"/>
            </w:tcBorders>
            <w:shd w:val="clear" w:color="auto" w:fill="D2D2D2"/>
          </w:tcPr>
          <w:p>
            <w:pPr/>
          </w:p>
        </w:tc>
        <w:tc>
          <w:tcPr>
            <w:tcW w:w="12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212" w:type="dxa"/>
            <w:vMerge w:val="restart"/>
            <w:tcBorders>
              <w:top w:val="single" w:sz="4" w:space="0" w:color="000000"/>
              <w:left w:val="single" w:sz="4" w:space="0" w:color="000000"/>
              <w:right w:val="single" w:sz="4" w:space="0" w:color="000000"/>
            </w:tcBorders>
            <w:shd w:val="clear" w:color="auto" w:fill="D2D2D2"/>
          </w:tcPr>
          <w:p>
            <w:pPr/>
          </w:p>
        </w:tc>
        <w:tc>
          <w:tcPr>
            <w:tcW w:w="1201" w:type="dxa"/>
            <w:tcBorders>
              <w:top w:val="single" w:sz="4" w:space="0" w:color="000000"/>
              <w:left w:val="single" w:sz="4" w:space="0" w:color="000000"/>
              <w:bottom w:val="nil" w:sz="6" w:space="0" w:color="auto"/>
              <w:right w:val="single" w:sz="4" w:space="0" w:color="000000"/>
            </w:tcBorders>
            <w:shd w:val="clear" w:color="auto" w:fill="D2D2D2"/>
          </w:tcPr>
          <w:p>
            <w:pPr/>
          </w:p>
        </w:tc>
        <w:tc>
          <w:tcPr>
            <w:tcW w:w="1223" w:type="dxa"/>
            <w:vMerge w:val="restart"/>
            <w:tcBorders>
              <w:top w:val="single" w:sz="4" w:space="0" w:color="000000"/>
              <w:left w:val="single" w:sz="4" w:space="0" w:color="000000"/>
              <w:right w:val="single" w:sz="4" w:space="0" w:color="000000"/>
            </w:tcBorders>
            <w:shd w:val="clear" w:color="auto" w:fill="D2D2D2"/>
          </w:tcPr>
          <w:p>
            <w:pPr/>
          </w:p>
        </w:tc>
        <w:tc>
          <w:tcPr>
            <w:tcW w:w="120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319" w:lineRule="auto" w:before="75"/>
              <w:ind w:left="60" w:right="50"/>
              <w:jc w:val="center"/>
              <w:rPr>
                <w:rFonts w:ascii="宋体" w:hAnsi="宋体" w:cs="宋体" w:eastAsia="宋体" w:hint="default"/>
                <w:sz w:val="18"/>
                <w:szCs w:val="18"/>
              </w:rPr>
            </w:pPr>
            <w:r>
              <w:rPr>
                <w:rFonts w:ascii="宋体" w:hAnsi="宋体" w:cs="宋体" w:eastAsia="宋体" w:hint="default"/>
                <w:sz w:val="18"/>
                <w:szCs w:val="18"/>
              </w:rPr>
              <w:t>（含其他方 式）占合并报 表中归属于上 市公司普通股 股东的净利润 的比率</w:t>
            </w:r>
          </w:p>
        </w:tc>
      </w:tr>
      <w:tr>
        <w:trPr>
          <w:trHeight w:val="156" w:hRule="exact"/>
        </w:trPr>
        <w:tc>
          <w:tcPr>
            <w:tcW w:w="1201" w:type="dxa"/>
            <w:vMerge/>
            <w:tcBorders>
              <w:left w:val="single" w:sz="4" w:space="0" w:color="000000"/>
              <w:right w:val="single" w:sz="4" w:space="0" w:color="000000"/>
            </w:tcBorders>
            <w:shd w:val="clear" w:color="auto" w:fill="D2D2D2"/>
          </w:tcPr>
          <w:p>
            <w:pPr/>
          </w:p>
        </w:tc>
        <w:tc>
          <w:tcPr>
            <w:tcW w:w="1210"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bottom w:val="nil" w:sz="6" w:space="0" w:color="auto"/>
              <w:right w:val="single" w:sz="4" w:space="0" w:color="000000"/>
            </w:tcBorders>
            <w:shd w:val="clear" w:color="auto" w:fill="D2D2D2"/>
          </w:tcPr>
          <w:p>
            <w:pPr/>
          </w:p>
        </w:tc>
        <w:tc>
          <w:tcPr>
            <w:tcW w:w="1212"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60" w:right="60"/>
              <w:jc w:val="center"/>
              <w:rPr>
                <w:rFonts w:ascii="宋体" w:hAnsi="宋体" w:cs="宋体" w:eastAsia="宋体" w:hint="default"/>
                <w:sz w:val="18"/>
                <w:szCs w:val="18"/>
              </w:rPr>
            </w:pPr>
            <w:r>
              <w:rPr>
                <w:rFonts w:ascii="宋体" w:hAnsi="宋体" w:cs="宋体" w:eastAsia="宋体" w:hint="default"/>
                <w:sz w:val="18"/>
                <w:szCs w:val="18"/>
              </w:rPr>
              <w:t>现金分红金额 占合并报表中 归属于上市公 司普通股股东 的净利润的比 率</w:t>
            </w:r>
          </w:p>
        </w:tc>
        <w:tc>
          <w:tcPr>
            <w:tcW w:w="1212" w:type="dxa"/>
            <w:vMerge/>
            <w:tcBorders>
              <w:left w:val="single" w:sz="4" w:space="0" w:color="000000"/>
              <w:right w:val="single" w:sz="4" w:space="0" w:color="000000"/>
            </w:tcBorders>
            <w:shd w:val="clear" w:color="auto" w:fill="D2D2D2"/>
          </w:tcPr>
          <w:p>
            <w:pPr/>
          </w:p>
        </w:tc>
        <w:tc>
          <w:tcPr>
            <w:tcW w:w="1201"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60" w:right="49"/>
              <w:jc w:val="both"/>
              <w:rPr>
                <w:rFonts w:ascii="宋体" w:hAnsi="宋体" w:cs="宋体" w:eastAsia="宋体" w:hint="default"/>
                <w:sz w:val="18"/>
                <w:szCs w:val="18"/>
              </w:rPr>
            </w:pPr>
            <w:r>
              <w:rPr>
                <w:rFonts w:ascii="宋体" w:hAnsi="宋体" w:cs="宋体" w:eastAsia="宋体" w:hint="default"/>
                <w:sz w:val="18"/>
                <w:szCs w:val="18"/>
              </w:rPr>
              <w:t>以其他方式现 金分红金额占 合并报表中归 属于上市公司 普通股股东的 净利润的比例</w:t>
            </w:r>
          </w:p>
        </w:tc>
        <w:tc>
          <w:tcPr>
            <w:tcW w:w="1223" w:type="dxa"/>
            <w:vMerge/>
            <w:tcBorders>
              <w:left w:val="single" w:sz="4" w:space="0" w:color="000000"/>
              <w:right w:val="single" w:sz="4" w:space="0" w:color="000000"/>
            </w:tcBorders>
            <w:shd w:val="clear" w:color="auto" w:fill="D2D2D2"/>
          </w:tcPr>
          <w:p>
            <w:pPr/>
          </w:p>
        </w:tc>
        <w:tc>
          <w:tcPr>
            <w:tcW w:w="1201" w:type="dxa"/>
            <w:vMerge/>
            <w:tcBorders>
              <w:left w:val="single" w:sz="4" w:space="0" w:color="000000"/>
              <w:right w:val="single" w:sz="4" w:space="0" w:color="000000"/>
            </w:tcBorders>
            <w:shd w:val="clear" w:color="auto" w:fill="D2D2D2"/>
          </w:tcPr>
          <w:p>
            <w:pPr/>
          </w:p>
        </w:tc>
      </w:tr>
      <w:tr>
        <w:trPr>
          <w:trHeight w:val="156" w:hRule="exact"/>
        </w:trPr>
        <w:tc>
          <w:tcPr>
            <w:tcW w:w="1201" w:type="dxa"/>
            <w:vMerge/>
            <w:tcBorders>
              <w:left w:val="single" w:sz="4" w:space="0" w:color="000000"/>
              <w:right w:val="single" w:sz="4" w:space="0" w:color="000000"/>
            </w:tcBorders>
            <w:shd w:val="clear" w:color="auto" w:fill="D2D2D2"/>
          </w:tcPr>
          <w:p>
            <w:pPr/>
          </w:p>
        </w:tc>
        <w:tc>
          <w:tcPr>
            <w:tcW w:w="1210" w:type="dxa"/>
            <w:vMerge/>
            <w:tcBorders>
              <w:left w:val="single" w:sz="4" w:space="0" w:color="000000"/>
              <w:right w:val="single" w:sz="4" w:space="0" w:color="000000"/>
            </w:tcBorders>
            <w:shd w:val="clear" w:color="auto" w:fill="D2D2D2"/>
          </w:tcPr>
          <w:p>
            <w:pPr/>
          </w:p>
        </w:tc>
        <w:tc>
          <w:tcPr>
            <w:tcW w:w="1212"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9" w:right="60"/>
              <w:jc w:val="center"/>
              <w:rPr>
                <w:rFonts w:ascii="宋体" w:hAnsi="宋体" w:cs="宋体" w:eastAsia="宋体" w:hint="default"/>
                <w:sz w:val="18"/>
                <w:szCs w:val="18"/>
              </w:rPr>
            </w:pPr>
            <w:r>
              <w:rPr>
                <w:rFonts w:ascii="宋体" w:hAnsi="宋体" w:cs="宋体" w:eastAsia="宋体" w:hint="default"/>
                <w:sz w:val="18"/>
                <w:szCs w:val="18"/>
              </w:rPr>
              <w:t>分红年度合并 报表中归属于 上市公司普通 股股东的净利 润</w:t>
            </w:r>
          </w:p>
        </w:tc>
        <w:tc>
          <w:tcPr>
            <w:tcW w:w="1212"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bottom w:val="nil" w:sz="6" w:space="0" w:color="auto"/>
              <w:right w:val="single" w:sz="4" w:space="0" w:color="000000"/>
            </w:tcBorders>
            <w:shd w:val="clear" w:color="auto" w:fill="D2D2D2"/>
          </w:tcPr>
          <w:p>
            <w:pPr/>
          </w:p>
        </w:tc>
        <w:tc>
          <w:tcPr>
            <w:tcW w:w="1201" w:type="dxa"/>
            <w:vMerge/>
            <w:tcBorders>
              <w:left w:val="single" w:sz="4" w:space="0" w:color="000000"/>
              <w:right w:val="single" w:sz="4" w:space="0" w:color="000000"/>
            </w:tcBorders>
            <w:shd w:val="clear" w:color="auto" w:fill="D2D2D2"/>
          </w:tcPr>
          <w:p>
            <w:pPr/>
          </w:p>
        </w:tc>
        <w:tc>
          <w:tcPr>
            <w:tcW w:w="1223" w:type="dxa"/>
            <w:vMerge/>
            <w:tcBorders>
              <w:left w:val="single" w:sz="4" w:space="0" w:color="000000"/>
              <w:right w:val="single" w:sz="4" w:space="0" w:color="000000"/>
            </w:tcBorders>
            <w:shd w:val="clear" w:color="auto" w:fill="D2D2D2"/>
          </w:tcPr>
          <w:p>
            <w:pPr/>
          </w:p>
        </w:tc>
        <w:tc>
          <w:tcPr>
            <w:tcW w:w="1201" w:type="dxa"/>
            <w:vMerge/>
            <w:tcBorders>
              <w:left w:val="single" w:sz="4" w:space="0" w:color="000000"/>
              <w:right w:val="single" w:sz="4" w:space="0" w:color="000000"/>
            </w:tcBorders>
            <w:shd w:val="clear" w:color="auto" w:fill="D2D2D2"/>
          </w:tcPr>
          <w:p>
            <w:pPr/>
          </w:p>
        </w:tc>
      </w:tr>
      <w:tr>
        <w:trPr>
          <w:trHeight w:val="156" w:hRule="exact"/>
        </w:trPr>
        <w:tc>
          <w:tcPr>
            <w:tcW w:w="1201" w:type="dxa"/>
            <w:vMerge/>
            <w:tcBorders>
              <w:left w:val="single" w:sz="4" w:space="0" w:color="000000"/>
              <w:right w:val="single" w:sz="4" w:space="0" w:color="000000"/>
            </w:tcBorders>
            <w:shd w:val="clear" w:color="auto" w:fill="D2D2D2"/>
          </w:tcPr>
          <w:p>
            <w:pPr/>
          </w:p>
        </w:tc>
        <w:tc>
          <w:tcPr>
            <w:tcW w:w="1210"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21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以其他方式</w:t>
            </w:r>
          </w:p>
          <w:p>
            <w:pPr>
              <w:pStyle w:val="TableParagraph"/>
              <w:spacing w:line="319" w:lineRule="auto" w:before="75"/>
              <w:ind w:left="59" w:right="60"/>
              <w:jc w:val="center"/>
              <w:rPr>
                <w:rFonts w:ascii="宋体" w:hAnsi="宋体" w:cs="宋体" w:eastAsia="宋体" w:hint="default"/>
                <w:sz w:val="18"/>
                <w:szCs w:val="18"/>
              </w:rPr>
            </w:pPr>
            <w:r>
              <w:rPr>
                <w:rFonts w:ascii="宋体" w:hAnsi="宋体" w:cs="宋体" w:eastAsia="宋体" w:hint="default"/>
                <w:sz w:val="18"/>
                <w:szCs w:val="18"/>
              </w:rPr>
              <w:t>（如回购股 份）现金分红 的金额</w:t>
            </w:r>
          </w:p>
        </w:tc>
        <w:tc>
          <w:tcPr>
            <w:tcW w:w="1201" w:type="dxa"/>
            <w:vMerge/>
            <w:tcBorders>
              <w:left w:val="single" w:sz="4" w:space="0" w:color="000000"/>
              <w:right w:val="single" w:sz="4" w:space="0" w:color="000000"/>
            </w:tcBorders>
            <w:shd w:val="clear" w:color="auto" w:fill="D2D2D2"/>
          </w:tcPr>
          <w:p>
            <w:pPr/>
          </w:p>
        </w:tc>
        <w:tc>
          <w:tcPr>
            <w:tcW w:w="1223" w:type="dxa"/>
            <w:vMerge/>
            <w:tcBorders>
              <w:left w:val="single" w:sz="4" w:space="0" w:color="000000"/>
              <w:bottom w:val="nil" w:sz="6" w:space="0" w:color="auto"/>
              <w:right w:val="single" w:sz="4" w:space="0" w:color="000000"/>
            </w:tcBorders>
            <w:shd w:val="clear" w:color="auto" w:fill="D2D2D2"/>
          </w:tcPr>
          <w:p>
            <w:pPr/>
          </w:p>
        </w:tc>
        <w:tc>
          <w:tcPr>
            <w:tcW w:w="1201" w:type="dxa"/>
            <w:vMerge/>
            <w:tcBorders>
              <w:left w:val="single" w:sz="4" w:space="0" w:color="000000"/>
              <w:right w:val="single" w:sz="4" w:space="0" w:color="000000"/>
            </w:tcBorders>
            <w:shd w:val="clear" w:color="auto" w:fill="D2D2D2"/>
          </w:tcPr>
          <w:p>
            <w:pPr/>
          </w:p>
        </w:tc>
      </w:tr>
      <w:tr>
        <w:trPr>
          <w:trHeight w:val="156" w:hRule="exact"/>
        </w:trPr>
        <w:tc>
          <w:tcPr>
            <w:tcW w:w="1201" w:type="dxa"/>
            <w:vMerge/>
            <w:tcBorders>
              <w:left w:val="single" w:sz="4" w:space="0" w:color="000000"/>
              <w:right w:val="single" w:sz="4" w:space="0" w:color="000000"/>
            </w:tcBorders>
            <w:shd w:val="clear" w:color="auto" w:fill="D2D2D2"/>
          </w:tcPr>
          <w:p>
            <w:pPr/>
          </w:p>
        </w:tc>
        <w:tc>
          <w:tcPr>
            <w:tcW w:w="1210" w:type="dxa"/>
            <w:vMerge/>
            <w:tcBorders>
              <w:left w:val="single" w:sz="4" w:space="0" w:color="000000"/>
              <w:bottom w:val="nil" w:sz="6" w:space="0" w:color="auto"/>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201" w:type="dxa"/>
            <w:vMerge/>
            <w:tcBorders>
              <w:left w:val="single" w:sz="4" w:space="0" w:color="000000"/>
              <w:right w:val="single" w:sz="4" w:space="0" w:color="000000"/>
            </w:tcBorders>
            <w:shd w:val="clear" w:color="auto" w:fill="D2D2D2"/>
          </w:tcPr>
          <w:p>
            <w:pPr/>
          </w:p>
        </w:tc>
        <w:tc>
          <w:tcPr>
            <w:tcW w:w="122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71" w:right="0"/>
              <w:jc w:val="left"/>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319" w:lineRule="auto" w:before="75"/>
              <w:ind w:left="431" w:right="150" w:hanging="270"/>
              <w:jc w:val="left"/>
              <w:rPr>
                <w:rFonts w:ascii="宋体" w:hAnsi="宋体" w:cs="宋体" w:eastAsia="宋体" w:hint="default"/>
                <w:sz w:val="18"/>
                <w:szCs w:val="18"/>
              </w:rPr>
            </w:pPr>
            <w:r>
              <w:rPr>
                <w:rFonts w:ascii="宋体" w:hAnsi="宋体" w:cs="宋体" w:eastAsia="宋体" w:hint="default"/>
                <w:sz w:val="18"/>
                <w:szCs w:val="18"/>
              </w:rPr>
              <w:t>（含其他方 式）</w:t>
            </w:r>
          </w:p>
        </w:tc>
        <w:tc>
          <w:tcPr>
            <w:tcW w:w="1201" w:type="dxa"/>
            <w:vMerge/>
            <w:tcBorders>
              <w:left w:val="single" w:sz="4" w:space="0" w:color="000000"/>
              <w:right w:val="single" w:sz="4" w:space="0" w:color="000000"/>
            </w:tcBorders>
            <w:shd w:val="clear" w:color="auto" w:fill="D2D2D2"/>
          </w:tcPr>
          <w:p>
            <w:pPr/>
          </w:p>
        </w:tc>
      </w:tr>
      <w:tr>
        <w:trPr>
          <w:trHeight w:val="156" w:hRule="exact"/>
        </w:trPr>
        <w:tc>
          <w:tcPr>
            <w:tcW w:w="1201" w:type="dxa"/>
            <w:vMerge/>
            <w:tcBorders>
              <w:left w:val="single" w:sz="4" w:space="0" w:color="000000"/>
              <w:bottom w:val="nil" w:sz="6" w:space="0" w:color="auto"/>
              <w:right w:val="single" w:sz="4" w:space="0" w:color="000000"/>
            </w:tcBorders>
            <w:shd w:val="clear" w:color="auto" w:fill="D2D2D2"/>
          </w:tcPr>
          <w:p>
            <w:pPr/>
          </w:p>
        </w:tc>
        <w:tc>
          <w:tcPr>
            <w:tcW w:w="121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现金分红金额</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（含税）</w:t>
            </w:r>
          </w:p>
        </w:tc>
        <w:tc>
          <w:tcPr>
            <w:tcW w:w="1212"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201" w:type="dxa"/>
            <w:vMerge/>
            <w:tcBorders>
              <w:left w:val="single" w:sz="4" w:space="0" w:color="000000"/>
              <w:right w:val="single" w:sz="4" w:space="0" w:color="000000"/>
            </w:tcBorders>
            <w:shd w:val="clear" w:color="auto" w:fill="D2D2D2"/>
          </w:tcPr>
          <w:p>
            <w:pPr/>
          </w:p>
        </w:tc>
        <w:tc>
          <w:tcPr>
            <w:tcW w:w="1223" w:type="dxa"/>
            <w:vMerge/>
            <w:tcBorders>
              <w:left w:val="single" w:sz="4" w:space="0" w:color="000000"/>
              <w:right w:val="single" w:sz="4" w:space="0" w:color="000000"/>
            </w:tcBorders>
            <w:shd w:val="clear" w:color="auto" w:fill="D2D2D2"/>
          </w:tcPr>
          <w:p>
            <w:pPr/>
          </w:p>
        </w:tc>
        <w:tc>
          <w:tcPr>
            <w:tcW w:w="1201" w:type="dxa"/>
            <w:vMerge/>
            <w:tcBorders>
              <w:left w:val="single" w:sz="4" w:space="0" w:color="000000"/>
              <w:right w:val="single" w:sz="4" w:space="0" w:color="000000"/>
            </w:tcBorders>
            <w:shd w:val="clear" w:color="auto" w:fill="D2D2D2"/>
          </w:tcPr>
          <w:p>
            <w:pPr/>
          </w:p>
        </w:tc>
      </w:tr>
      <w:tr>
        <w:trPr>
          <w:trHeight w:val="391" w:hRule="exact"/>
        </w:trPr>
        <w:tc>
          <w:tcPr>
            <w:tcW w:w="120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8"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210"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201" w:type="dxa"/>
            <w:vMerge/>
            <w:tcBorders>
              <w:left w:val="single" w:sz="4" w:space="0" w:color="000000"/>
              <w:right w:val="single" w:sz="4" w:space="0" w:color="000000"/>
            </w:tcBorders>
            <w:shd w:val="clear" w:color="auto" w:fill="D2D2D2"/>
          </w:tcPr>
          <w:p>
            <w:pPr/>
          </w:p>
        </w:tc>
        <w:tc>
          <w:tcPr>
            <w:tcW w:w="1223" w:type="dxa"/>
            <w:vMerge/>
            <w:tcBorders>
              <w:left w:val="single" w:sz="4" w:space="0" w:color="000000"/>
              <w:right w:val="single" w:sz="4" w:space="0" w:color="000000"/>
            </w:tcBorders>
            <w:shd w:val="clear" w:color="auto" w:fill="D2D2D2"/>
          </w:tcPr>
          <w:p>
            <w:pPr/>
          </w:p>
        </w:tc>
        <w:tc>
          <w:tcPr>
            <w:tcW w:w="1201" w:type="dxa"/>
            <w:vMerge/>
            <w:tcBorders>
              <w:left w:val="single" w:sz="4" w:space="0" w:color="000000"/>
              <w:right w:val="single" w:sz="4" w:space="0" w:color="000000"/>
            </w:tcBorders>
            <w:shd w:val="clear" w:color="auto" w:fill="D2D2D2"/>
          </w:tcPr>
          <w:p>
            <w:pPr/>
          </w:p>
        </w:tc>
      </w:tr>
      <w:tr>
        <w:trPr>
          <w:trHeight w:val="156" w:hRule="exact"/>
        </w:trPr>
        <w:tc>
          <w:tcPr>
            <w:tcW w:w="1201" w:type="dxa"/>
            <w:vMerge w:val="restart"/>
            <w:tcBorders>
              <w:top w:val="nil" w:sz="6" w:space="0" w:color="auto"/>
              <w:left w:val="single" w:sz="4" w:space="0" w:color="000000"/>
              <w:right w:val="single" w:sz="4" w:space="0" w:color="000000"/>
            </w:tcBorders>
            <w:shd w:val="clear" w:color="auto" w:fill="D2D2D2"/>
          </w:tcPr>
          <w:p>
            <w:pPr/>
          </w:p>
        </w:tc>
        <w:tc>
          <w:tcPr>
            <w:tcW w:w="1210" w:type="dxa"/>
            <w:vMerge/>
            <w:tcBorders>
              <w:left w:val="single" w:sz="4" w:space="0" w:color="000000"/>
              <w:bottom w:val="nil" w:sz="6" w:space="0" w:color="auto"/>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201" w:type="dxa"/>
            <w:vMerge/>
            <w:tcBorders>
              <w:left w:val="single" w:sz="4" w:space="0" w:color="000000"/>
              <w:right w:val="single" w:sz="4" w:space="0" w:color="000000"/>
            </w:tcBorders>
            <w:shd w:val="clear" w:color="auto" w:fill="D2D2D2"/>
          </w:tcPr>
          <w:p>
            <w:pPr/>
          </w:p>
        </w:tc>
        <w:tc>
          <w:tcPr>
            <w:tcW w:w="1223" w:type="dxa"/>
            <w:vMerge/>
            <w:tcBorders>
              <w:left w:val="single" w:sz="4" w:space="0" w:color="000000"/>
              <w:right w:val="single" w:sz="4" w:space="0" w:color="000000"/>
            </w:tcBorders>
            <w:shd w:val="clear" w:color="auto" w:fill="D2D2D2"/>
          </w:tcPr>
          <w:p>
            <w:pPr/>
          </w:p>
        </w:tc>
        <w:tc>
          <w:tcPr>
            <w:tcW w:w="1201" w:type="dxa"/>
            <w:vMerge/>
            <w:tcBorders>
              <w:left w:val="single" w:sz="4" w:space="0" w:color="000000"/>
              <w:right w:val="single" w:sz="4" w:space="0" w:color="000000"/>
            </w:tcBorders>
            <w:shd w:val="clear" w:color="auto" w:fill="D2D2D2"/>
          </w:tcPr>
          <w:p>
            <w:pPr/>
          </w:p>
        </w:tc>
      </w:tr>
      <w:tr>
        <w:trPr>
          <w:trHeight w:val="156" w:hRule="exact"/>
        </w:trPr>
        <w:tc>
          <w:tcPr>
            <w:tcW w:w="1201" w:type="dxa"/>
            <w:vMerge/>
            <w:tcBorders>
              <w:left w:val="single" w:sz="4" w:space="0" w:color="000000"/>
              <w:right w:val="single" w:sz="4" w:space="0" w:color="000000"/>
            </w:tcBorders>
            <w:shd w:val="clear" w:color="auto" w:fill="D2D2D2"/>
          </w:tcPr>
          <w:p>
            <w:pPr/>
          </w:p>
        </w:tc>
        <w:tc>
          <w:tcPr>
            <w:tcW w:w="1210" w:type="dxa"/>
            <w:vMerge w:val="restart"/>
            <w:tcBorders>
              <w:top w:val="nil" w:sz="6" w:space="0" w:color="auto"/>
              <w:left w:val="single" w:sz="4" w:space="0" w:color="000000"/>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201" w:type="dxa"/>
            <w:vMerge/>
            <w:tcBorders>
              <w:left w:val="single" w:sz="4" w:space="0" w:color="000000"/>
              <w:right w:val="single" w:sz="4" w:space="0" w:color="000000"/>
            </w:tcBorders>
            <w:shd w:val="clear" w:color="auto" w:fill="D2D2D2"/>
          </w:tcPr>
          <w:p>
            <w:pPr/>
          </w:p>
        </w:tc>
        <w:tc>
          <w:tcPr>
            <w:tcW w:w="1223" w:type="dxa"/>
            <w:vMerge/>
            <w:tcBorders>
              <w:left w:val="single" w:sz="4" w:space="0" w:color="000000"/>
              <w:bottom w:val="nil" w:sz="6" w:space="0" w:color="auto"/>
              <w:right w:val="single" w:sz="4" w:space="0" w:color="000000"/>
            </w:tcBorders>
            <w:shd w:val="clear" w:color="auto" w:fill="D2D2D2"/>
          </w:tcPr>
          <w:p>
            <w:pPr/>
          </w:p>
        </w:tc>
        <w:tc>
          <w:tcPr>
            <w:tcW w:w="1201" w:type="dxa"/>
            <w:vMerge/>
            <w:tcBorders>
              <w:left w:val="single" w:sz="4" w:space="0" w:color="000000"/>
              <w:right w:val="single" w:sz="4" w:space="0" w:color="000000"/>
            </w:tcBorders>
            <w:shd w:val="clear" w:color="auto" w:fill="D2D2D2"/>
          </w:tcPr>
          <w:p>
            <w:pPr/>
          </w:p>
        </w:tc>
      </w:tr>
      <w:tr>
        <w:trPr>
          <w:trHeight w:val="156" w:hRule="exact"/>
        </w:trPr>
        <w:tc>
          <w:tcPr>
            <w:tcW w:w="1201" w:type="dxa"/>
            <w:vMerge/>
            <w:tcBorders>
              <w:left w:val="single" w:sz="4" w:space="0" w:color="000000"/>
              <w:right w:val="single" w:sz="4" w:space="0" w:color="000000"/>
            </w:tcBorders>
            <w:shd w:val="clear" w:color="auto" w:fill="D2D2D2"/>
          </w:tcPr>
          <w:p>
            <w:pPr/>
          </w:p>
        </w:tc>
        <w:tc>
          <w:tcPr>
            <w:tcW w:w="1210"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bottom w:val="nil" w:sz="6" w:space="0" w:color="auto"/>
              <w:right w:val="single" w:sz="4" w:space="0" w:color="000000"/>
            </w:tcBorders>
            <w:shd w:val="clear" w:color="auto" w:fill="D2D2D2"/>
          </w:tcPr>
          <w:p>
            <w:pPr/>
          </w:p>
        </w:tc>
        <w:tc>
          <w:tcPr>
            <w:tcW w:w="1201" w:type="dxa"/>
            <w:vMerge/>
            <w:tcBorders>
              <w:left w:val="single" w:sz="4" w:space="0" w:color="000000"/>
              <w:right w:val="single" w:sz="4" w:space="0" w:color="000000"/>
            </w:tcBorders>
            <w:shd w:val="clear" w:color="auto" w:fill="D2D2D2"/>
          </w:tcPr>
          <w:p>
            <w:pPr/>
          </w:p>
        </w:tc>
        <w:tc>
          <w:tcPr>
            <w:tcW w:w="1223" w:type="dxa"/>
            <w:vMerge w:val="restart"/>
            <w:tcBorders>
              <w:top w:val="nil" w:sz="6" w:space="0" w:color="auto"/>
              <w:left w:val="single" w:sz="4" w:space="0" w:color="000000"/>
              <w:right w:val="single" w:sz="4" w:space="0" w:color="000000"/>
            </w:tcBorders>
            <w:shd w:val="clear" w:color="auto" w:fill="D2D2D2"/>
          </w:tcPr>
          <w:p>
            <w:pPr/>
          </w:p>
        </w:tc>
        <w:tc>
          <w:tcPr>
            <w:tcW w:w="1201" w:type="dxa"/>
            <w:vMerge/>
            <w:tcBorders>
              <w:left w:val="single" w:sz="4" w:space="0" w:color="000000"/>
              <w:right w:val="single" w:sz="4" w:space="0" w:color="000000"/>
            </w:tcBorders>
            <w:shd w:val="clear" w:color="auto" w:fill="D2D2D2"/>
          </w:tcPr>
          <w:p>
            <w:pPr/>
          </w:p>
        </w:tc>
      </w:tr>
      <w:tr>
        <w:trPr>
          <w:trHeight w:val="156" w:hRule="exact"/>
        </w:trPr>
        <w:tc>
          <w:tcPr>
            <w:tcW w:w="1201" w:type="dxa"/>
            <w:vMerge/>
            <w:tcBorders>
              <w:left w:val="single" w:sz="4" w:space="0" w:color="000000"/>
              <w:right w:val="single" w:sz="4" w:space="0" w:color="000000"/>
            </w:tcBorders>
            <w:shd w:val="clear" w:color="auto" w:fill="D2D2D2"/>
          </w:tcPr>
          <w:p>
            <w:pPr/>
          </w:p>
        </w:tc>
        <w:tc>
          <w:tcPr>
            <w:tcW w:w="1210"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bottom w:val="nil" w:sz="6" w:space="0" w:color="auto"/>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212" w:type="dxa"/>
            <w:vMerge w:val="restart"/>
            <w:tcBorders>
              <w:top w:val="nil" w:sz="6" w:space="0" w:color="auto"/>
              <w:left w:val="single" w:sz="4" w:space="0" w:color="000000"/>
              <w:right w:val="single" w:sz="4" w:space="0" w:color="000000"/>
            </w:tcBorders>
            <w:shd w:val="clear" w:color="auto" w:fill="D2D2D2"/>
          </w:tcPr>
          <w:p>
            <w:pPr/>
          </w:p>
        </w:tc>
        <w:tc>
          <w:tcPr>
            <w:tcW w:w="1201" w:type="dxa"/>
            <w:vMerge/>
            <w:tcBorders>
              <w:left w:val="single" w:sz="4" w:space="0" w:color="000000"/>
              <w:right w:val="single" w:sz="4" w:space="0" w:color="000000"/>
            </w:tcBorders>
            <w:shd w:val="clear" w:color="auto" w:fill="D2D2D2"/>
          </w:tcPr>
          <w:p>
            <w:pPr/>
          </w:p>
        </w:tc>
        <w:tc>
          <w:tcPr>
            <w:tcW w:w="1223" w:type="dxa"/>
            <w:vMerge/>
            <w:tcBorders>
              <w:left w:val="single" w:sz="4" w:space="0" w:color="000000"/>
              <w:right w:val="single" w:sz="4" w:space="0" w:color="000000"/>
            </w:tcBorders>
            <w:shd w:val="clear" w:color="auto" w:fill="D2D2D2"/>
          </w:tcPr>
          <w:p>
            <w:pPr/>
          </w:p>
        </w:tc>
        <w:tc>
          <w:tcPr>
            <w:tcW w:w="1201" w:type="dxa"/>
            <w:vMerge/>
            <w:tcBorders>
              <w:left w:val="single" w:sz="4" w:space="0" w:color="000000"/>
              <w:right w:val="single" w:sz="4" w:space="0" w:color="000000"/>
            </w:tcBorders>
            <w:shd w:val="clear" w:color="auto" w:fill="D2D2D2"/>
          </w:tcPr>
          <w:p>
            <w:pPr/>
          </w:p>
        </w:tc>
      </w:tr>
      <w:tr>
        <w:trPr>
          <w:trHeight w:val="156" w:hRule="exact"/>
        </w:trPr>
        <w:tc>
          <w:tcPr>
            <w:tcW w:w="1201" w:type="dxa"/>
            <w:vMerge/>
            <w:tcBorders>
              <w:left w:val="single" w:sz="4" w:space="0" w:color="000000"/>
              <w:right w:val="single" w:sz="4" w:space="0" w:color="000000"/>
            </w:tcBorders>
            <w:shd w:val="clear" w:color="auto" w:fill="D2D2D2"/>
          </w:tcPr>
          <w:p>
            <w:pPr/>
          </w:p>
        </w:tc>
        <w:tc>
          <w:tcPr>
            <w:tcW w:w="1210" w:type="dxa"/>
            <w:vMerge/>
            <w:tcBorders>
              <w:left w:val="single" w:sz="4" w:space="0" w:color="000000"/>
              <w:right w:val="single" w:sz="4" w:space="0" w:color="000000"/>
            </w:tcBorders>
            <w:shd w:val="clear" w:color="auto" w:fill="D2D2D2"/>
          </w:tcPr>
          <w:p>
            <w:pPr/>
          </w:p>
        </w:tc>
        <w:tc>
          <w:tcPr>
            <w:tcW w:w="1212" w:type="dxa"/>
            <w:vMerge w:val="restart"/>
            <w:tcBorders>
              <w:top w:val="nil" w:sz="6" w:space="0" w:color="auto"/>
              <w:left w:val="single" w:sz="4" w:space="0" w:color="000000"/>
              <w:right w:val="single" w:sz="4" w:space="0" w:color="000000"/>
            </w:tcBorders>
            <w:shd w:val="clear" w:color="auto" w:fill="D2D2D2"/>
          </w:tcPr>
          <w:p>
            <w:pPr/>
          </w:p>
        </w:tc>
        <w:tc>
          <w:tcPr>
            <w:tcW w:w="1212" w:type="dxa"/>
            <w:vMerge/>
            <w:tcBorders>
              <w:left w:val="single" w:sz="4" w:space="0" w:color="000000"/>
              <w:bottom w:val="nil" w:sz="6" w:space="0" w:color="auto"/>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201" w:type="dxa"/>
            <w:vMerge/>
            <w:tcBorders>
              <w:left w:val="single" w:sz="4" w:space="0" w:color="000000"/>
              <w:bottom w:val="nil" w:sz="6" w:space="0" w:color="auto"/>
              <w:right w:val="single" w:sz="4" w:space="0" w:color="000000"/>
            </w:tcBorders>
            <w:shd w:val="clear" w:color="auto" w:fill="D2D2D2"/>
          </w:tcPr>
          <w:p>
            <w:pPr/>
          </w:p>
        </w:tc>
        <w:tc>
          <w:tcPr>
            <w:tcW w:w="1223" w:type="dxa"/>
            <w:vMerge/>
            <w:tcBorders>
              <w:left w:val="single" w:sz="4" w:space="0" w:color="000000"/>
              <w:right w:val="single" w:sz="4" w:space="0" w:color="000000"/>
            </w:tcBorders>
            <w:shd w:val="clear" w:color="auto" w:fill="D2D2D2"/>
          </w:tcPr>
          <w:p>
            <w:pPr/>
          </w:p>
        </w:tc>
        <w:tc>
          <w:tcPr>
            <w:tcW w:w="1201" w:type="dxa"/>
            <w:vMerge/>
            <w:tcBorders>
              <w:left w:val="single" w:sz="4" w:space="0" w:color="000000"/>
              <w:right w:val="single" w:sz="4" w:space="0" w:color="000000"/>
            </w:tcBorders>
            <w:shd w:val="clear" w:color="auto" w:fill="D2D2D2"/>
          </w:tcPr>
          <w:p>
            <w:pPr/>
          </w:p>
        </w:tc>
      </w:tr>
      <w:tr>
        <w:trPr>
          <w:trHeight w:val="161" w:hRule="exact"/>
        </w:trPr>
        <w:tc>
          <w:tcPr>
            <w:tcW w:w="1201" w:type="dxa"/>
            <w:vMerge/>
            <w:tcBorders>
              <w:left w:val="single" w:sz="4" w:space="0" w:color="000000"/>
              <w:bottom w:val="single" w:sz="4" w:space="0" w:color="000000"/>
              <w:right w:val="single" w:sz="4" w:space="0" w:color="000000"/>
            </w:tcBorders>
            <w:shd w:val="clear" w:color="auto" w:fill="D2D2D2"/>
          </w:tcPr>
          <w:p>
            <w:pPr/>
          </w:p>
        </w:tc>
        <w:tc>
          <w:tcPr>
            <w:tcW w:w="1210" w:type="dxa"/>
            <w:vMerge/>
            <w:tcBorders>
              <w:left w:val="single" w:sz="4" w:space="0" w:color="000000"/>
              <w:bottom w:val="single" w:sz="4" w:space="0" w:color="000000"/>
              <w:right w:val="single" w:sz="4" w:space="0" w:color="000000"/>
            </w:tcBorders>
            <w:shd w:val="clear" w:color="auto" w:fill="D2D2D2"/>
          </w:tcPr>
          <w:p>
            <w:pPr/>
          </w:p>
        </w:tc>
        <w:tc>
          <w:tcPr>
            <w:tcW w:w="1212" w:type="dxa"/>
            <w:vMerge/>
            <w:tcBorders>
              <w:left w:val="single" w:sz="4" w:space="0" w:color="000000"/>
              <w:bottom w:val="single" w:sz="4" w:space="0" w:color="000000"/>
              <w:right w:val="single" w:sz="4" w:space="0" w:color="000000"/>
            </w:tcBorders>
            <w:shd w:val="clear" w:color="auto" w:fill="D2D2D2"/>
          </w:tcPr>
          <w:p>
            <w:pPr/>
          </w:p>
        </w:tc>
        <w:tc>
          <w:tcPr>
            <w:tcW w:w="12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212" w:type="dxa"/>
            <w:vMerge/>
            <w:tcBorders>
              <w:left w:val="single" w:sz="4" w:space="0" w:color="000000"/>
              <w:bottom w:val="single" w:sz="4" w:space="0" w:color="000000"/>
              <w:right w:val="single" w:sz="4" w:space="0" w:color="000000"/>
            </w:tcBorders>
            <w:shd w:val="clear" w:color="auto" w:fill="D2D2D2"/>
          </w:tcPr>
          <w:p>
            <w:pPr/>
          </w:p>
        </w:tc>
        <w:tc>
          <w:tcPr>
            <w:tcW w:w="12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223" w:type="dxa"/>
            <w:vMerge/>
            <w:tcBorders>
              <w:left w:val="single" w:sz="4" w:space="0" w:color="000000"/>
              <w:bottom w:val="single" w:sz="4" w:space="0" w:color="000000"/>
              <w:right w:val="single" w:sz="4" w:space="0" w:color="000000"/>
            </w:tcBorders>
            <w:shd w:val="clear" w:color="auto" w:fill="D2D2D2"/>
          </w:tcPr>
          <w:p>
            <w:pPr/>
          </w:p>
        </w:tc>
        <w:tc>
          <w:tcPr>
            <w:tcW w:w="1201"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80,247,586.32</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0.00%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0.00</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
              <w:jc w:val="right"/>
              <w:rPr>
                <w:rFonts w:ascii="Times New Roman" w:hAnsi="Times New Roman" w:cs="Times New Roman" w:eastAsia="Times New Roman" w:hint="default"/>
                <w:sz w:val="18"/>
                <w:szCs w:val="18"/>
              </w:rPr>
            </w:pPr>
            <w:r>
              <w:rPr>
                <w:rFonts w:ascii="Times New Roman"/>
                <w:sz w:val="18"/>
              </w:rPr>
              <w:t>0.00%</w:t>
            </w:r>
          </w:p>
        </w:tc>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0.00</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13,727,643.89</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119,550,096.20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2"/>
                <w:sz w:val="18"/>
              </w:rPr>
              <w:t>11.48%</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0.00</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
              <w:jc w:val="right"/>
              <w:rPr>
                <w:rFonts w:ascii="Times New Roman" w:hAnsi="Times New Roman" w:cs="Times New Roman" w:eastAsia="Times New Roman" w:hint="default"/>
                <w:sz w:val="18"/>
                <w:szCs w:val="18"/>
              </w:rPr>
            </w:pPr>
            <w:r>
              <w:rPr>
                <w:rFonts w:ascii="Times New Roman"/>
                <w:sz w:val="18"/>
              </w:rPr>
              <w:t>0.00%</w:t>
            </w:r>
          </w:p>
        </w:tc>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13,727,643.89</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10"/>
              <w:jc w:val="right"/>
              <w:rPr>
                <w:rFonts w:ascii="Times New Roman" w:hAnsi="Times New Roman" w:cs="Times New Roman" w:eastAsia="Times New Roman" w:hint="default"/>
                <w:sz w:val="18"/>
                <w:szCs w:val="18"/>
              </w:rPr>
            </w:pPr>
            <w:r>
              <w:rPr>
                <w:rFonts w:ascii="Times New Roman"/>
                <w:spacing w:val="-2"/>
                <w:sz w:val="18"/>
              </w:rPr>
              <w:t>11.48%</w:t>
            </w:r>
          </w:p>
        </w:tc>
      </w:tr>
      <w:tr>
        <w:trPr>
          <w:trHeight w:val="403" w:hRule="exact"/>
        </w:trPr>
        <w:tc>
          <w:tcPr>
            <w:tcW w:w="1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50,988,391.58</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507,331,705.29</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10.05%</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0.00</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
              <w:jc w:val="right"/>
              <w:rPr>
                <w:rFonts w:ascii="Times New Roman" w:hAnsi="Times New Roman" w:cs="Times New Roman" w:eastAsia="Times New Roman" w:hint="default"/>
                <w:sz w:val="18"/>
                <w:szCs w:val="18"/>
              </w:rPr>
            </w:pPr>
            <w:r>
              <w:rPr>
                <w:rFonts w:ascii="Times New Roman"/>
                <w:sz w:val="18"/>
              </w:rPr>
              <w:t>0.00%</w:t>
            </w:r>
          </w:p>
        </w:tc>
        <w:tc>
          <w:tcPr>
            <w:tcW w:w="12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50,988,391.58</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10.05%</w:t>
            </w:r>
          </w:p>
        </w:tc>
      </w:tr>
    </w:tbl>
    <w:p>
      <w:pPr>
        <w:pStyle w:val="BodyText"/>
        <w:spacing w:line="240" w:lineRule="auto" w:before="88"/>
        <w:ind w:left="134" w:right="1032"/>
        <w:jc w:val="left"/>
      </w:pPr>
      <w:r>
        <w:rPr/>
        <w:t>公司报告期内盈利且母公司可供普通股股东分配利润为正但未提出普通股现金红利分配预案</w:t>
      </w:r>
    </w:p>
    <w:p>
      <w:pPr>
        <w:spacing w:line="240" w:lineRule="auto" w:before="12"/>
        <w:rPr>
          <w:rFonts w:ascii="宋体" w:hAnsi="宋体" w:cs="宋体" w:eastAsia="宋体" w:hint="default"/>
          <w:sz w:val="20"/>
          <w:szCs w:val="20"/>
        </w:rPr>
      </w:pPr>
    </w:p>
    <w:p>
      <w:pPr>
        <w:spacing w:before="0"/>
        <w:ind w:left="134" w:right="768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51" w:footer="979" w:top="1400" w:bottom="1160" w:left="1000" w:right="0"/>
        </w:sectPr>
      </w:pPr>
    </w:p>
    <w:p>
      <w:pPr>
        <w:pStyle w:val="Heading2"/>
        <w:spacing w:line="240" w:lineRule="auto" w:before="24"/>
        <w:ind w:right="0"/>
        <w:jc w:val="left"/>
        <w:rPr>
          <w:b w:val="0"/>
          <w:bCs w:val="0"/>
        </w:rPr>
      </w:pPr>
      <w:r>
        <w:rPr/>
        <w:pict>
          <v:group style="position:absolute;margin-left:55.200001pt;margin-top:2.675601pt;width:485pt;height:.1pt;mso-position-horizontal-relative:page;mso-position-vertical-relative:paragraph;z-index:-1077256" coordorigin="1104,54" coordsize="9700,2">
            <v:shape style="position:absolute;left:1104;top:54;width:9700;height:2" coordorigin="1104,54" coordsize="9700,0" path="m1104,54l10804,54e" filled="false" stroked="true" strokeweight=".72pt" strokecolor="#000000">
              <v:path arrowok="t"/>
            </v:shape>
            <w10:wrap type="none"/>
          </v:group>
        </w:pict>
      </w:r>
      <w:bookmarkStart w:name="二、承诺事项履行情况" w:id="73"/>
      <w:bookmarkEnd w:id="73"/>
      <w:r>
        <w:rPr>
          <w:b w:val="0"/>
          <w:bCs w:val="0"/>
        </w:rPr>
      </w:r>
      <w:r>
        <w:rPr/>
        <w:t>二、承诺事项履行情况</w:t>
      </w:r>
      <w:r>
        <w:rPr>
          <w:b w:val="0"/>
          <w:bCs w:val="0"/>
        </w:rPr>
      </w:r>
    </w:p>
    <w:p>
      <w:pPr>
        <w:spacing w:line="240" w:lineRule="auto" w:before="6"/>
        <w:rPr>
          <w:rFonts w:ascii="宋体" w:hAnsi="宋体" w:cs="宋体" w:eastAsia="宋体" w:hint="default"/>
          <w:b/>
          <w:bCs/>
          <w:sz w:val="30"/>
          <w:szCs w:val="30"/>
        </w:rPr>
      </w:pPr>
    </w:p>
    <w:p>
      <w:pPr>
        <w:pStyle w:val="Heading3"/>
        <w:spacing w:line="386" w:lineRule="auto"/>
        <w:ind w:right="0"/>
        <w:jc w:val="left"/>
        <w:rPr>
          <w:b w:val="0"/>
          <w:bCs w:val="0"/>
        </w:rPr>
      </w:pPr>
      <w:bookmarkStart w:name="1、公司实际控制人、股东、关联方、收购人以及公司等承诺相关方在报告期内履行完毕及" w:id="74"/>
      <w:bookmarkEnd w:id="74"/>
      <w:r>
        <w:rPr>
          <w:b w:val="0"/>
          <w:bCs w:val="0"/>
        </w:rPr>
      </w:r>
      <w:r>
        <w:rPr>
          <w:rFonts w:ascii="Times New Roman" w:hAnsi="Times New Roman" w:cs="Times New Roman" w:eastAsia="Times New Roman" w:hint="default"/>
        </w:rPr>
        <w:t>1</w:t>
      </w:r>
      <w:r>
        <w:rPr/>
        <w:t>、公司实际控制人、股东、关联方、收购人以及公司等承诺相关方在报告期内履行完毕及截至报告期末</w:t>
      </w:r>
      <w:r>
        <w:rPr>
          <w:spacing w:val="-74"/>
        </w:rPr>
        <w:t> </w:t>
      </w:r>
      <w:r>
        <w:rPr>
          <w:spacing w:val="-74"/>
        </w:rPr>
      </w:r>
      <w:r>
        <w:rPr/>
        <w:t>尚未履行完毕的承诺事项</w:t>
      </w:r>
      <w:r>
        <w:rPr>
          <w:b w:val="0"/>
          <w:bCs w:val="0"/>
        </w:rPr>
      </w:r>
    </w:p>
    <w:p>
      <w:pPr>
        <w:spacing w:before="131"/>
        <w:ind w:left="154" w:right="0" w:firstLine="0"/>
        <w:jc w:val="left"/>
        <w:rPr>
          <w:rFonts w:ascii="宋体" w:hAnsi="宋体" w:cs="宋体" w:eastAsia="宋体" w:hint="default"/>
          <w:sz w:val="18"/>
          <w:szCs w:val="18"/>
        </w:rPr>
      </w:pPr>
      <w:r>
        <w:rPr/>
        <w:pict>
          <v:shape style="position:absolute;margin-left:372.339996pt;margin-top:114.981728pt;width:73.5pt;height:187.25pt;mso-position-horizontal-relative:page;mso-position-vertical-relative:paragraph;z-index:-1077280"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5"/>
                      <w:szCs w:val="15"/>
                    </w:rPr>
                  </w:pPr>
                </w:p>
                <w:p>
                  <w:pPr>
                    <w:pStyle w:val="BodyText"/>
                    <w:spacing w:line="240" w:lineRule="auto"/>
                    <w:ind w:left="0" w:right="0"/>
                    <w:jc w:val="left"/>
                  </w:pPr>
                  <w:r>
                    <w:rPr/>
                    <w:t>年度、</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7"/>
                      <w:szCs w:val="17"/>
                    </w:rPr>
                  </w:pPr>
                </w:p>
                <w:p>
                  <w:pPr>
                    <w:pStyle w:val="BodyText"/>
                    <w:spacing w:line="240" w:lineRule="auto"/>
                    <w:ind w:left="361" w:right="0"/>
                    <w:jc w:val="left"/>
                  </w:pPr>
                  <w:r>
                    <w:rPr/>
                    <w:t>、</w:t>
                  </w:r>
                </w:p>
              </w:txbxContent>
            </v:textbox>
            <w10:wrap type="none"/>
          </v:shape>
        </w:pict>
      </w:r>
      <w:r>
        <w:rPr/>
        <w:pict>
          <v:group style="position:absolute;margin-left:396.519989pt;margin-top:114.981728pt;width:49.3pt;height:187.25pt;mso-position-horizontal-relative:page;mso-position-vertical-relative:paragraph;z-index:-1077232" coordorigin="7930,2300" coordsize="986,3745">
            <v:shape style="position:absolute;left:7930;top:2300;width:986;height:3745" coordorigin="7930,2300" coordsize="986,3745" path="m7930,6044l8916,6044,8916,2300,7930,2300,7930,6044xe" filled="true" fillcolor="#ffffff" stroked="false">
              <v:path arrowok="t"/>
              <v:fill type="solid"/>
            </v:shape>
            <w10:wrap type="none"/>
          </v:group>
        </w:pict>
      </w: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12"/>
          <w:szCs w:val="12"/>
        </w:rPr>
      </w:pPr>
    </w:p>
    <w:tbl>
      <w:tblPr>
        <w:tblW w:w="0" w:type="auto"/>
        <w:jc w:val="left"/>
        <w:tblInd w:w="121" w:type="dxa"/>
        <w:tblLayout w:type="fixed"/>
        <w:tblCellMar>
          <w:top w:w="0" w:type="dxa"/>
          <w:left w:w="0" w:type="dxa"/>
          <w:bottom w:w="0" w:type="dxa"/>
          <w:right w:w="0" w:type="dxa"/>
        </w:tblCellMar>
        <w:tblLook w:val="01E0"/>
      </w:tblPr>
      <w:tblGrid>
        <w:gridCol w:w="1562"/>
        <w:gridCol w:w="851"/>
        <w:gridCol w:w="702"/>
        <w:gridCol w:w="3705"/>
        <w:gridCol w:w="115"/>
        <w:gridCol w:w="881"/>
        <w:gridCol w:w="878"/>
        <w:gridCol w:w="1002"/>
      </w:tblGrid>
      <w:tr>
        <w:trPr>
          <w:trHeight w:val="161" w:hRule="exact"/>
        </w:trPr>
        <w:tc>
          <w:tcPr>
            <w:tcW w:w="15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51" w:type="dxa"/>
            <w:tcBorders>
              <w:top w:val="single" w:sz="4" w:space="0" w:color="000000"/>
              <w:left w:val="single" w:sz="4" w:space="0" w:color="000000"/>
              <w:bottom w:val="nil" w:sz="6" w:space="0" w:color="auto"/>
              <w:right w:val="single" w:sz="4" w:space="0" w:color="000000"/>
            </w:tcBorders>
            <w:shd w:val="clear" w:color="auto" w:fill="D2D2D2"/>
          </w:tcPr>
          <w:p>
            <w:pPr/>
          </w:p>
        </w:tc>
        <w:tc>
          <w:tcPr>
            <w:tcW w:w="70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255" w:right="74" w:hanging="180"/>
              <w:jc w:val="left"/>
              <w:rPr>
                <w:rFonts w:ascii="宋体" w:hAnsi="宋体" w:cs="宋体" w:eastAsia="宋体" w:hint="default"/>
                <w:sz w:val="18"/>
                <w:szCs w:val="18"/>
              </w:rPr>
            </w:pPr>
            <w:r>
              <w:rPr>
                <w:rFonts w:ascii="宋体" w:hAnsi="宋体" w:cs="宋体" w:eastAsia="宋体" w:hint="default"/>
                <w:sz w:val="18"/>
                <w:szCs w:val="18"/>
              </w:rPr>
              <w:t>承诺类 型</w:t>
            </w:r>
          </w:p>
        </w:tc>
        <w:tc>
          <w:tcPr>
            <w:tcW w:w="3705" w:type="dxa"/>
            <w:tcBorders>
              <w:top w:val="single" w:sz="4" w:space="0" w:color="000000"/>
              <w:left w:val="single" w:sz="4" w:space="0" w:color="000000"/>
              <w:bottom w:val="nil" w:sz="6" w:space="0" w:color="auto"/>
              <w:right w:val="single" w:sz="4" w:space="0" w:color="000000"/>
            </w:tcBorders>
            <w:shd w:val="clear" w:color="auto" w:fill="D2D2D2"/>
          </w:tcPr>
          <w:p>
            <w:pPr/>
          </w:p>
        </w:tc>
        <w:tc>
          <w:tcPr>
            <w:tcW w:w="995"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878" w:type="dxa"/>
            <w:tcBorders>
              <w:top w:val="single" w:sz="4" w:space="0" w:color="000000"/>
              <w:left w:val="single" w:sz="4" w:space="0" w:color="000000"/>
              <w:bottom w:val="nil" w:sz="6" w:space="0" w:color="auto"/>
              <w:right w:val="single" w:sz="4" w:space="0" w:color="000000"/>
            </w:tcBorders>
            <w:shd w:val="clear" w:color="auto" w:fill="D2D2D2"/>
          </w:tcPr>
          <w:p>
            <w:pPr/>
          </w:p>
        </w:tc>
        <w:tc>
          <w:tcPr>
            <w:tcW w:w="1002"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156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415" w:right="0"/>
              <w:jc w:val="left"/>
              <w:rPr>
                <w:rFonts w:ascii="宋体" w:hAnsi="宋体" w:cs="宋体" w:eastAsia="宋体" w:hint="default"/>
                <w:sz w:val="18"/>
                <w:szCs w:val="18"/>
              </w:rPr>
            </w:pPr>
            <w:r>
              <w:rPr>
                <w:rFonts w:ascii="宋体" w:hAnsi="宋体" w:cs="宋体" w:eastAsia="宋体" w:hint="default"/>
                <w:sz w:val="18"/>
                <w:szCs w:val="18"/>
              </w:rPr>
              <w:t>承诺来源</w:t>
            </w:r>
          </w:p>
        </w:tc>
        <w:tc>
          <w:tcPr>
            <w:tcW w:w="85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承诺方</w:t>
            </w:r>
          </w:p>
        </w:tc>
        <w:tc>
          <w:tcPr>
            <w:tcW w:w="702" w:type="dxa"/>
            <w:vMerge/>
            <w:tcBorders>
              <w:left w:val="single" w:sz="4" w:space="0" w:color="000000"/>
              <w:right w:val="single" w:sz="4" w:space="0" w:color="000000"/>
            </w:tcBorders>
            <w:shd w:val="clear" w:color="auto" w:fill="D2D2D2"/>
          </w:tcPr>
          <w:p>
            <w:pPr/>
          </w:p>
        </w:tc>
        <w:tc>
          <w:tcPr>
            <w:tcW w:w="370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995"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31"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87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72"/>
              <w:jc w:val="right"/>
              <w:rPr>
                <w:rFonts w:ascii="宋体" w:hAnsi="宋体" w:cs="宋体" w:eastAsia="宋体" w:hint="default"/>
                <w:sz w:val="18"/>
                <w:szCs w:val="18"/>
              </w:rPr>
            </w:pPr>
            <w:r>
              <w:rPr>
                <w:rFonts w:ascii="宋体" w:hAnsi="宋体" w:cs="宋体" w:eastAsia="宋体" w:hint="default"/>
                <w:sz w:val="18"/>
                <w:szCs w:val="18"/>
              </w:rPr>
              <w:t>承诺期限</w:t>
            </w:r>
          </w:p>
        </w:tc>
        <w:tc>
          <w:tcPr>
            <w:tcW w:w="100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32"/>
              <w:jc w:val="center"/>
              <w:rPr>
                <w:rFonts w:ascii="宋体" w:hAnsi="宋体" w:cs="宋体" w:eastAsia="宋体" w:hint="default"/>
                <w:sz w:val="18"/>
                <w:szCs w:val="18"/>
              </w:rPr>
            </w:pPr>
            <w:r>
              <w:rPr>
                <w:rFonts w:ascii="宋体" w:hAnsi="宋体" w:cs="宋体" w:eastAsia="宋体" w:hint="default"/>
                <w:sz w:val="18"/>
                <w:szCs w:val="18"/>
              </w:rPr>
              <w:t>履行情况</w:t>
            </w:r>
          </w:p>
        </w:tc>
      </w:tr>
      <w:tr>
        <w:trPr>
          <w:trHeight w:val="161" w:hRule="exact"/>
        </w:trPr>
        <w:tc>
          <w:tcPr>
            <w:tcW w:w="15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51" w:type="dxa"/>
            <w:tcBorders>
              <w:top w:val="nil" w:sz="6" w:space="0" w:color="auto"/>
              <w:left w:val="single" w:sz="4" w:space="0" w:color="000000"/>
              <w:bottom w:val="single" w:sz="4" w:space="0" w:color="000000"/>
              <w:right w:val="single" w:sz="4" w:space="0" w:color="000000"/>
            </w:tcBorders>
            <w:shd w:val="clear" w:color="auto" w:fill="D2D2D2"/>
          </w:tcPr>
          <w:p>
            <w:pPr/>
          </w:p>
        </w:tc>
        <w:tc>
          <w:tcPr>
            <w:tcW w:w="702" w:type="dxa"/>
            <w:vMerge/>
            <w:tcBorders>
              <w:left w:val="single" w:sz="4" w:space="0" w:color="000000"/>
              <w:bottom w:val="single" w:sz="4" w:space="0" w:color="000000"/>
              <w:right w:val="single" w:sz="4" w:space="0" w:color="000000"/>
            </w:tcBorders>
            <w:shd w:val="clear" w:color="auto" w:fill="D2D2D2"/>
          </w:tcPr>
          <w:p>
            <w:pPr/>
          </w:p>
        </w:tc>
        <w:tc>
          <w:tcPr>
            <w:tcW w:w="3705" w:type="dxa"/>
            <w:tcBorders>
              <w:top w:val="nil" w:sz="6" w:space="0" w:color="auto"/>
              <w:left w:val="single" w:sz="4" w:space="0" w:color="000000"/>
              <w:bottom w:val="single" w:sz="4" w:space="0" w:color="000000"/>
              <w:right w:val="single" w:sz="4" w:space="0" w:color="000000"/>
            </w:tcBorders>
            <w:shd w:val="clear" w:color="auto" w:fill="D2D2D2"/>
          </w:tcPr>
          <w:p>
            <w:pPr/>
          </w:p>
        </w:tc>
        <w:tc>
          <w:tcPr>
            <w:tcW w:w="995"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878" w:type="dxa"/>
            <w:tcBorders>
              <w:top w:val="nil" w:sz="6" w:space="0" w:color="auto"/>
              <w:left w:val="single" w:sz="4" w:space="0" w:color="000000"/>
              <w:bottom w:val="single" w:sz="4" w:space="0" w:color="000000"/>
              <w:right w:val="single" w:sz="4" w:space="0" w:color="000000"/>
            </w:tcBorders>
            <w:shd w:val="clear" w:color="auto" w:fill="D2D2D2"/>
          </w:tcPr>
          <w:p>
            <w:pPr/>
          </w:p>
        </w:tc>
        <w:tc>
          <w:tcPr>
            <w:tcW w:w="1002"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026" w:hRule="exact"/>
        </w:trPr>
        <w:tc>
          <w:tcPr>
            <w:tcW w:w="1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5" w:right="54"/>
              <w:jc w:val="center"/>
              <w:rPr>
                <w:rFonts w:ascii="宋体" w:hAnsi="宋体" w:cs="宋体" w:eastAsia="宋体" w:hint="default"/>
                <w:sz w:val="18"/>
                <w:szCs w:val="18"/>
              </w:rPr>
            </w:pPr>
            <w:r>
              <w:rPr>
                <w:rFonts w:ascii="宋体" w:hAnsi="宋体" w:cs="宋体" w:eastAsia="宋体" w:hint="default"/>
                <w:sz w:val="18"/>
                <w:szCs w:val="18"/>
              </w:rPr>
              <w:t>收购报告书或权益 变动报告书中所作 承诺</w:t>
            </w:r>
          </w:p>
        </w:tc>
        <w:tc>
          <w:tcPr>
            <w:tcW w:w="851" w:type="dxa"/>
            <w:tcBorders>
              <w:top w:val="single" w:sz="4" w:space="0" w:color="000000"/>
              <w:left w:val="single" w:sz="13" w:space="0" w:color="D2D2D2"/>
              <w:bottom w:val="single" w:sz="4" w:space="0" w:color="000000"/>
              <w:right w:val="single" w:sz="4" w:space="0" w:color="000000"/>
            </w:tcBorders>
          </w:tcPr>
          <w:p>
            <w:pPr/>
          </w:p>
        </w:tc>
        <w:tc>
          <w:tcPr>
            <w:tcW w:w="702" w:type="dxa"/>
            <w:tcBorders>
              <w:top w:val="single" w:sz="4" w:space="0" w:color="000000"/>
              <w:left w:val="single" w:sz="4" w:space="0" w:color="000000"/>
              <w:bottom w:val="single" w:sz="4" w:space="0" w:color="000000"/>
              <w:right w:val="single" w:sz="4" w:space="0" w:color="000000"/>
            </w:tcBorders>
          </w:tcPr>
          <w:p>
            <w:pPr/>
          </w:p>
        </w:tc>
        <w:tc>
          <w:tcPr>
            <w:tcW w:w="3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995" w:type="dxa"/>
            <w:gridSpan w:val="2"/>
            <w:tcBorders>
              <w:top w:val="single" w:sz="4" w:space="0" w:color="000000"/>
              <w:left w:val="single" w:sz="4" w:space="0" w:color="000000"/>
              <w:bottom w:val="single" w:sz="4" w:space="0" w:color="000000"/>
              <w:right w:val="single" w:sz="4" w:space="0" w:color="000000"/>
            </w:tcBorders>
          </w:tcPr>
          <w:p>
            <w:pPr/>
          </w:p>
        </w:tc>
        <w:tc>
          <w:tcPr>
            <w:tcW w:w="878"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
        </w:tc>
      </w:tr>
      <w:tr>
        <w:trPr>
          <w:trHeight w:val="4554" w:hRule="exact"/>
        </w:trPr>
        <w:tc>
          <w:tcPr>
            <w:tcW w:w="15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51"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233" w:right="0"/>
              <w:jc w:val="left"/>
              <w:rPr>
                <w:rFonts w:ascii="宋体" w:hAnsi="宋体" w:cs="宋体" w:eastAsia="宋体" w:hint="default"/>
                <w:sz w:val="18"/>
                <w:szCs w:val="18"/>
              </w:rPr>
            </w:pPr>
            <w:r>
              <w:rPr>
                <w:rFonts w:ascii="宋体" w:hAnsi="宋体" w:cs="宋体" w:eastAsia="宋体" w:hint="default"/>
                <w:sz w:val="18"/>
                <w:szCs w:val="18"/>
              </w:rPr>
              <w:t>李毅</w:t>
            </w:r>
          </w:p>
        </w:tc>
        <w:tc>
          <w:tcPr>
            <w:tcW w:w="70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0"/>
                <w:szCs w:val="20"/>
              </w:rPr>
            </w:pPr>
          </w:p>
          <w:p>
            <w:pPr>
              <w:pStyle w:val="TableParagraph"/>
              <w:spacing w:line="319" w:lineRule="auto"/>
              <w:ind w:left="75" w:right="74"/>
              <w:jc w:val="both"/>
              <w:rPr>
                <w:rFonts w:ascii="宋体" w:hAnsi="宋体" w:cs="宋体" w:eastAsia="宋体" w:hint="default"/>
                <w:sz w:val="18"/>
                <w:szCs w:val="18"/>
              </w:rPr>
            </w:pPr>
            <w:r>
              <w:rPr>
                <w:rFonts w:ascii="宋体" w:hAnsi="宋体" w:cs="宋体" w:eastAsia="宋体" w:hint="default"/>
                <w:sz w:val="18"/>
                <w:szCs w:val="18"/>
              </w:rPr>
              <w:t>壳木软 件资产 重组期 限承诺</w:t>
            </w:r>
          </w:p>
        </w:tc>
        <w:tc>
          <w:tcPr>
            <w:tcW w:w="3705" w:type="dxa"/>
            <w:vMerge w:val="restart"/>
            <w:tcBorders>
              <w:top w:val="single" w:sz="4" w:space="0" w:color="000000"/>
              <w:left w:val="single" w:sz="4" w:space="0" w:color="000000"/>
              <w:right w:val="single" w:sz="4" w:space="0" w:color="000000"/>
            </w:tcBorders>
          </w:tcPr>
          <w:p>
            <w:pPr>
              <w:pStyle w:val="TableParagraph"/>
              <w:spacing w:line="309" w:lineRule="auto" w:before="51"/>
              <w:ind w:left="22" w:right="20" w:firstLine="24"/>
              <w:jc w:val="both"/>
              <w:rPr>
                <w:rFonts w:ascii="宋体" w:hAnsi="宋体" w:cs="宋体" w:eastAsia="宋体" w:hint="default"/>
                <w:sz w:val="18"/>
                <w:szCs w:val="18"/>
              </w:rPr>
            </w:pPr>
            <w:r>
              <w:rPr>
                <w:rFonts w:ascii="宋体" w:hAnsi="宋体" w:cs="宋体" w:eastAsia="宋体" w:hint="default"/>
                <w:sz w:val="18"/>
                <w:szCs w:val="18"/>
              </w:rPr>
              <w:t>公司发行股份及支付现金购买天津壳木软件有 限责任公司（下称</w:t>
            </w:r>
            <w:r>
              <w:rPr>
                <w:rFonts w:ascii="Times New Roman" w:hAnsi="Times New Roman" w:cs="Times New Roman" w:eastAsia="Times New Roman" w:hint="default"/>
                <w:sz w:val="18"/>
                <w:szCs w:val="18"/>
              </w:rPr>
              <w:t>"</w:t>
            </w:r>
            <w:r>
              <w:rPr>
                <w:rFonts w:ascii="宋体" w:hAnsi="宋体" w:cs="宋体" w:eastAsia="宋体" w:hint="default"/>
                <w:sz w:val="18"/>
                <w:szCs w:val="18"/>
              </w:rPr>
              <w:t>壳木软件</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股权，发 行对象李毅出具了股份锁定及限售安排承诺， </w:t>
            </w:r>
            <w:r>
              <w:rPr>
                <w:rFonts w:ascii="宋体" w:hAnsi="宋体" w:cs="宋体" w:eastAsia="宋体" w:hint="default"/>
                <w:spacing w:val="-2"/>
                <w:sz w:val="18"/>
                <w:szCs w:val="18"/>
              </w:rPr>
              <w:t>具体情况如下：</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、本次向李毅发行的股份自发</w:t>
            </w:r>
            <w:r>
              <w:rPr>
                <w:rFonts w:ascii="宋体" w:hAnsi="宋体" w:cs="宋体" w:eastAsia="宋体" w:hint="default"/>
                <w:sz w:val="18"/>
                <w:szCs w:val="18"/>
              </w:rPr>
              <w:t> 行结束之日起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pacing w:val="-7"/>
                <w:sz w:val="18"/>
                <w:szCs w:val="18"/>
              </w:rPr>
              <w:t>个月内不得转让。神州泰岳在</w:t>
            </w:r>
          </w:p>
          <w:p>
            <w:pPr>
              <w:pStyle w:val="TableParagraph"/>
              <w:spacing w:line="240" w:lineRule="auto" w:before="5"/>
              <w:ind w:left="22"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指定媒体披露标的公司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2014  </w:t>
            </w:r>
            <w:r>
              <w:rPr>
                <w:rFonts w:ascii="宋体" w:hAnsi="宋体" w:cs="宋体" w:eastAsia="宋体" w:hint="default"/>
                <w:sz w:val="18"/>
                <w:szCs w:val="18"/>
              </w:rPr>
              <w:t>年度</w:t>
            </w:r>
            <w:r>
              <w:rPr>
                <w:rFonts w:ascii="宋体" w:hAnsi="宋体" w:cs="宋体" w:eastAsia="宋体" w:hint="default"/>
                <w:spacing w:val="-87"/>
                <w:sz w:val="18"/>
                <w:szCs w:val="18"/>
              </w:rPr>
              <w:t>、</w:t>
            </w:r>
            <w:r>
              <w:rPr>
                <w:rFonts w:ascii="Times New Roman" w:hAnsi="Times New Roman" w:cs="Times New Roman" w:eastAsia="Times New Roman" w:hint="default"/>
                <w:sz w:val="18"/>
                <w:szCs w:val="18"/>
              </w:rPr>
              <w:t>2015</w:t>
            </w:r>
          </w:p>
          <w:p>
            <w:pPr>
              <w:pStyle w:val="TableParagraph"/>
              <w:spacing w:line="307" w:lineRule="auto" w:before="63"/>
              <w:ind w:left="22" w:right="-33" w:hanging="55"/>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7"/>
                <w:sz w:val="18"/>
                <w:szCs w:val="18"/>
              </w:rPr>
              <w:t> </w:t>
            </w:r>
            <w:r>
              <w:rPr>
                <w:rFonts w:ascii="宋体" w:hAnsi="宋体" w:cs="宋体" w:eastAsia="宋体" w:hint="default"/>
                <w:spacing w:val="-3"/>
                <w:sz w:val="18"/>
                <w:szCs w:val="18"/>
              </w:rPr>
              <w:t>年度《专项审核报告》后，本次向李毅发</w:t>
            </w:r>
            <w:r>
              <w:rPr>
                <w:rFonts w:ascii="宋体" w:hAnsi="宋体" w:cs="宋体" w:eastAsia="宋体" w:hint="default"/>
                <w:sz w:val="18"/>
                <w:szCs w:val="18"/>
              </w:rPr>
              <w:t> 行的股份扣减截至该时点李毅已补偿的和应补 偿的股份数（若有）后可分别解锁</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w:t>
            </w:r>
            <w:r>
              <w:rPr>
                <w:rFonts w:ascii="Times New Roman" w:hAnsi="Times New Roman" w:cs="Times New Roman" w:eastAsia="Times New Roman" w:hint="default"/>
                <w:sz w:val="18"/>
                <w:szCs w:val="18"/>
              </w:rPr>
              <w:t>20% 40%</w:t>
            </w:r>
            <w:r>
              <w:rPr>
                <w:rFonts w:ascii="宋体" w:hAnsi="宋体" w:cs="宋体" w:eastAsia="宋体" w:hint="default"/>
                <w:sz w:val="18"/>
                <w:szCs w:val="18"/>
              </w:rPr>
              <w:t>，自本次发行结束之日起届满 </w:t>
            </w:r>
            <w:r>
              <w:rPr>
                <w:rFonts w:ascii="Times New Roman" w:hAnsi="Times New Roman" w:cs="Times New Roman" w:eastAsia="Times New Roman" w:hint="default"/>
                <w:sz w:val="18"/>
                <w:szCs w:val="18"/>
              </w:rPr>
              <w:t>48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个月后， 本次向李毅发行的股份的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扣减已补偿的股 份数（若有）后可解锁。认购人承诺的标的公 司在盈利承诺期内各年度净利润数如下：</w:t>
            </w:r>
            <w:r>
              <w:rPr>
                <w:rFonts w:ascii="Times New Roman" w:hAnsi="Times New Roman" w:cs="Times New Roman" w:eastAsia="Times New Roman" w:hint="default"/>
                <w:sz w:val="18"/>
                <w:szCs w:val="18"/>
              </w:rPr>
              <w:t>2013 </w:t>
            </w:r>
            <w:r>
              <w:rPr>
                <w:rFonts w:ascii="宋体" w:hAnsi="宋体" w:cs="宋体" w:eastAsia="宋体" w:hint="default"/>
                <w:sz w:val="18"/>
                <w:szCs w:val="18"/>
              </w:rPr>
              <w:t>年度</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2"/>
                <w:sz w:val="18"/>
                <w:szCs w:val="18"/>
              </w:rPr>
              <w:t> </w:t>
            </w:r>
            <w:r>
              <w:rPr>
                <w:rFonts w:ascii="宋体" w:hAnsi="宋体" w:cs="宋体" w:eastAsia="宋体" w:hint="default"/>
                <w:spacing w:val="-7"/>
                <w:sz w:val="18"/>
                <w:szCs w:val="18"/>
              </w:rPr>
              <w:t>亿元，</w:t>
            </w:r>
            <w:r>
              <w:rPr>
                <w:rFonts w:ascii="Times New Roman" w:hAnsi="Times New Roman" w:cs="Times New Roman" w:eastAsia="Times New Roman" w:hint="default"/>
                <w:spacing w:val="-7"/>
                <w:sz w:val="18"/>
                <w:szCs w:val="18"/>
              </w:rPr>
              <w:t>2014</w:t>
            </w:r>
            <w:r>
              <w:rPr>
                <w:rFonts w:ascii="Times New Roman" w:hAnsi="Times New Roman" w:cs="Times New Roman" w:eastAsia="Times New Roman" w:hint="default"/>
                <w:sz w:val="18"/>
                <w:szCs w:val="18"/>
              </w:rPr>
              <w:t> </w:t>
            </w:r>
            <w:r>
              <w:rPr>
                <w:rFonts w:ascii="宋体" w:hAnsi="宋体" w:cs="宋体" w:eastAsia="宋体" w:hint="default"/>
                <w:sz w:val="18"/>
                <w:szCs w:val="18"/>
              </w:rPr>
              <w:t>年度</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pacing w:val="-7"/>
                <w:sz w:val="18"/>
                <w:szCs w:val="18"/>
              </w:rPr>
              <w:t>亿元，</w:t>
            </w:r>
            <w:r>
              <w:rPr>
                <w:rFonts w:ascii="Times New Roman" w:hAnsi="Times New Roman" w:cs="Times New Roman" w:eastAsia="Times New Roman" w:hint="default"/>
                <w:spacing w:val="-7"/>
                <w:sz w:val="18"/>
                <w:szCs w:val="18"/>
              </w:rPr>
              <w:t>2015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年度 </w:t>
            </w:r>
            <w:r>
              <w:rPr>
                <w:rFonts w:ascii="Times New Roman" w:hAnsi="Times New Roman" w:cs="Times New Roman" w:eastAsia="Times New Roman" w:hint="default"/>
                <w:sz w:val="18"/>
                <w:szCs w:val="18"/>
              </w:rPr>
              <w:t>1.5 </w:t>
            </w:r>
            <w:r>
              <w:rPr>
                <w:rFonts w:ascii="宋体" w:hAnsi="宋体" w:cs="宋体" w:eastAsia="宋体" w:hint="default"/>
                <w:spacing w:val="-5"/>
                <w:sz w:val="18"/>
                <w:szCs w:val="18"/>
              </w:rPr>
              <w:t>亿元，</w:t>
            </w:r>
            <w:r>
              <w:rPr>
                <w:rFonts w:ascii="Times New Roman" w:hAnsi="Times New Roman" w:cs="Times New Roman" w:eastAsia="Times New Roman" w:hint="default"/>
                <w:spacing w:val="-5"/>
                <w:sz w:val="18"/>
                <w:szCs w:val="18"/>
              </w:rPr>
              <w:t>2016 </w:t>
            </w:r>
            <w:r>
              <w:rPr>
                <w:rFonts w:ascii="宋体" w:hAnsi="宋体" w:cs="宋体" w:eastAsia="宋体" w:hint="default"/>
                <w:sz w:val="18"/>
                <w:szCs w:val="18"/>
              </w:rPr>
              <w:t>年度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6"/>
                <w:sz w:val="18"/>
                <w:szCs w:val="18"/>
              </w:rPr>
              <w:t> </w:t>
            </w:r>
            <w:r>
              <w:rPr>
                <w:rFonts w:ascii="宋体" w:hAnsi="宋体" w:cs="宋体" w:eastAsia="宋体" w:hint="default"/>
                <w:spacing w:val="-6"/>
                <w:sz w:val="18"/>
                <w:szCs w:val="18"/>
              </w:rPr>
              <w:t>亿元。</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、在盈利承诺</w:t>
            </w:r>
            <w:r>
              <w:rPr>
                <w:rFonts w:ascii="宋体" w:hAnsi="宋体" w:cs="宋体" w:eastAsia="宋体" w:hint="default"/>
                <w:sz w:val="18"/>
                <w:szCs w:val="18"/>
              </w:rPr>
              <w:t> 期届满时，上市公司将聘请经上市公司与管理 层股东认可的具有证券从业资格的会计师事务 所对标的资产进行减值测试并出具《减值测试 </w:t>
            </w:r>
            <w:r>
              <w:rPr>
                <w:rFonts w:ascii="宋体" w:hAnsi="宋体" w:cs="宋体" w:eastAsia="宋体" w:hint="default"/>
                <w:spacing w:val="-5"/>
                <w:sz w:val="18"/>
                <w:szCs w:val="18"/>
              </w:rPr>
              <w:t>报告》，如果壳木软件资产期末减值额</w:t>
            </w:r>
            <w:r>
              <w:rPr>
                <w:rFonts w:ascii="Times New Roman" w:hAnsi="Times New Roman" w:cs="Times New Roman" w:eastAsia="Times New Roman" w:hint="default"/>
                <w:spacing w:val="-5"/>
                <w:sz w:val="18"/>
                <w:szCs w:val="18"/>
              </w:rPr>
              <w:t>&gt;</w:t>
            </w:r>
            <w:r>
              <w:rPr>
                <w:rFonts w:ascii="宋体" w:hAnsi="宋体" w:cs="宋体" w:eastAsia="宋体" w:hint="default"/>
                <w:spacing w:val="-5"/>
                <w:sz w:val="18"/>
                <w:szCs w:val="18"/>
              </w:rPr>
              <w:t>已补偿</w:t>
            </w:r>
            <w:r>
              <w:rPr>
                <w:rFonts w:ascii="宋体" w:hAnsi="宋体" w:cs="宋体" w:eastAsia="宋体" w:hint="default"/>
                <w:sz w:val="18"/>
                <w:szCs w:val="18"/>
              </w:rPr>
              <w:t> </w:t>
            </w:r>
            <w:r>
              <w:rPr>
                <w:rFonts w:ascii="宋体" w:hAnsi="宋体" w:cs="宋体" w:eastAsia="宋体" w:hint="default"/>
                <w:spacing w:val="-7"/>
                <w:sz w:val="18"/>
                <w:szCs w:val="18"/>
              </w:rPr>
              <w:t>金额（包括已补偿股份金额和现金金额），则认</w:t>
            </w:r>
            <w:r>
              <w:rPr>
                <w:rFonts w:ascii="宋体" w:hAnsi="宋体" w:cs="宋体" w:eastAsia="宋体" w:hint="default"/>
                <w:sz w:val="18"/>
                <w:szCs w:val="18"/>
              </w:rPr>
              <w:t> </w:t>
            </w:r>
            <w:r>
              <w:rPr>
                <w:rFonts w:ascii="宋体" w:hAnsi="宋体" w:cs="宋体" w:eastAsia="宋体" w:hint="default"/>
                <w:spacing w:val="-3"/>
                <w:sz w:val="18"/>
                <w:szCs w:val="18"/>
              </w:rPr>
              <w:t>购人应另行对上市公司进行补偿，应补偿金额</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z w:val="18"/>
                <w:szCs w:val="18"/>
              </w:rPr>
              <w:t> </w:t>
            </w:r>
            <w:r>
              <w:rPr>
                <w:rFonts w:ascii="宋体" w:hAnsi="宋体" w:cs="宋体" w:eastAsia="宋体" w:hint="default"/>
                <w:sz w:val="18"/>
                <w:szCs w:val="18"/>
              </w:rPr>
              <w:t>期末减值额</w:t>
            </w:r>
            <w:r>
              <w:rPr>
                <w:rFonts w:ascii="Times New Roman" w:hAnsi="Times New Roman" w:cs="Times New Roman" w:eastAsia="Times New Roman" w:hint="default"/>
                <w:sz w:val="18"/>
                <w:szCs w:val="18"/>
              </w:rPr>
              <w:t>-</w:t>
            </w:r>
            <w:r>
              <w:rPr>
                <w:rFonts w:ascii="宋体" w:hAnsi="宋体" w:cs="宋体" w:eastAsia="宋体" w:hint="default"/>
                <w:sz w:val="18"/>
                <w:szCs w:val="18"/>
              </w:rPr>
              <w:t>在盈利承诺期内因实际净利润数 </w:t>
            </w:r>
            <w:r>
              <w:rPr>
                <w:rFonts w:ascii="宋体" w:hAnsi="宋体" w:cs="宋体" w:eastAsia="宋体" w:hint="default"/>
                <w:spacing w:val="-2"/>
                <w:sz w:val="18"/>
                <w:szCs w:val="18"/>
              </w:rPr>
              <w:t>不足承诺净利润数已支付的补偿额。</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、在因本</w:t>
            </w:r>
            <w:r>
              <w:rPr>
                <w:rFonts w:ascii="宋体" w:hAnsi="宋体" w:cs="宋体" w:eastAsia="宋体" w:hint="default"/>
                <w:sz w:val="18"/>
                <w:szCs w:val="18"/>
              </w:rPr>
              <w:t> 次交易获得的神州泰岳股份全部解锁前，不主 动向标的公司及其子公司提出离职。</w:t>
            </w:r>
          </w:p>
        </w:tc>
        <w:tc>
          <w:tcPr>
            <w:tcW w:w="115" w:type="dxa"/>
            <w:vMerge w:val="restart"/>
            <w:tcBorders>
              <w:top w:val="single" w:sz="4" w:space="0" w:color="000000"/>
              <w:left w:val="single" w:sz="4" w:space="0" w:color="000000"/>
              <w:right w:val="nil" w:sz="6" w:space="0" w:color="auto"/>
            </w:tcBorders>
          </w:tcPr>
          <w:p>
            <w:pPr/>
          </w:p>
        </w:tc>
        <w:tc>
          <w:tcPr>
            <w:tcW w:w="881" w:type="dxa"/>
            <w:tcBorders>
              <w:top w:val="single" w:sz="4"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2014-5-7</w:t>
            </w:r>
          </w:p>
        </w:tc>
        <w:tc>
          <w:tcPr>
            <w:tcW w:w="87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left="104" w:right="0"/>
              <w:jc w:val="left"/>
              <w:rPr>
                <w:rFonts w:ascii="Times New Roman" w:hAnsi="Times New Roman" w:cs="Times New Roman" w:eastAsia="Times New Roman" w:hint="default"/>
                <w:sz w:val="18"/>
                <w:szCs w:val="18"/>
              </w:rPr>
            </w:pPr>
            <w:r>
              <w:rPr>
                <w:rFonts w:ascii="Times New Roman"/>
                <w:sz w:val="18"/>
              </w:rPr>
              <w:t>2018-5-7</w:t>
            </w:r>
          </w:p>
        </w:tc>
        <w:tc>
          <w:tcPr>
            <w:tcW w:w="100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已履行完毕</w:t>
            </w:r>
          </w:p>
        </w:tc>
      </w:tr>
      <w:tr>
        <w:trPr>
          <w:trHeight w:val="704" w:hRule="exact"/>
        </w:trPr>
        <w:tc>
          <w:tcPr>
            <w:tcW w:w="156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51"/>
              <w:ind w:left="685" w:right="54" w:hanging="631"/>
              <w:jc w:val="left"/>
              <w:rPr>
                <w:rFonts w:ascii="宋体" w:hAnsi="宋体" w:cs="宋体" w:eastAsia="宋体" w:hint="default"/>
                <w:sz w:val="18"/>
                <w:szCs w:val="18"/>
              </w:rPr>
            </w:pPr>
            <w:r>
              <w:rPr>
                <w:rFonts w:ascii="宋体" w:hAnsi="宋体" w:cs="宋体" w:eastAsia="宋体" w:hint="default"/>
                <w:sz w:val="18"/>
                <w:szCs w:val="18"/>
              </w:rPr>
              <w:t>资产重组时所作承 诺</w:t>
            </w:r>
          </w:p>
        </w:tc>
        <w:tc>
          <w:tcPr>
            <w:tcW w:w="851" w:type="dxa"/>
            <w:vMerge/>
            <w:tcBorders>
              <w:left w:val="single" w:sz="9" w:space="0" w:color="D2D2D2"/>
              <w:right w:val="single" w:sz="4" w:space="0" w:color="000000"/>
            </w:tcBorders>
          </w:tcPr>
          <w:p>
            <w:pPr/>
          </w:p>
        </w:tc>
        <w:tc>
          <w:tcPr>
            <w:tcW w:w="702" w:type="dxa"/>
            <w:vMerge/>
            <w:tcBorders>
              <w:left w:val="single" w:sz="4" w:space="0" w:color="000000"/>
              <w:right w:val="single" w:sz="4" w:space="0" w:color="000000"/>
            </w:tcBorders>
          </w:tcPr>
          <w:p>
            <w:pPr/>
          </w:p>
        </w:tc>
        <w:tc>
          <w:tcPr>
            <w:tcW w:w="3705" w:type="dxa"/>
            <w:vMerge/>
            <w:tcBorders>
              <w:left w:val="single" w:sz="4" w:space="0" w:color="000000"/>
              <w:right w:val="single" w:sz="4" w:space="0" w:color="000000"/>
            </w:tcBorders>
          </w:tcPr>
          <w:p>
            <w:pPr/>
          </w:p>
        </w:tc>
        <w:tc>
          <w:tcPr>
            <w:tcW w:w="115" w:type="dxa"/>
            <w:vMerge/>
            <w:tcBorders>
              <w:left w:val="single" w:sz="4" w:space="0" w:color="000000"/>
              <w:right w:val="nil" w:sz="6" w:space="0" w:color="auto"/>
            </w:tcBorders>
          </w:tcPr>
          <w:p>
            <w:pPr/>
          </w:p>
        </w:tc>
        <w:tc>
          <w:tcPr>
            <w:tcW w:w="881" w:type="dxa"/>
            <w:tcBorders>
              <w:top w:val="nil" w:sz="6" w:space="0" w:color="auto"/>
              <w:left w:val="nil" w:sz="6" w:space="0" w:color="auto"/>
              <w:bottom w:val="nil" w:sz="6" w:space="0" w:color="auto"/>
              <w:right w:val="single" w:sz="4" w:space="0" w:color="000000"/>
            </w:tcBorders>
          </w:tcPr>
          <w:p>
            <w:pPr/>
          </w:p>
        </w:tc>
        <w:tc>
          <w:tcPr>
            <w:tcW w:w="878" w:type="dxa"/>
            <w:vMerge/>
            <w:tcBorders>
              <w:left w:val="single" w:sz="4" w:space="0" w:color="000000"/>
              <w:right w:val="single" w:sz="4" w:space="0" w:color="000000"/>
            </w:tcBorders>
          </w:tcPr>
          <w:p>
            <w:pPr/>
          </w:p>
        </w:tc>
        <w:tc>
          <w:tcPr>
            <w:tcW w:w="1002" w:type="dxa"/>
            <w:vMerge/>
            <w:tcBorders>
              <w:left w:val="single" w:sz="4" w:space="0" w:color="000000"/>
              <w:right w:val="single" w:sz="4" w:space="0" w:color="000000"/>
            </w:tcBorders>
          </w:tcPr>
          <w:p>
            <w:pPr/>
          </w:p>
        </w:tc>
      </w:tr>
      <w:tr>
        <w:trPr>
          <w:trHeight w:val="2632" w:hRule="exact"/>
        </w:trPr>
        <w:tc>
          <w:tcPr>
            <w:tcW w:w="1562" w:type="dxa"/>
            <w:vMerge w:val="restart"/>
            <w:tcBorders>
              <w:top w:val="nil" w:sz="6" w:space="0" w:color="auto"/>
              <w:left w:val="single" w:sz="4" w:space="0" w:color="000000"/>
              <w:right w:val="single" w:sz="4" w:space="0" w:color="000000"/>
            </w:tcBorders>
            <w:shd w:val="clear" w:color="auto" w:fill="D2D2D2"/>
          </w:tcPr>
          <w:p>
            <w:pPr/>
          </w:p>
        </w:tc>
        <w:tc>
          <w:tcPr>
            <w:tcW w:w="851" w:type="dxa"/>
            <w:vMerge/>
            <w:tcBorders>
              <w:left w:val="single" w:sz="9" w:space="0" w:color="D2D2D2"/>
              <w:bottom w:val="single" w:sz="4" w:space="0" w:color="000000"/>
              <w:right w:val="single" w:sz="4" w:space="0" w:color="000000"/>
            </w:tcBorders>
          </w:tcPr>
          <w:p>
            <w:pPr/>
          </w:p>
        </w:tc>
        <w:tc>
          <w:tcPr>
            <w:tcW w:w="702" w:type="dxa"/>
            <w:vMerge/>
            <w:tcBorders>
              <w:left w:val="single" w:sz="4" w:space="0" w:color="000000"/>
              <w:bottom w:val="single" w:sz="4" w:space="0" w:color="000000"/>
              <w:right w:val="single" w:sz="4" w:space="0" w:color="000000"/>
            </w:tcBorders>
          </w:tcPr>
          <w:p>
            <w:pPr/>
          </w:p>
        </w:tc>
        <w:tc>
          <w:tcPr>
            <w:tcW w:w="3705" w:type="dxa"/>
            <w:vMerge/>
            <w:tcBorders>
              <w:left w:val="single" w:sz="4" w:space="0" w:color="000000"/>
              <w:bottom w:val="single" w:sz="4" w:space="0" w:color="000000"/>
              <w:right w:val="single" w:sz="4" w:space="0" w:color="000000"/>
            </w:tcBorders>
          </w:tcPr>
          <w:p>
            <w:pPr/>
          </w:p>
        </w:tc>
        <w:tc>
          <w:tcPr>
            <w:tcW w:w="115" w:type="dxa"/>
            <w:vMerge/>
            <w:tcBorders>
              <w:left w:val="single" w:sz="4" w:space="0" w:color="000000"/>
              <w:bottom w:val="single" w:sz="4" w:space="0" w:color="000000"/>
              <w:right w:val="nil" w:sz="6" w:space="0" w:color="auto"/>
            </w:tcBorders>
          </w:tcPr>
          <w:p>
            <w:pPr/>
          </w:p>
        </w:tc>
        <w:tc>
          <w:tcPr>
            <w:tcW w:w="881" w:type="dxa"/>
            <w:tcBorders>
              <w:top w:val="nil" w:sz="6" w:space="0" w:color="auto"/>
              <w:left w:val="nil" w:sz="6" w:space="0" w:color="auto"/>
              <w:bottom w:val="single" w:sz="4" w:space="0" w:color="000000"/>
              <w:right w:val="single" w:sz="4" w:space="0" w:color="000000"/>
            </w:tcBorders>
          </w:tcPr>
          <w:p>
            <w:pPr/>
          </w:p>
        </w:tc>
        <w:tc>
          <w:tcPr>
            <w:tcW w:w="878" w:type="dxa"/>
            <w:vMerge/>
            <w:tcBorders>
              <w:left w:val="single" w:sz="4" w:space="0" w:color="000000"/>
              <w:bottom w:val="single" w:sz="4" w:space="0" w:color="000000"/>
              <w:right w:val="single" w:sz="4" w:space="0" w:color="000000"/>
            </w:tcBorders>
          </w:tcPr>
          <w:p>
            <w:pPr/>
          </w:p>
        </w:tc>
        <w:tc>
          <w:tcPr>
            <w:tcW w:w="1002" w:type="dxa"/>
            <w:vMerge/>
            <w:tcBorders>
              <w:left w:val="single" w:sz="4" w:space="0" w:color="000000"/>
              <w:bottom w:val="single" w:sz="4" w:space="0" w:color="000000"/>
              <w:right w:val="single" w:sz="4" w:space="0" w:color="000000"/>
            </w:tcBorders>
          </w:tcPr>
          <w:p>
            <w:pPr/>
          </w:p>
        </w:tc>
      </w:tr>
      <w:tr>
        <w:trPr>
          <w:trHeight w:val="1923" w:hRule="exact"/>
        </w:trPr>
        <w:tc>
          <w:tcPr>
            <w:tcW w:w="1562" w:type="dxa"/>
            <w:vMerge/>
            <w:tcBorders>
              <w:left w:val="single" w:sz="4" w:space="0" w:color="000000"/>
              <w:bottom w:val="single" w:sz="4" w:space="0" w:color="000000"/>
              <w:right w:val="single" w:sz="4" w:space="0" w:color="000000"/>
            </w:tcBorders>
            <w:shd w:val="clear" w:color="auto" w:fill="D2D2D2"/>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李毅</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319" w:lineRule="auto"/>
              <w:ind w:left="75" w:right="74"/>
              <w:jc w:val="both"/>
              <w:rPr>
                <w:rFonts w:ascii="宋体" w:hAnsi="宋体" w:cs="宋体" w:eastAsia="宋体" w:hint="default"/>
                <w:sz w:val="18"/>
                <w:szCs w:val="18"/>
              </w:rPr>
            </w:pPr>
            <w:r>
              <w:rPr>
                <w:rFonts w:ascii="宋体" w:hAnsi="宋体" w:cs="宋体" w:eastAsia="宋体" w:hint="default"/>
                <w:sz w:val="18"/>
                <w:szCs w:val="18"/>
              </w:rPr>
              <w:t>壳木软 件资产 重组期 限承诺</w:t>
            </w:r>
          </w:p>
        </w:tc>
        <w:tc>
          <w:tcPr>
            <w:tcW w:w="370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21"/>
              <w:jc w:val="center"/>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、壳木软件的任职期限内，未经神州泰岳书面</w:t>
            </w:r>
            <w:r>
              <w:rPr>
                <w:rFonts w:ascii="宋体" w:hAnsi="宋体" w:cs="宋体" w:eastAsia="宋体" w:hint="default"/>
                <w:sz w:val="18"/>
                <w:szCs w:val="18"/>
              </w:rPr>
              <w:t> 同意，不得在神州泰岳及其子公司、壳木软件 以外，从事游戏开发、运营及维护业务或通过 直接或间接控制的其他经营主体从事该等业 务；不得在其他与神州泰岳及其子公司、壳木 </w:t>
            </w:r>
            <w:r>
              <w:rPr>
                <w:rFonts w:ascii="宋体" w:hAnsi="宋体" w:cs="宋体" w:eastAsia="宋体" w:hint="default"/>
                <w:spacing w:val="-3"/>
                <w:sz w:val="18"/>
                <w:szCs w:val="18"/>
              </w:rPr>
              <w:t>软件有竞争关系的任何企业或组织任职。</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、自</w:t>
            </w:r>
            <w:r>
              <w:rPr>
                <w:rFonts w:ascii="宋体" w:hAnsi="宋体" w:cs="宋体" w:eastAsia="宋体" w:hint="default"/>
                <w:sz w:val="18"/>
                <w:szCs w:val="18"/>
              </w:rPr>
            </w:r>
          </w:p>
        </w:tc>
        <w:tc>
          <w:tcPr>
            <w:tcW w:w="9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5"/>
              <w:ind w:left="161" w:right="0"/>
              <w:jc w:val="left"/>
              <w:rPr>
                <w:rFonts w:ascii="Times New Roman" w:hAnsi="Times New Roman" w:cs="Times New Roman" w:eastAsia="Times New Roman" w:hint="default"/>
                <w:sz w:val="18"/>
                <w:szCs w:val="18"/>
              </w:rPr>
            </w:pPr>
            <w:r>
              <w:rPr>
                <w:rFonts w:ascii="Times New Roman"/>
                <w:sz w:val="18"/>
              </w:rPr>
              <w:t>2014-5-7</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right="72"/>
              <w:jc w:val="right"/>
              <w:rPr>
                <w:rFonts w:ascii="宋体" w:hAnsi="宋体" w:cs="宋体" w:eastAsia="宋体" w:hint="default"/>
                <w:sz w:val="18"/>
                <w:szCs w:val="18"/>
              </w:rPr>
            </w:pPr>
            <w:r>
              <w:rPr>
                <w:rFonts w:ascii="宋体" w:hAnsi="宋体" w:cs="宋体" w:eastAsia="宋体" w:hint="default"/>
                <w:sz w:val="18"/>
                <w:szCs w:val="18"/>
              </w:rPr>
              <w:t>长期有效</w:t>
            </w: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right="32"/>
              <w:jc w:val="center"/>
              <w:rPr>
                <w:rFonts w:ascii="宋体" w:hAnsi="宋体" w:cs="宋体" w:eastAsia="宋体" w:hint="default"/>
                <w:sz w:val="18"/>
                <w:szCs w:val="18"/>
              </w:rPr>
            </w:pPr>
            <w:r>
              <w:rPr>
                <w:rFonts w:ascii="宋体" w:hAnsi="宋体" w:cs="宋体" w:eastAsia="宋体" w:hint="default"/>
                <w:sz w:val="18"/>
                <w:szCs w:val="18"/>
              </w:rPr>
              <w:t>正常履行中</w:t>
            </w:r>
          </w:p>
        </w:tc>
      </w:tr>
    </w:tbl>
    <w:p>
      <w:pPr>
        <w:spacing w:after="0" w:line="240" w:lineRule="auto"/>
        <w:jc w:val="center"/>
        <w:rPr>
          <w:rFonts w:ascii="宋体" w:hAnsi="宋体" w:cs="宋体" w:eastAsia="宋体" w:hint="default"/>
          <w:sz w:val="18"/>
          <w:szCs w:val="18"/>
        </w:rPr>
        <w:sectPr>
          <w:pgSz w:w="11910" w:h="16840"/>
          <w:pgMar w:header="851" w:footer="979" w:top="1400" w:bottom="1160" w:left="980" w:right="0"/>
        </w:sectPr>
      </w:pPr>
    </w:p>
    <w:p>
      <w:pPr>
        <w:spacing w:line="240" w:lineRule="auto" w:before="3"/>
        <w:rPr>
          <w:rFonts w:ascii="宋体" w:hAnsi="宋体" w:cs="宋体" w:eastAsia="宋体" w:hint="default"/>
          <w:sz w:val="3"/>
          <w:szCs w:val="3"/>
        </w:rPr>
      </w:pPr>
    </w:p>
    <w:tbl>
      <w:tblPr>
        <w:tblW w:w="0" w:type="auto"/>
        <w:jc w:val="left"/>
        <w:tblInd w:w="101" w:type="dxa"/>
        <w:tblLayout w:type="fixed"/>
        <w:tblCellMar>
          <w:top w:w="0" w:type="dxa"/>
          <w:left w:w="0" w:type="dxa"/>
          <w:bottom w:w="0" w:type="dxa"/>
          <w:right w:w="0" w:type="dxa"/>
        </w:tblCellMar>
        <w:tblLook w:val="01E0"/>
      </w:tblPr>
      <w:tblGrid>
        <w:gridCol w:w="1561"/>
        <w:gridCol w:w="851"/>
        <w:gridCol w:w="702"/>
        <w:gridCol w:w="3705"/>
        <w:gridCol w:w="995"/>
        <w:gridCol w:w="878"/>
        <w:gridCol w:w="970"/>
      </w:tblGrid>
      <w:tr>
        <w:trPr>
          <w:trHeight w:val="1623" w:hRule="exact"/>
        </w:trPr>
        <w:tc>
          <w:tcPr>
            <w:tcW w:w="1561" w:type="dxa"/>
            <w:tcBorders>
              <w:top w:val="single" w:sz="10" w:space="0" w:color="000000"/>
              <w:left w:val="single" w:sz="4" w:space="0" w:color="000000"/>
              <w:bottom w:val="single" w:sz="4" w:space="0" w:color="000000"/>
              <w:right w:val="single" w:sz="4" w:space="0" w:color="000000"/>
            </w:tcBorders>
            <w:shd w:val="clear" w:color="auto" w:fill="D2D2D2"/>
          </w:tcPr>
          <w:p>
            <w:pPr/>
          </w:p>
        </w:tc>
        <w:tc>
          <w:tcPr>
            <w:tcW w:w="851" w:type="dxa"/>
            <w:tcBorders>
              <w:top w:val="single" w:sz="10" w:space="0" w:color="000000"/>
              <w:left w:val="single" w:sz="4" w:space="0" w:color="000000"/>
              <w:bottom w:val="single" w:sz="4" w:space="0" w:color="000000"/>
              <w:right w:val="single" w:sz="4" w:space="0" w:color="000000"/>
            </w:tcBorders>
          </w:tcPr>
          <w:p>
            <w:pPr/>
          </w:p>
        </w:tc>
        <w:tc>
          <w:tcPr>
            <w:tcW w:w="702" w:type="dxa"/>
            <w:tcBorders>
              <w:top w:val="single" w:sz="10" w:space="0" w:color="000000"/>
              <w:left w:val="single" w:sz="4" w:space="0" w:color="000000"/>
              <w:bottom w:val="single" w:sz="4" w:space="0" w:color="000000"/>
              <w:right w:val="single" w:sz="4" w:space="0" w:color="000000"/>
            </w:tcBorders>
          </w:tcPr>
          <w:p>
            <w:pPr/>
          </w:p>
        </w:tc>
        <w:tc>
          <w:tcPr>
            <w:tcW w:w="3705" w:type="dxa"/>
            <w:tcBorders>
              <w:top w:val="single" w:sz="10" w:space="0" w:color="000000"/>
              <w:left w:val="single" w:sz="4" w:space="0" w:color="000000"/>
              <w:bottom w:val="single" w:sz="4" w:space="0" w:color="000000"/>
              <w:right w:val="single" w:sz="4" w:space="0" w:color="000000"/>
            </w:tcBorders>
          </w:tcPr>
          <w:p>
            <w:pPr>
              <w:pStyle w:val="TableParagraph"/>
              <w:spacing w:line="319" w:lineRule="auto" w:before="16"/>
              <w:ind w:left="46" w:right="46"/>
              <w:jc w:val="center"/>
              <w:rPr>
                <w:rFonts w:ascii="宋体" w:hAnsi="宋体" w:cs="宋体" w:eastAsia="宋体" w:hint="default"/>
                <w:sz w:val="18"/>
                <w:szCs w:val="18"/>
              </w:rPr>
            </w:pPr>
            <w:r>
              <w:rPr>
                <w:rFonts w:ascii="宋体" w:hAnsi="宋体" w:cs="宋体" w:eastAsia="宋体" w:hint="default"/>
                <w:sz w:val="18"/>
                <w:szCs w:val="18"/>
              </w:rPr>
              <w:t>其从壳木软件离职后两年内不得在神州泰岳及 其子公司、壳木软件以外的任何企业或组织任 职或担任任何形式的顾问，从事游戏开发、运 营及维护业务或通过直接或间接控制的其他经 营主体从事该等业务。</w:t>
            </w:r>
          </w:p>
        </w:tc>
        <w:tc>
          <w:tcPr>
            <w:tcW w:w="995" w:type="dxa"/>
            <w:tcBorders>
              <w:top w:val="single" w:sz="10" w:space="0" w:color="000000"/>
              <w:left w:val="single" w:sz="4" w:space="0" w:color="000000"/>
              <w:bottom w:val="single" w:sz="4" w:space="0" w:color="000000"/>
              <w:right w:val="single" w:sz="4" w:space="0" w:color="000000"/>
            </w:tcBorders>
          </w:tcPr>
          <w:p>
            <w:pPr/>
          </w:p>
        </w:tc>
        <w:tc>
          <w:tcPr>
            <w:tcW w:w="878" w:type="dxa"/>
            <w:tcBorders>
              <w:top w:val="single" w:sz="10" w:space="0" w:color="000000"/>
              <w:left w:val="single" w:sz="4" w:space="0" w:color="000000"/>
              <w:bottom w:val="single" w:sz="4" w:space="0" w:color="000000"/>
              <w:right w:val="single" w:sz="4" w:space="0" w:color="000000"/>
            </w:tcBorders>
          </w:tcPr>
          <w:p>
            <w:pPr/>
          </w:p>
        </w:tc>
        <w:tc>
          <w:tcPr>
            <w:tcW w:w="970" w:type="dxa"/>
            <w:tcBorders>
              <w:top w:val="single" w:sz="10" w:space="0" w:color="000000"/>
              <w:left w:val="single" w:sz="4" w:space="0" w:color="000000"/>
              <w:bottom w:val="single" w:sz="4" w:space="0" w:color="000000"/>
              <w:right w:val="single" w:sz="4" w:space="0" w:color="000000"/>
            </w:tcBorders>
          </w:tcPr>
          <w:p>
            <w:pPr/>
          </w:p>
        </w:tc>
      </w:tr>
      <w:tr>
        <w:trPr>
          <w:trHeight w:val="2274" w:hRule="exact"/>
        </w:trPr>
        <w:tc>
          <w:tcPr>
            <w:tcW w:w="15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4"/>
                <w:szCs w:val="24"/>
              </w:rPr>
            </w:pPr>
          </w:p>
          <w:p>
            <w:pPr>
              <w:pStyle w:val="TableParagraph"/>
              <w:spacing w:line="316" w:lineRule="auto"/>
              <w:ind w:left="145" w:right="54" w:hanging="90"/>
              <w:jc w:val="left"/>
              <w:rPr>
                <w:rFonts w:ascii="宋体" w:hAnsi="宋体" w:cs="宋体" w:eastAsia="宋体" w:hint="default"/>
                <w:sz w:val="18"/>
                <w:szCs w:val="18"/>
              </w:rPr>
            </w:pPr>
            <w:r>
              <w:rPr>
                <w:rFonts w:ascii="宋体" w:hAnsi="宋体" w:cs="宋体" w:eastAsia="宋体" w:hint="default"/>
                <w:sz w:val="18"/>
                <w:szCs w:val="18"/>
              </w:rPr>
              <w:t>首次公开发行或再 融资时所作承诺</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4"/>
              <w:ind w:left="330" w:right="59" w:hanging="270"/>
              <w:jc w:val="left"/>
              <w:rPr>
                <w:rFonts w:ascii="宋体" w:hAnsi="宋体" w:cs="宋体" w:eastAsia="宋体" w:hint="default"/>
                <w:sz w:val="18"/>
                <w:szCs w:val="18"/>
              </w:rPr>
            </w:pPr>
            <w:r>
              <w:rPr>
                <w:rFonts w:ascii="宋体" w:hAnsi="宋体" w:cs="宋体" w:eastAsia="宋体" w:hint="default"/>
                <w:sz w:val="18"/>
                <w:szCs w:val="18"/>
              </w:rPr>
              <w:t>王宁、李 力</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75" w:right="74"/>
              <w:jc w:val="both"/>
              <w:rPr>
                <w:rFonts w:ascii="宋体" w:hAnsi="宋体" w:cs="宋体" w:eastAsia="宋体" w:hint="default"/>
                <w:sz w:val="18"/>
                <w:szCs w:val="18"/>
              </w:rPr>
            </w:pPr>
            <w:r>
              <w:rPr>
                <w:rFonts w:ascii="宋体" w:hAnsi="宋体" w:cs="宋体" w:eastAsia="宋体" w:hint="default"/>
                <w:sz w:val="18"/>
                <w:szCs w:val="18"/>
              </w:rPr>
              <w:t>首次公 开发行 时承诺</w:t>
            </w:r>
          </w:p>
        </w:tc>
        <w:tc>
          <w:tcPr>
            <w:tcW w:w="370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2" w:right="20" w:hanging="1"/>
              <w:jc w:val="center"/>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、将来不以任何方式从事，包括与他人合作直</w:t>
            </w:r>
            <w:r>
              <w:rPr>
                <w:rFonts w:ascii="宋体" w:hAnsi="宋体" w:cs="宋体" w:eastAsia="宋体" w:hint="default"/>
                <w:sz w:val="18"/>
                <w:szCs w:val="18"/>
              </w:rPr>
              <w:t> 接或间接从事与公司及其子公司相同、相似或 </w:t>
            </w:r>
            <w:r>
              <w:rPr>
                <w:rFonts w:ascii="宋体" w:hAnsi="宋体" w:cs="宋体" w:eastAsia="宋体" w:hint="default"/>
                <w:spacing w:val="-2"/>
                <w:sz w:val="18"/>
                <w:szCs w:val="18"/>
              </w:rPr>
              <w:t>在任何方面构成竞争的业务；</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、承诺将尽可能</w:t>
            </w:r>
            <w:r>
              <w:rPr>
                <w:rFonts w:ascii="宋体" w:hAnsi="宋体" w:cs="宋体" w:eastAsia="宋体" w:hint="default"/>
                <w:sz w:val="18"/>
                <w:szCs w:val="18"/>
              </w:rPr>
              <w:t> 避免和减少与公司之间的关联交易。若有关的 关联交易为公司日常经营所必须或者无法避 免，承诺方保证该等关联交易所列之交易条件 公允，不损害公司及股东利益。</w:t>
            </w:r>
          </w:p>
        </w:tc>
        <w:tc>
          <w:tcPr>
            <w:tcW w:w="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2009-10-30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72"/>
              <w:jc w:val="right"/>
              <w:rPr>
                <w:rFonts w:ascii="宋体" w:hAnsi="宋体" w:cs="宋体" w:eastAsia="宋体" w:hint="default"/>
                <w:sz w:val="18"/>
                <w:szCs w:val="18"/>
              </w:rPr>
            </w:pPr>
            <w:r>
              <w:rPr>
                <w:rFonts w:ascii="宋体" w:hAnsi="宋体" w:cs="宋体" w:eastAsia="宋体" w:hint="default"/>
                <w:sz w:val="18"/>
                <w:szCs w:val="18"/>
              </w:rPr>
              <w:t>长期有效</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正常履行中</w:t>
            </w:r>
          </w:p>
        </w:tc>
      </w:tr>
      <w:tr>
        <w:trPr>
          <w:trHeight w:val="1338" w:hRule="exact"/>
        </w:trPr>
        <w:tc>
          <w:tcPr>
            <w:tcW w:w="1561" w:type="dxa"/>
            <w:vMerge/>
            <w:tcBorders>
              <w:left w:val="single" w:sz="4" w:space="0" w:color="000000"/>
              <w:bottom w:val="single" w:sz="4" w:space="0" w:color="000000"/>
              <w:right w:val="single" w:sz="4" w:space="0" w:color="000000"/>
            </w:tcBorders>
            <w:shd w:val="clear" w:color="auto" w:fill="D2D2D2"/>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60" w:right="59"/>
              <w:jc w:val="center"/>
              <w:rPr>
                <w:rFonts w:ascii="宋体" w:hAnsi="宋体" w:cs="宋体" w:eastAsia="宋体" w:hint="default"/>
                <w:sz w:val="18"/>
                <w:szCs w:val="18"/>
              </w:rPr>
            </w:pPr>
            <w:r>
              <w:rPr>
                <w:rFonts w:ascii="宋体" w:hAnsi="宋体" w:cs="宋体" w:eastAsia="宋体" w:hint="default"/>
                <w:sz w:val="18"/>
                <w:szCs w:val="18"/>
              </w:rPr>
              <w:t>公司首次 公开发行 股票前的 股东</w:t>
            </w:r>
          </w:p>
        </w:tc>
        <w:tc>
          <w:tcPr>
            <w:tcW w:w="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5" w:right="74"/>
              <w:jc w:val="both"/>
              <w:rPr>
                <w:rFonts w:ascii="宋体" w:hAnsi="宋体" w:cs="宋体" w:eastAsia="宋体" w:hint="default"/>
                <w:sz w:val="18"/>
                <w:szCs w:val="18"/>
              </w:rPr>
            </w:pPr>
            <w:r>
              <w:rPr>
                <w:rFonts w:ascii="宋体" w:hAnsi="宋体" w:cs="宋体" w:eastAsia="宋体" w:hint="default"/>
                <w:sz w:val="18"/>
                <w:szCs w:val="18"/>
              </w:rPr>
              <w:t>首次公 开发行 时承诺</w:t>
            </w:r>
          </w:p>
        </w:tc>
        <w:tc>
          <w:tcPr>
            <w:tcW w:w="370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46" w:right="46"/>
              <w:jc w:val="center"/>
              <w:rPr>
                <w:rFonts w:ascii="宋体" w:hAnsi="宋体" w:cs="宋体" w:eastAsia="宋体" w:hint="default"/>
                <w:sz w:val="18"/>
                <w:szCs w:val="18"/>
              </w:rPr>
            </w:pPr>
            <w:r>
              <w:rPr>
                <w:rFonts w:ascii="宋体" w:hAnsi="宋体" w:cs="宋体" w:eastAsia="宋体" w:hint="default"/>
                <w:sz w:val="18"/>
                <w:szCs w:val="18"/>
              </w:rPr>
              <w:t>在担任公司董事、监事或高级管理人员期间， 每年转让的股份不超过本人所持公司股份总数 的百分之二十五；离职后半年内，不转让所持 有的公司股份。</w:t>
            </w:r>
          </w:p>
        </w:tc>
        <w:tc>
          <w:tcPr>
            <w:tcW w:w="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2009-10-30</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72"/>
              <w:jc w:val="right"/>
              <w:rPr>
                <w:rFonts w:ascii="宋体" w:hAnsi="宋体" w:cs="宋体" w:eastAsia="宋体" w:hint="default"/>
                <w:sz w:val="18"/>
                <w:szCs w:val="18"/>
              </w:rPr>
            </w:pPr>
            <w:r>
              <w:rPr>
                <w:rFonts w:ascii="宋体" w:hAnsi="宋体" w:cs="宋体" w:eastAsia="宋体" w:hint="default"/>
                <w:sz w:val="18"/>
                <w:szCs w:val="18"/>
              </w:rPr>
              <w:t>长期有效</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正常履行中</w:t>
            </w:r>
          </w:p>
        </w:tc>
      </w:tr>
      <w:tr>
        <w:trPr>
          <w:trHeight w:val="402" w:hRule="exact"/>
        </w:trPr>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股权激励承诺</w:t>
            </w:r>
          </w:p>
        </w:tc>
        <w:tc>
          <w:tcPr>
            <w:tcW w:w="8101"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714" w:hRule="exact"/>
        </w:trPr>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25" w:right="54" w:hanging="270"/>
              <w:jc w:val="left"/>
              <w:rPr>
                <w:rFonts w:ascii="宋体" w:hAnsi="宋体" w:cs="宋体" w:eastAsia="宋体" w:hint="default"/>
                <w:sz w:val="18"/>
                <w:szCs w:val="18"/>
              </w:rPr>
            </w:pPr>
            <w:r>
              <w:rPr>
                <w:rFonts w:ascii="宋体" w:hAnsi="宋体" w:cs="宋体" w:eastAsia="宋体" w:hint="default"/>
                <w:sz w:val="18"/>
                <w:szCs w:val="18"/>
              </w:rPr>
              <w:t>其他对公司中小股 东所作承诺</w:t>
            </w:r>
          </w:p>
        </w:tc>
        <w:tc>
          <w:tcPr>
            <w:tcW w:w="8101"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承诺是否按时履行</w:t>
            </w:r>
          </w:p>
        </w:tc>
        <w:tc>
          <w:tcPr>
            <w:tcW w:w="8101"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1650" w:hRule="exact"/>
        </w:trPr>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5" w:right="54"/>
              <w:jc w:val="center"/>
              <w:rPr>
                <w:rFonts w:ascii="宋体" w:hAnsi="宋体" w:cs="宋体" w:eastAsia="宋体" w:hint="default"/>
                <w:sz w:val="18"/>
                <w:szCs w:val="18"/>
              </w:rPr>
            </w:pPr>
            <w:r>
              <w:rPr>
                <w:rFonts w:ascii="宋体" w:hAnsi="宋体" w:cs="宋体" w:eastAsia="宋体" w:hint="default"/>
                <w:sz w:val="18"/>
                <w:szCs w:val="18"/>
              </w:rPr>
              <w:t>如承诺超期未履行 完毕的，应当详细 说明未完成履行的 具体原因及下一步 的工作计划</w:t>
            </w:r>
          </w:p>
        </w:tc>
        <w:tc>
          <w:tcPr>
            <w:tcW w:w="8101"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不适用</w:t>
            </w:r>
          </w:p>
        </w:tc>
      </w:tr>
    </w:tbl>
    <w:p>
      <w:pPr>
        <w:pStyle w:val="Heading3"/>
        <w:spacing w:line="386" w:lineRule="auto" w:before="63"/>
        <w:ind w:left="134" w:right="1032"/>
        <w:jc w:val="left"/>
        <w:rPr>
          <w:b w:val="0"/>
          <w:bCs w:val="0"/>
        </w:rPr>
      </w:pPr>
      <w:bookmarkStart w:name="2、公司资产或项目存在盈利预测，且报告期仍处在盈利预测期间，公司就资产或项目达到" w:id="75"/>
      <w:bookmarkEnd w:id="75"/>
      <w:r>
        <w:rPr>
          <w:b w:val="0"/>
          <w:bCs w:val="0"/>
        </w:rPr>
      </w:r>
      <w:r>
        <w:rPr>
          <w:rFonts w:ascii="Times New Roman" w:hAnsi="Times New Roman" w:cs="Times New Roman" w:eastAsia="Times New Roman" w:hint="default"/>
        </w:rPr>
        <w:t>2</w:t>
      </w:r>
      <w:r>
        <w:rPr/>
        <w:t>、公司资产或项目存在盈利预测，且报告期仍处在盈利预测期间，公司就资产或项目达到原盈利预测及</w:t>
      </w:r>
      <w:r>
        <w:rPr>
          <w:spacing w:val="-74"/>
        </w:rPr>
        <w:t> </w:t>
      </w:r>
      <w:r>
        <w:rPr>
          <w:spacing w:val="-74"/>
        </w:rPr>
      </w:r>
      <w:r>
        <w:rPr/>
        <w:t>其原因做出说明</w:t>
      </w:r>
      <w:r>
        <w:rPr>
          <w:b w:val="0"/>
          <w:bCs w:val="0"/>
        </w:rPr>
      </w:r>
    </w:p>
    <w:p>
      <w:pPr>
        <w:spacing w:before="90"/>
        <w:ind w:left="134" w:right="7680"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9"/>
          <w:szCs w:val="9"/>
        </w:rPr>
      </w:pPr>
    </w:p>
    <w:tbl>
      <w:tblPr>
        <w:tblW w:w="0" w:type="auto"/>
        <w:jc w:val="left"/>
        <w:tblInd w:w="101" w:type="dxa"/>
        <w:tblLayout w:type="fixed"/>
        <w:tblCellMar>
          <w:top w:w="0" w:type="dxa"/>
          <w:left w:w="0" w:type="dxa"/>
          <w:bottom w:w="0" w:type="dxa"/>
          <w:right w:w="0" w:type="dxa"/>
        </w:tblCellMar>
        <w:tblLook w:val="01E0"/>
      </w:tblPr>
      <w:tblGrid>
        <w:gridCol w:w="1209"/>
        <w:gridCol w:w="1211"/>
        <w:gridCol w:w="1212"/>
        <w:gridCol w:w="1212"/>
        <w:gridCol w:w="1212"/>
        <w:gridCol w:w="1212"/>
        <w:gridCol w:w="1214"/>
        <w:gridCol w:w="1212"/>
      </w:tblGrid>
      <w:tr>
        <w:trPr>
          <w:trHeight w:val="714" w:hRule="exact"/>
        </w:trPr>
        <w:tc>
          <w:tcPr>
            <w:tcW w:w="1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48" w:right="58" w:hanging="90"/>
              <w:jc w:val="left"/>
              <w:rPr>
                <w:rFonts w:ascii="宋体" w:hAnsi="宋体" w:cs="宋体" w:eastAsia="宋体" w:hint="default"/>
                <w:sz w:val="18"/>
                <w:szCs w:val="18"/>
              </w:rPr>
            </w:pPr>
            <w:r>
              <w:rPr>
                <w:rFonts w:ascii="宋体" w:hAnsi="宋体" w:cs="宋体" w:eastAsia="宋体" w:hint="default"/>
                <w:sz w:val="18"/>
                <w:szCs w:val="18"/>
              </w:rPr>
              <w:t>盈利预测资产 或项目名称</w:t>
            </w:r>
          </w:p>
        </w:tc>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预测起始时间</w:t>
            </w:r>
          </w:p>
        </w:tc>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预测终止时间</w:t>
            </w:r>
          </w:p>
        </w:tc>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当期预测业绩</w:t>
            </w:r>
          </w:p>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当期实际业绩</w:t>
            </w:r>
          </w:p>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61" w:right="59"/>
              <w:jc w:val="left"/>
              <w:rPr>
                <w:rFonts w:ascii="宋体" w:hAnsi="宋体" w:cs="宋体" w:eastAsia="宋体" w:hint="default"/>
                <w:sz w:val="18"/>
                <w:szCs w:val="18"/>
              </w:rPr>
            </w:pPr>
            <w:r>
              <w:rPr>
                <w:rFonts w:ascii="宋体" w:hAnsi="宋体" w:cs="宋体" w:eastAsia="宋体" w:hint="default"/>
                <w:sz w:val="18"/>
                <w:szCs w:val="18"/>
              </w:rPr>
              <w:t>未达预测的原 因（如适用）</w:t>
            </w:r>
          </w:p>
        </w:tc>
        <w:tc>
          <w:tcPr>
            <w:tcW w:w="12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12" w:right="60" w:hanging="450"/>
              <w:jc w:val="left"/>
              <w:rPr>
                <w:rFonts w:ascii="宋体" w:hAnsi="宋体" w:cs="宋体" w:eastAsia="宋体" w:hint="default"/>
                <w:sz w:val="18"/>
                <w:szCs w:val="18"/>
              </w:rPr>
            </w:pPr>
            <w:r>
              <w:rPr>
                <w:rFonts w:ascii="宋体" w:hAnsi="宋体" w:cs="宋体" w:eastAsia="宋体" w:hint="default"/>
                <w:sz w:val="18"/>
                <w:szCs w:val="18"/>
              </w:rPr>
              <w:t>原预测披露日 期</w:t>
            </w:r>
          </w:p>
        </w:tc>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10" w:right="60" w:hanging="450"/>
              <w:jc w:val="left"/>
              <w:rPr>
                <w:rFonts w:ascii="宋体" w:hAnsi="宋体" w:cs="宋体" w:eastAsia="宋体" w:hint="default"/>
                <w:sz w:val="18"/>
                <w:szCs w:val="18"/>
              </w:rPr>
            </w:pPr>
            <w:r>
              <w:rPr>
                <w:rFonts w:ascii="宋体" w:hAnsi="宋体" w:cs="宋体" w:eastAsia="宋体" w:hint="default"/>
                <w:sz w:val="18"/>
                <w:szCs w:val="18"/>
              </w:rPr>
              <w:t>原预测披露索 引</w:t>
            </w:r>
          </w:p>
        </w:tc>
      </w:tr>
      <w:tr>
        <w:trPr>
          <w:trHeight w:val="714" w:hRule="exact"/>
        </w:trPr>
        <w:tc>
          <w:tcPr>
            <w:tcW w:w="120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418" w:right="58" w:hanging="360"/>
              <w:jc w:val="left"/>
              <w:rPr>
                <w:rFonts w:ascii="宋体" w:hAnsi="宋体" w:cs="宋体" w:eastAsia="宋体" w:hint="default"/>
                <w:sz w:val="18"/>
                <w:szCs w:val="18"/>
              </w:rPr>
            </w:pPr>
            <w:r>
              <w:rPr>
                <w:rFonts w:ascii="宋体" w:hAnsi="宋体" w:cs="宋体" w:eastAsia="宋体" w:hint="default"/>
                <w:sz w:val="18"/>
                <w:szCs w:val="18"/>
              </w:rPr>
              <w:t>蓝鸥科技有限 公司</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2018-01-01</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2018-12-31</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99" w:right="0"/>
              <w:jc w:val="left"/>
              <w:rPr>
                <w:rFonts w:ascii="Times New Roman" w:hAnsi="Times New Roman" w:cs="Times New Roman" w:eastAsia="Times New Roman" w:hint="default"/>
                <w:sz w:val="18"/>
                <w:szCs w:val="18"/>
              </w:rPr>
            </w:pPr>
            <w:r>
              <w:rPr>
                <w:rFonts w:ascii="Times New Roman"/>
                <w:sz w:val="18"/>
              </w:rPr>
              <w:t>1,000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56" w:right="0"/>
              <w:jc w:val="left"/>
              <w:rPr>
                <w:rFonts w:ascii="Times New Roman" w:hAnsi="Times New Roman" w:cs="Times New Roman" w:eastAsia="Times New Roman" w:hint="default"/>
                <w:sz w:val="18"/>
                <w:szCs w:val="18"/>
              </w:rPr>
            </w:pPr>
            <w:r>
              <w:rPr>
                <w:rFonts w:ascii="Times New Roman"/>
                <w:sz w:val="18"/>
              </w:rPr>
              <w:t>-2,749.21</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41" w:right="59" w:hanging="180"/>
              <w:jc w:val="left"/>
              <w:rPr>
                <w:rFonts w:ascii="宋体" w:hAnsi="宋体" w:cs="宋体" w:eastAsia="宋体" w:hint="default"/>
                <w:sz w:val="18"/>
                <w:szCs w:val="18"/>
              </w:rPr>
            </w:pPr>
            <w:r>
              <w:rPr>
                <w:rFonts w:ascii="宋体" w:hAnsi="宋体" w:cs="宋体" w:eastAsia="宋体" w:hint="default"/>
                <w:sz w:val="18"/>
                <w:szCs w:val="18"/>
              </w:rPr>
              <w:t>生源市场扩展 未达预期</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2" w:right="0"/>
              <w:jc w:val="left"/>
              <w:rPr>
                <w:rFonts w:ascii="Times New Roman" w:hAnsi="Times New Roman" w:cs="Times New Roman" w:eastAsia="Times New Roman" w:hint="default"/>
                <w:sz w:val="18"/>
                <w:szCs w:val="18"/>
              </w:rPr>
            </w:pPr>
            <w:r>
              <w:rPr>
                <w:rFonts w:ascii="Times New Roman"/>
                <w:sz w:val="18"/>
              </w:rPr>
              <w:t>2018-04-27</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55" w:right="0"/>
              <w:jc w:val="left"/>
              <w:rPr>
                <w:rFonts w:ascii="Times New Roman" w:hAnsi="Times New Roman" w:cs="Times New Roman" w:eastAsia="Times New Roman" w:hint="default"/>
                <w:sz w:val="18"/>
                <w:szCs w:val="18"/>
              </w:rPr>
            </w:pPr>
            <w:r>
              <w:rPr>
                <w:rFonts w:ascii="Times New Roman"/>
                <w:sz w:val="18"/>
              </w:rPr>
              <w:t>2018-013</w:t>
            </w:r>
          </w:p>
        </w:tc>
      </w:tr>
    </w:tbl>
    <w:p>
      <w:pPr>
        <w:pStyle w:val="Heading5"/>
        <w:spacing w:line="240" w:lineRule="auto" w:before="88"/>
        <w:ind w:left="134" w:right="1032"/>
        <w:jc w:val="left"/>
        <w:rPr>
          <w:b w:val="0"/>
          <w:bCs w:val="0"/>
        </w:rPr>
      </w:pPr>
      <w:r>
        <w:rPr/>
        <w:t>公司股东、交易对手方对公司或相关资产年度经营业绩作出的承诺情况</w:t>
      </w:r>
      <w:r>
        <w:rPr>
          <w:b w:val="0"/>
          <w:bCs w:val="0"/>
        </w:rPr>
      </w:r>
    </w:p>
    <w:p>
      <w:pPr>
        <w:spacing w:line="240" w:lineRule="auto" w:before="10"/>
        <w:rPr>
          <w:rFonts w:ascii="宋体" w:hAnsi="宋体" w:cs="宋体" w:eastAsia="宋体" w:hint="default"/>
          <w:b/>
          <w:bCs/>
          <w:sz w:val="17"/>
          <w:szCs w:val="17"/>
        </w:rPr>
      </w:pPr>
    </w:p>
    <w:p>
      <w:pPr>
        <w:spacing w:before="0"/>
        <w:ind w:left="134" w:right="7680"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16"/>
          <w:szCs w:val="16"/>
        </w:rPr>
      </w:pPr>
    </w:p>
    <w:p>
      <w:pPr>
        <w:pStyle w:val="BodyText"/>
        <w:spacing w:line="451" w:lineRule="auto"/>
        <w:ind w:left="134" w:right="1123" w:firstLine="360"/>
        <w:jc w:val="left"/>
      </w:pPr>
      <w:r>
        <w:rPr>
          <w:spacing w:val="-1"/>
        </w:rPr>
        <w:t>蓝鸥科技有限公司</w:t>
      </w:r>
      <w:r>
        <w:rPr>
          <w:rFonts w:ascii="Times New Roman" w:hAnsi="Times New Roman" w:cs="Times New Roman" w:eastAsia="Times New Roman" w:hint="default"/>
          <w:spacing w:val="-1"/>
        </w:rPr>
        <w:t>2018</w:t>
      </w:r>
      <w:r>
        <w:rPr>
          <w:spacing w:val="-1"/>
        </w:rPr>
        <w:t>年度净利润数（扣除非经常性损益后归属于母公司股东的净利润）为</w:t>
      </w:r>
      <w:r>
        <w:rPr>
          <w:rFonts w:ascii="Times New Roman" w:hAnsi="Times New Roman" w:cs="Times New Roman" w:eastAsia="Times New Roman" w:hint="default"/>
          <w:spacing w:val="-1"/>
        </w:rPr>
        <w:t>-2,749.21</w:t>
      </w:r>
      <w:r>
        <w:rPr>
          <w:spacing w:val="-1"/>
        </w:rPr>
        <w:t>万元，未完成</w:t>
      </w:r>
      <w:r>
        <w:rPr>
          <w:rFonts w:ascii="Times New Roman" w:hAnsi="Times New Roman" w:cs="Times New Roman" w:eastAsia="Times New Roman" w:hint="default"/>
          <w:spacing w:val="-1"/>
        </w:rPr>
        <w:t>2018</w:t>
      </w:r>
      <w:r>
        <w:rPr>
          <w:rFonts w:ascii="Times New Roman" w:hAnsi="Times New Roman" w:cs="Times New Roman" w:eastAsia="Times New Roman" w:hint="default"/>
        </w:rPr>
        <w:t> </w:t>
      </w:r>
      <w:r>
        <w:rPr/>
        <w:t>年度业绩承诺，主要原因是：市场竞争加剧，市场推广未达预期。</w:t>
      </w:r>
    </w:p>
    <w:p>
      <w:pPr>
        <w:spacing w:after="0" w:line="451" w:lineRule="auto"/>
        <w:jc w:val="left"/>
        <w:sectPr>
          <w:pgSz w:w="11910" w:h="16840"/>
          <w:pgMar w:header="851" w:footer="979" w:top="1400" w:bottom="1160" w:left="1000" w:right="0"/>
        </w:sectPr>
      </w:pPr>
    </w:p>
    <w:p>
      <w:pPr>
        <w:pStyle w:val="Heading2"/>
        <w:spacing w:line="240" w:lineRule="auto" w:before="24"/>
        <w:ind w:right="0"/>
        <w:jc w:val="both"/>
        <w:rPr>
          <w:b w:val="0"/>
          <w:bCs w:val="0"/>
        </w:rPr>
      </w:pPr>
      <w:r>
        <w:rPr/>
        <w:pict>
          <v:group style="position:absolute;margin-left:55.200001pt;margin-top:2.675601pt;width:485pt;height:.1pt;mso-position-horizontal-relative:page;mso-position-vertical-relative:paragraph;z-index:-1077208" coordorigin="1104,54" coordsize="9700,2">
            <v:shape style="position:absolute;left:1104;top:54;width:9700;height:2" coordorigin="1104,54" coordsize="9700,0" path="m1104,54l10804,54e" filled="false" stroked="true" strokeweight=".72pt" strokecolor="#000000">
              <v:path arrowok="t"/>
            </v:shape>
            <w10:wrap type="none"/>
          </v:group>
        </w:pict>
      </w:r>
      <w:bookmarkStart w:name="三、控股股东及其关联方对上市公司的非经营性占用资金情况" w:id="76"/>
      <w:bookmarkEnd w:id="76"/>
      <w:r>
        <w:rPr>
          <w:b w:val="0"/>
          <w:bCs w:val="0"/>
        </w:rPr>
      </w:r>
      <w:r>
        <w:rPr/>
        <w:t>三、控股股东及其关联方对上市公司的非经营性占用资金情况</w:t>
      </w:r>
      <w:r>
        <w:rPr>
          <w:b w:val="0"/>
          <w:bCs w:val="0"/>
        </w:rPr>
      </w:r>
    </w:p>
    <w:p>
      <w:pPr>
        <w:spacing w:line="240" w:lineRule="auto" w:before="7"/>
        <w:rPr>
          <w:rFonts w:ascii="宋体" w:hAnsi="宋体" w:cs="宋体" w:eastAsia="宋体" w:hint="default"/>
          <w:b/>
          <w:bCs/>
          <w:sz w:val="26"/>
          <w:szCs w:val="26"/>
        </w:rPr>
      </w:pPr>
    </w:p>
    <w:p>
      <w:pPr>
        <w:pStyle w:val="BodyText"/>
        <w:spacing w:line="412" w:lineRule="auto"/>
        <w:ind w:right="4992"/>
        <w:jc w:val="left"/>
      </w:pPr>
      <w:r>
        <w:rPr>
          <w:rFonts w:ascii="Times New Roman" w:hAnsi="Times New Roman" w:cs="Times New Roman" w:eastAsia="Times New Roman" w:hint="default"/>
        </w:rPr>
        <w:t>□ </w:t>
      </w:r>
      <w:r>
        <w:rPr/>
        <w:t>适用 </w:t>
      </w:r>
      <w:r>
        <w:rPr>
          <w:rFonts w:ascii="宋体" w:hAnsi="宋体" w:cs="宋体" w:eastAsia="宋体" w:hint="default"/>
          <w:b/>
          <w:bCs/>
        </w:rPr>
        <w:t>√</w:t>
      </w:r>
      <w:r>
        <w:rPr>
          <w:rFonts w:ascii="宋体" w:hAnsi="宋体" w:cs="宋体" w:eastAsia="宋体" w:hint="default"/>
          <w:b/>
          <w:bCs/>
          <w:spacing w:val="-1"/>
        </w:rPr>
        <w:t> </w:t>
      </w:r>
      <w:r>
        <w:rPr>
          <w:rFonts w:ascii="宋体" w:hAnsi="宋体" w:cs="宋体" w:eastAsia="宋体" w:hint="default"/>
          <w:b/>
          <w:bCs/>
        </w:rPr>
        <w:t>不适用</w:t>
      </w:r>
      <w:r>
        <w:rPr>
          <w:rFonts w:ascii="宋体" w:hAnsi="宋体" w:cs="宋体" w:eastAsia="宋体" w:hint="default"/>
          <w:b/>
          <w:bCs/>
          <w:w w:val="99"/>
        </w:rPr>
        <w:t> </w:t>
      </w:r>
      <w:r>
        <w:rPr/>
        <w:t>公司报告期不存在控股股东及其关联方对上市公司的非经营性占用资金。</w:t>
      </w:r>
    </w:p>
    <w:p>
      <w:pPr>
        <w:spacing w:line="240" w:lineRule="auto" w:before="3"/>
        <w:rPr>
          <w:rFonts w:ascii="宋体" w:hAnsi="宋体" w:cs="宋体" w:eastAsia="宋体" w:hint="default"/>
          <w:sz w:val="21"/>
          <w:szCs w:val="21"/>
        </w:rPr>
      </w:pPr>
    </w:p>
    <w:p>
      <w:pPr>
        <w:pStyle w:val="Heading2"/>
        <w:spacing w:line="240" w:lineRule="auto"/>
        <w:ind w:right="0"/>
        <w:jc w:val="both"/>
        <w:rPr>
          <w:b w:val="0"/>
          <w:bCs w:val="0"/>
        </w:rPr>
      </w:pPr>
      <w:bookmarkStart w:name="四、董事会对最近一期“非标准审计报告”相关情况的说明" w:id="77"/>
      <w:bookmarkEnd w:id="77"/>
      <w:r>
        <w:rPr>
          <w:b w:val="0"/>
          <w:bCs w:val="0"/>
        </w:rPr>
      </w:r>
      <w:r>
        <w:rPr/>
        <w:t>四、董事会对最近一期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相关情况的说明</w:t>
      </w:r>
      <w:r>
        <w:rPr>
          <w:b w:val="0"/>
          <w:bCs w:val="0"/>
        </w:rPr>
      </w:r>
    </w:p>
    <w:p>
      <w:pPr>
        <w:spacing w:line="240" w:lineRule="auto" w:before="2"/>
        <w:rPr>
          <w:rFonts w:ascii="宋体" w:hAnsi="宋体" w:cs="宋体" w:eastAsia="宋体" w:hint="default"/>
          <w:b/>
          <w:bCs/>
          <w:sz w:val="25"/>
          <w:szCs w:val="25"/>
        </w:rPr>
      </w:pPr>
    </w:p>
    <w:p>
      <w:pPr>
        <w:spacing w:before="0"/>
        <w:ind w:left="15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2"/>
        <w:rPr>
          <w:rFonts w:ascii="宋体" w:hAnsi="宋体" w:cs="宋体" w:eastAsia="宋体" w:hint="default"/>
          <w:b/>
          <w:bCs/>
          <w:sz w:val="23"/>
          <w:szCs w:val="23"/>
        </w:rPr>
      </w:pPr>
    </w:p>
    <w:p>
      <w:pPr>
        <w:pStyle w:val="Heading2"/>
        <w:spacing w:line="240" w:lineRule="auto"/>
        <w:ind w:right="0"/>
        <w:jc w:val="both"/>
        <w:rPr>
          <w:b w:val="0"/>
          <w:bCs w:val="0"/>
        </w:rPr>
      </w:pPr>
      <w:bookmarkStart w:name="五、董事会、监事会、独立董事（如有）对会计师事务所本报告期“非标准审计报告”的说" w:id="78"/>
      <w:bookmarkEnd w:id="78"/>
      <w:r>
        <w:rPr>
          <w:b w:val="0"/>
          <w:bCs w:val="0"/>
        </w:rPr>
      </w:r>
      <w:r>
        <w:rPr/>
        <w:t>五、董事会、监事会、独立董事（如有）对会计师事务所本报告期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的说明</w:t>
      </w:r>
      <w:r>
        <w:rPr>
          <w:b w:val="0"/>
          <w:bCs w:val="0"/>
        </w:rPr>
      </w:r>
    </w:p>
    <w:p>
      <w:pPr>
        <w:spacing w:line="240" w:lineRule="auto" w:before="4"/>
        <w:rPr>
          <w:rFonts w:ascii="宋体" w:hAnsi="宋体" w:cs="宋体" w:eastAsia="宋体" w:hint="default"/>
          <w:b/>
          <w:bCs/>
          <w:sz w:val="25"/>
          <w:szCs w:val="25"/>
        </w:rPr>
      </w:pPr>
    </w:p>
    <w:p>
      <w:pPr>
        <w:spacing w:before="0"/>
        <w:ind w:left="15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2"/>
        <w:rPr>
          <w:rFonts w:ascii="宋体" w:hAnsi="宋体" w:cs="宋体" w:eastAsia="宋体" w:hint="default"/>
          <w:b/>
          <w:bCs/>
          <w:sz w:val="23"/>
          <w:szCs w:val="23"/>
        </w:rPr>
      </w:pPr>
    </w:p>
    <w:p>
      <w:pPr>
        <w:pStyle w:val="Heading2"/>
        <w:spacing w:line="240" w:lineRule="auto"/>
        <w:ind w:right="0"/>
        <w:jc w:val="both"/>
        <w:rPr>
          <w:b w:val="0"/>
          <w:bCs w:val="0"/>
        </w:rPr>
      </w:pPr>
      <w:bookmarkStart w:name="六、董事会关于报告期会计政策、会计估计变更或重大会计差错更正的说明" w:id="79"/>
      <w:bookmarkEnd w:id="79"/>
      <w:r>
        <w:rPr>
          <w:b w:val="0"/>
          <w:bCs w:val="0"/>
        </w:rPr>
      </w:r>
      <w:r>
        <w:rPr/>
        <w:t>六、董事会关于报告期会计政策、会计估计变更或重大会计差错更正的说明</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both"/>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13"/>
          <w:szCs w:val="13"/>
        </w:rPr>
      </w:pPr>
    </w:p>
    <w:p>
      <w:pPr>
        <w:pStyle w:val="BodyText"/>
        <w:spacing w:line="240" w:lineRule="auto"/>
        <w:ind w:left="514" w:right="0"/>
        <w:jc w:val="left"/>
      </w:pPr>
      <w:r>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2018</w:t>
      </w:r>
      <w:r>
        <w:rPr>
          <w:rFonts w:ascii="Times New Roman" w:hAnsi="Times New Roman" w:cs="Times New Roman" w:eastAsia="Times New Roman" w:hint="default"/>
          <w:spacing w:val="10"/>
        </w:rPr>
        <w:t> </w:t>
      </w:r>
      <w:r>
        <w:rPr/>
        <w:t>年</w:t>
      </w:r>
      <w:r>
        <w:rPr>
          <w:spacing w:val="-34"/>
        </w:rPr>
        <w:t> </w:t>
      </w:r>
      <w:r>
        <w:rPr>
          <w:rFonts w:ascii="Times New Roman" w:hAnsi="Times New Roman" w:cs="Times New Roman" w:eastAsia="Times New Roman" w:hint="default"/>
        </w:rPr>
        <w:t>4</w:t>
      </w:r>
      <w:r>
        <w:rPr>
          <w:rFonts w:ascii="Times New Roman" w:hAnsi="Times New Roman" w:cs="Times New Roman" w:eastAsia="Times New Roman" w:hint="default"/>
          <w:spacing w:val="10"/>
        </w:rPr>
        <w:t> </w:t>
      </w:r>
      <w:r>
        <w:rPr/>
        <w:t>月</w:t>
      </w:r>
      <w:r>
        <w:rPr>
          <w:spacing w:val="-35"/>
        </w:rPr>
        <w:t> </w:t>
      </w:r>
      <w:r>
        <w:rPr>
          <w:rFonts w:ascii="Times New Roman" w:hAnsi="Times New Roman" w:cs="Times New Roman" w:eastAsia="Times New Roman" w:hint="default"/>
        </w:rPr>
        <w:t>26</w:t>
      </w:r>
      <w:r>
        <w:rPr>
          <w:rFonts w:ascii="Times New Roman" w:hAnsi="Times New Roman" w:cs="Times New Roman" w:eastAsia="Times New Roman" w:hint="default"/>
          <w:spacing w:val="10"/>
        </w:rPr>
        <w:t> </w:t>
      </w:r>
      <w:r>
        <w:rPr/>
        <w:t>日，公司第六届董事会第三十七会议及第六届监事会第七次会议，审议通过了《关于会计政策变</w:t>
      </w:r>
    </w:p>
    <w:p>
      <w:pPr>
        <w:spacing w:line="240" w:lineRule="auto" w:before="9"/>
        <w:rPr>
          <w:rFonts w:ascii="宋体" w:hAnsi="宋体" w:cs="宋体" w:eastAsia="宋体" w:hint="default"/>
          <w:sz w:val="16"/>
          <w:szCs w:val="16"/>
        </w:rPr>
      </w:pPr>
    </w:p>
    <w:p>
      <w:pPr>
        <w:pStyle w:val="BodyText"/>
        <w:spacing w:line="240" w:lineRule="auto"/>
        <w:ind w:right="0"/>
        <w:jc w:val="both"/>
      </w:pPr>
      <w:r>
        <w:rPr/>
        <w:t>更的议案</w:t>
      </w:r>
      <w:r>
        <w:rPr>
          <w:spacing w:val="-90"/>
        </w:rPr>
        <w:t>》</w:t>
      </w:r>
      <w:r>
        <w:rPr/>
        <w:t>。财政部于</w:t>
      </w:r>
      <w:r>
        <w:rPr>
          <w:spacing w:val="-44"/>
        </w:rPr>
        <w:t> </w:t>
      </w:r>
      <w:r>
        <w:rPr>
          <w:rFonts w:ascii="Times New Roman" w:hAnsi="Times New Roman" w:cs="Times New Roman" w:eastAsia="Times New Roman" w:hint="default"/>
        </w:rPr>
        <w:t>2017 </w:t>
      </w:r>
      <w:r>
        <w:rPr/>
        <w:t>年</w:t>
      </w:r>
      <w:r>
        <w:rPr>
          <w:spacing w:val="-44"/>
        </w:rPr>
        <w:t> </w:t>
      </w:r>
      <w:r>
        <w:rPr>
          <w:rFonts w:ascii="Times New Roman" w:hAnsi="Times New Roman" w:cs="Times New Roman" w:eastAsia="Times New Roman" w:hint="default"/>
        </w:rPr>
        <w:t>4 </w:t>
      </w:r>
      <w:r>
        <w:rPr/>
        <w:t>月</w:t>
      </w:r>
      <w:r>
        <w:rPr>
          <w:spacing w:val="-45"/>
        </w:rPr>
        <w:t> </w:t>
      </w:r>
      <w:r>
        <w:rPr>
          <w:rFonts w:ascii="Times New Roman" w:hAnsi="Times New Roman" w:cs="Times New Roman" w:eastAsia="Times New Roman" w:hint="default"/>
        </w:rPr>
        <w:t>28 </w:t>
      </w:r>
      <w:r>
        <w:rPr/>
        <w:t>日发</w:t>
      </w:r>
      <w:r>
        <w:rPr>
          <w:spacing w:val="1"/>
        </w:rPr>
        <w:t>布</w:t>
      </w:r>
      <w:r>
        <w:rPr/>
        <w:t>了《企业会计准则第</w:t>
      </w:r>
      <w:r>
        <w:rPr>
          <w:spacing w:val="-44"/>
        </w:rPr>
        <w:t> </w:t>
      </w:r>
      <w:r>
        <w:rPr>
          <w:rFonts w:ascii="Times New Roman" w:hAnsi="Times New Roman" w:cs="Times New Roman" w:eastAsia="Times New Roman" w:hint="default"/>
        </w:rPr>
        <w:t>42 </w:t>
      </w:r>
      <w:r>
        <w:rPr/>
        <w:t>号</w:t>
      </w:r>
      <w:r>
        <w:rPr>
          <w:rFonts w:ascii="Times New Roman" w:hAnsi="Times New Roman" w:cs="Times New Roman" w:eastAsia="Times New Roman" w:hint="default"/>
          <w:spacing w:val="1"/>
        </w:rPr>
        <w:t>—</w:t>
      </w:r>
      <w:r>
        <w:rPr/>
        <w:t>持有待售的非流动资产、处置组和终止经营</w:t>
      </w:r>
      <w:r>
        <w:rPr>
          <w:spacing w:val="-90"/>
        </w:rPr>
        <w:t>》</w:t>
      </w:r>
      <w:r>
        <w:rPr/>
        <w:t>（财</w:t>
      </w:r>
    </w:p>
    <w:p>
      <w:pPr>
        <w:spacing w:line="240" w:lineRule="auto" w:before="9"/>
        <w:rPr>
          <w:rFonts w:ascii="宋体" w:hAnsi="宋体" w:cs="宋体" w:eastAsia="宋体" w:hint="default"/>
          <w:sz w:val="16"/>
          <w:szCs w:val="16"/>
        </w:rPr>
      </w:pPr>
    </w:p>
    <w:p>
      <w:pPr>
        <w:pStyle w:val="BodyText"/>
        <w:spacing w:line="240" w:lineRule="auto"/>
        <w:ind w:right="0"/>
        <w:jc w:val="both"/>
      </w:pPr>
      <w:r>
        <w:rPr>
          <w:spacing w:val="-6"/>
        </w:rPr>
        <w:t>会</w:t>
      </w:r>
      <w:r>
        <w:rPr/>
        <w:t>〔</w:t>
      </w:r>
      <w:r>
        <w:rPr>
          <w:rFonts w:ascii="Times New Roman" w:hAnsi="Times New Roman" w:cs="Times New Roman" w:eastAsia="Times New Roman" w:hint="default"/>
        </w:rPr>
        <w:t>2017</w:t>
      </w:r>
      <w:r>
        <w:rPr>
          <w:spacing w:val="-6"/>
        </w:rPr>
        <w:t>〕</w:t>
      </w:r>
      <w:r>
        <w:rPr>
          <w:rFonts w:ascii="Times New Roman" w:hAnsi="Times New Roman" w:cs="Times New Roman" w:eastAsia="Times New Roman" w:hint="default"/>
        </w:rPr>
        <w:t>13</w:t>
      </w:r>
      <w:r>
        <w:rPr>
          <w:rFonts w:ascii="Times New Roman" w:hAnsi="Times New Roman" w:cs="Times New Roman" w:eastAsia="Times New Roman" w:hint="default"/>
          <w:spacing w:val="-1"/>
        </w:rPr>
        <w:t> </w:t>
      </w:r>
      <w:r>
        <w:rPr/>
        <w:t>号</w:t>
      </w:r>
      <w:r>
        <w:rPr>
          <w:spacing w:val="-90"/>
        </w:rPr>
        <w:t>）</w:t>
      </w:r>
      <w:r>
        <w:rPr>
          <w:spacing w:val="-6"/>
        </w:rPr>
        <w:t>，</w:t>
      </w:r>
      <w:r>
        <w:rPr/>
        <w:t>自</w:t>
      </w:r>
      <w:r>
        <w:rPr>
          <w:spacing w:val="-46"/>
        </w:rPr>
        <w:t> </w:t>
      </w:r>
      <w:r>
        <w:rPr>
          <w:rFonts w:ascii="Times New Roman" w:hAnsi="Times New Roman" w:cs="Times New Roman" w:eastAsia="Times New Roman" w:hint="default"/>
        </w:rPr>
        <w:t>2017 </w:t>
      </w:r>
      <w:r>
        <w:rPr/>
        <w:t>年</w:t>
      </w:r>
      <w:r>
        <w:rPr>
          <w:spacing w:val="-46"/>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月</w:t>
      </w:r>
      <w:r>
        <w:rPr>
          <w:spacing w:val="-46"/>
        </w:rPr>
        <w:t> </w:t>
      </w:r>
      <w:r>
        <w:rPr>
          <w:rFonts w:ascii="Times New Roman" w:hAnsi="Times New Roman" w:cs="Times New Roman" w:eastAsia="Times New Roman" w:hint="default"/>
          <w:spacing w:val="1"/>
        </w:rPr>
        <w:t>2</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日</w:t>
      </w:r>
      <w:r>
        <w:rPr>
          <w:spacing w:val="1"/>
        </w:rPr>
        <w:t>起</w:t>
      </w:r>
      <w:r>
        <w:rPr/>
        <w:t>施行</w:t>
      </w:r>
      <w:r>
        <w:rPr>
          <w:spacing w:val="-6"/>
        </w:rPr>
        <w:t>，</w:t>
      </w:r>
      <w:r>
        <w:rPr/>
        <w:t>对于施行日存在的持有待售的非流动资产</w:t>
      </w:r>
      <w:r>
        <w:rPr>
          <w:spacing w:val="-6"/>
        </w:rPr>
        <w:t>、</w:t>
      </w:r>
      <w:r>
        <w:rPr/>
        <w:t>处置组和终止经营</w:t>
      </w:r>
      <w:r>
        <w:rPr>
          <w:spacing w:val="-6"/>
        </w:rPr>
        <w:t>，</w:t>
      </w:r>
      <w:r>
        <w:rPr/>
        <w:t>要求采用</w:t>
      </w:r>
    </w:p>
    <w:p>
      <w:pPr>
        <w:spacing w:line="240" w:lineRule="auto" w:before="9"/>
        <w:rPr>
          <w:rFonts w:ascii="宋体" w:hAnsi="宋体" w:cs="宋体" w:eastAsia="宋体" w:hint="default"/>
          <w:sz w:val="16"/>
          <w:szCs w:val="16"/>
        </w:rPr>
      </w:pPr>
    </w:p>
    <w:p>
      <w:pPr>
        <w:pStyle w:val="BodyText"/>
        <w:spacing w:line="240" w:lineRule="auto"/>
        <w:ind w:right="0"/>
        <w:jc w:val="both"/>
      </w:pPr>
      <w:r>
        <w:rPr/>
        <w:t>未来适用法处理。财政部于</w:t>
      </w:r>
      <w:r>
        <w:rPr>
          <w:spacing w:val="-43"/>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44"/>
        </w:rPr>
        <w:t> </w:t>
      </w:r>
      <w:r>
        <w:rPr>
          <w:rFonts w:ascii="Times New Roman" w:hAnsi="Times New Roman" w:cs="Times New Roman" w:eastAsia="Times New Roman" w:hint="default"/>
        </w:rPr>
        <w:t>12 </w:t>
      </w:r>
      <w:r>
        <w:rPr/>
        <w:t>月</w:t>
      </w:r>
      <w:r>
        <w:rPr>
          <w:spacing w:val="-44"/>
        </w:rPr>
        <w:t> </w:t>
      </w:r>
      <w:r>
        <w:rPr>
          <w:rFonts w:ascii="Times New Roman" w:hAnsi="Times New Roman" w:cs="Times New Roman" w:eastAsia="Times New Roman" w:hint="default"/>
        </w:rPr>
        <w:t>25 </w:t>
      </w:r>
      <w:r>
        <w:rPr/>
        <w:t>日发布了《财政部关于修订印发一般企业财务报表格式的通知</w:t>
      </w:r>
      <w:r>
        <w:rPr>
          <w:spacing w:val="-90"/>
        </w:rPr>
        <w:t>》</w:t>
      </w:r>
      <w:r>
        <w:rPr/>
        <w:t>（财会〔</w:t>
      </w:r>
      <w:r>
        <w:rPr>
          <w:rFonts w:ascii="Times New Roman" w:hAnsi="Times New Roman" w:cs="Times New Roman" w:eastAsia="Times New Roman" w:hint="default"/>
        </w:rPr>
        <w:t>2017</w:t>
      </w:r>
      <w:r>
        <w:rPr/>
        <w:t>〕</w:t>
      </w:r>
    </w:p>
    <w:p>
      <w:pPr>
        <w:spacing w:line="240" w:lineRule="auto" w:before="10"/>
        <w:rPr>
          <w:rFonts w:ascii="宋体" w:hAnsi="宋体" w:cs="宋体" w:eastAsia="宋体" w:hint="default"/>
          <w:sz w:val="16"/>
          <w:szCs w:val="16"/>
        </w:rPr>
      </w:pPr>
    </w:p>
    <w:p>
      <w:pPr>
        <w:pStyle w:val="BodyText"/>
        <w:spacing w:line="240" w:lineRule="auto"/>
        <w:ind w:right="0"/>
        <w:jc w:val="both"/>
      </w:pPr>
      <w:r>
        <w:rPr>
          <w:rFonts w:ascii="Times New Roman" w:hAnsi="Times New Roman" w:cs="Times New Roman" w:eastAsia="Times New Roman" w:hint="default"/>
        </w:rPr>
        <w:t>30</w:t>
      </w:r>
      <w:r>
        <w:rPr>
          <w:rFonts w:ascii="Times New Roman" w:hAnsi="Times New Roman" w:cs="Times New Roman" w:eastAsia="Times New Roman" w:hint="default"/>
          <w:spacing w:val="-1"/>
        </w:rPr>
        <w:t> </w:t>
      </w:r>
      <w:r>
        <w:rPr/>
        <w:t>号</w:t>
      </w:r>
      <w:r>
        <w:rPr>
          <w:spacing w:val="-90"/>
        </w:rPr>
        <w:t>）</w:t>
      </w:r>
      <w:r>
        <w:rPr>
          <w:spacing w:val="-10"/>
        </w:rPr>
        <w:t>，</w:t>
      </w:r>
      <w:r>
        <w:rPr/>
        <w:t>对一</w:t>
      </w:r>
      <w:r>
        <w:rPr>
          <w:spacing w:val="1"/>
        </w:rPr>
        <w:t>般</w:t>
      </w:r>
      <w:r>
        <w:rPr/>
        <w:t>企业财务报表格式进行了修订</w:t>
      </w:r>
      <w:r>
        <w:rPr>
          <w:spacing w:val="-10"/>
        </w:rPr>
        <w:t>。</w:t>
      </w:r>
      <w:r>
        <w:rPr/>
        <w:t>根据上述文件要求</w:t>
      </w:r>
      <w:r>
        <w:rPr>
          <w:spacing w:val="-9"/>
        </w:rPr>
        <w:t>，</w:t>
      </w:r>
      <w:r>
        <w:rPr/>
        <w:t>公司需对原采用的相关会计政策进行相应调整</w:t>
      </w:r>
      <w:r>
        <w:rPr>
          <w:spacing w:val="-10"/>
        </w:rPr>
        <w:t>。</w:t>
      </w:r>
      <w:r>
        <w:rPr/>
        <w:t>具体内</w:t>
      </w:r>
    </w:p>
    <w:p>
      <w:pPr>
        <w:spacing w:line="240" w:lineRule="auto" w:before="9"/>
        <w:rPr>
          <w:rFonts w:ascii="宋体" w:hAnsi="宋体" w:cs="宋体" w:eastAsia="宋体" w:hint="default"/>
          <w:sz w:val="16"/>
          <w:szCs w:val="16"/>
        </w:rPr>
      </w:pPr>
    </w:p>
    <w:p>
      <w:pPr>
        <w:pStyle w:val="BodyText"/>
        <w:spacing w:line="240" w:lineRule="auto"/>
        <w:ind w:right="0"/>
        <w:jc w:val="both"/>
      </w:pPr>
      <w:r>
        <w:rPr/>
        <w:t>容详见公司于</w:t>
      </w:r>
      <w:r>
        <w:rPr>
          <w:spacing w:val="-54"/>
        </w:rPr>
        <w:t> </w:t>
      </w:r>
      <w:r>
        <w:rPr>
          <w:rFonts w:ascii="Times New Roman" w:hAnsi="Times New Roman" w:cs="Times New Roman" w:eastAsia="Times New Roman" w:hint="default"/>
        </w:rPr>
        <w:t>2018</w:t>
      </w:r>
      <w:r>
        <w:rPr>
          <w:rFonts w:ascii="Times New Roman" w:hAnsi="Times New Roman" w:cs="Times New Roman" w:eastAsia="Times New Roman" w:hint="default"/>
          <w:spacing w:val="-9"/>
        </w:rPr>
        <w:t> </w:t>
      </w:r>
      <w:r>
        <w:rPr/>
        <w:t>年</w:t>
      </w:r>
      <w:r>
        <w:rPr>
          <w:spacing w:val="-54"/>
        </w:rPr>
        <w:t> </w:t>
      </w:r>
      <w:r>
        <w:rPr>
          <w:rFonts w:ascii="Times New Roman" w:hAnsi="Times New Roman" w:cs="Times New Roman" w:eastAsia="Times New Roman" w:hint="default"/>
        </w:rPr>
        <w:t>4</w:t>
      </w:r>
      <w:r>
        <w:rPr>
          <w:rFonts w:ascii="Times New Roman" w:hAnsi="Times New Roman" w:cs="Times New Roman" w:eastAsia="Times New Roman" w:hint="default"/>
          <w:spacing w:val="-9"/>
        </w:rPr>
        <w:t> </w:t>
      </w:r>
      <w:r>
        <w:rPr/>
        <w:t>月</w:t>
      </w:r>
      <w:r>
        <w:rPr>
          <w:spacing w:val="-54"/>
        </w:rPr>
        <w:t> </w:t>
      </w:r>
      <w:r>
        <w:rPr>
          <w:rFonts w:ascii="Times New Roman" w:hAnsi="Times New Roman" w:cs="Times New Roman" w:eastAsia="Times New Roman" w:hint="default"/>
        </w:rPr>
        <w:t>27</w:t>
      </w:r>
      <w:r>
        <w:rPr>
          <w:rFonts w:ascii="Times New Roman" w:hAnsi="Times New Roman" w:cs="Times New Roman" w:eastAsia="Times New Roman" w:hint="default"/>
          <w:spacing w:val="-8"/>
        </w:rPr>
        <w:t> </w:t>
      </w:r>
      <w:r>
        <w:rPr/>
        <w:t>日披露于中国证监会指定信息披露网站上</w:t>
      </w:r>
      <w:r>
        <w:rPr>
          <w:spacing w:val="-90"/>
        </w:rPr>
        <w:t>的</w:t>
      </w:r>
      <w:r>
        <w:rPr/>
        <w:t>《关于会计政策变更的公告</w:t>
      </w:r>
      <w:r>
        <w:rPr>
          <w:spacing w:val="-180"/>
        </w:rPr>
        <w:t>》</w:t>
      </w:r>
      <w:r>
        <w:rPr/>
        <w:t>（公告编号</w:t>
      </w:r>
      <w:r>
        <w:rPr>
          <w:spacing w:val="-90"/>
        </w:rPr>
        <w:t>：</w:t>
      </w:r>
      <w:r>
        <w:rPr>
          <w:rFonts w:ascii="Times New Roman" w:hAnsi="Times New Roman" w:cs="Times New Roman" w:eastAsia="Times New Roman" w:hint="default"/>
        </w:rPr>
        <w:t>2018-018</w:t>
      </w:r>
      <w:r>
        <w:rPr>
          <w:spacing w:val="-90"/>
        </w:rPr>
        <w:t>）。</w:t>
      </w:r>
      <w:r>
        <w:rPr/>
      </w:r>
    </w:p>
    <w:p>
      <w:pPr>
        <w:spacing w:line="240" w:lineRule="auto" w:before="9"/>
        <w:rPr>
          <w:rFonts w:ascii="宋体" w:hAnsi="宋体" w:cs="宋体" w:eastAsia="宋体" w:hint="default"/>
          <w:sz w:val="16"/>
          <w:szCs w:val="16"/>
        </w:rPr>
      </w:pPr>
    </w:p>
    <w:p>
      <w:pPr>
        <w:pStyle w:val="BodyText"/>
        <w:spacing w:line="240" w:lineRule="auto"/>
        <w:ind w:left="514" w:right="0"/>
        <w:jc w:val="left"/>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2018</w:t>
      </w:r>
      <w:r>
        <w:rPr>
          <w:rFonts w:ascii="Times New Roman" w:hAnsi="Times New Roman" w:cs="Times New Roman" w:eastAsia="Times New Roman" w:hint="default"/>
          <w:spacing w:val="-9"/>
        </w:rPr>
        <w:t> </w:t>
      </w:r>
      <w:r>
        <w:rPr/>
        <w:t>年</w:t>
      </w:r>
      <w:r>
        <w:rPr>
          <w:spacing w:val="-54"/>
        </w:rPr>
        <w:t> </w:t>
      </w:r>
      <w:r>
        <w:rPr>
          <w:rFonts w:ascii="Times New Roman" w:hAnsi="Times New Roman" w:cs="Times New Roman" w:eastAsia="Times New Roman" w:hint="default"/>
        </w:rPr>
        <w:t>10</w:t>
      </w:r>
      <w:r>
        <w:rPr>
          <w:rFonts w:ascii="Times New Roman" w:hAnsi="Times New Roman" w:cs="Times New Roman" w:eastAsia="Times New Roman" w:hint="default"/>
          <w:spacing w:val="-9"/>
        </w:rPr>
        <w:t> </w:t>
      </w:r>
      <w:r>
        <w:rPr/>
        <w:t>月</w:t>
      </w:r>
      <w:r>
        <w:rPr>
          <w:spacing w:val="-54"/>
        </w:rPr>
        <w:t> </w:t>
      </w:r>
      <w:r>
        <w:rPr>
          <w:rFonts w:ascii="Times New Roman" w:hAnsi="Times New Roman" w:cs="Times New Roman" w:eastAsia="Times New Roman" w:hint="default"/>
        </w:rPr>
        <w:t>29</w:t>
      </w:r>
      <w:r>
        <w:rPr>
          <w:rFonts w:ascii="Times New Roman" w:hAnsi="Times New Roman" w:cs="Times New Roman" w:eastAsia="Times New Roman" w:hint="default"/>
          <w:spacing w:val="-9"/>
        </w:rPr>
        <w:t> </w:t>
      </w:r>
      <w:r>
        <w:rPr/>
        <w:t>日，公司第六届董事会第四十四会议及第六届监事会第十次会议，审议通过了《关于公司会计政</w:t>
      </w:r>
    </w:p>
    <w:p>
      <w:pPr>
        <w:spacing w:line="240" w:lineRule="auto" w:before="9"/>
        <w:rPr>
          <w:rFonts w:ascii="宋体" w:hAnsi="宋体" w:cs="宋体" w:eastAsia="宋体" w:hint="default"/>
          <w:sz w:val="16"/>
          <w:szCs w:val="16"/>
        </w:rPr>
      </w:pPr>
    </w:p>
    <w:p>
      <w:pPr>
        <w:pStyle w:val="BodyText"/>
        <w:spacing w:line="451" w:lineRule="auto"/>
        <w:ind w:right="1130"/>
        <w:jc w:val="both"/>
      </w:pPr>
      <w:r>
        <w:rPr/>
        <w:t>策变更的议案</w:t>
      </w:r>
      <w:r>
        <w:rPr>
          <w:spacing w:val="-90"/>
        </w:rPr>
        <w:t>》</w:t>
      </w:r>
      <w:r>
        <w:rPr>
          <w:spacing w:val="-38"/>
        </w:rPr>
        <w:t>。</w:t>
      </w:r>
      <w:r>
        <w:rPr/>
        <w:t>财政部于</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6 </w:t>
      </w:r>
      <w:r>
        <w:rPr/>
        <w:t>月</w:t>
      </w:r>
      <w:r>
        <w:rPr>
          <w:spacing w:val="-46"/>
        </w:rPr>
        <w:t> </w:t>
      </w:r>
      <w:r>
        <w:rPr>
          <w:rFonts w:ascii="Times New Roman" w:hAnsi="Times New Roman" w:cs="Times New Roman" w:eastAsia="Times New Roman" w:hint="default"/>
        </w:rPr>
        <w:t>15</w:t>
      </w:r>
      <w:r>
        <w:rPr>
          <w:rFonts w:ascii="Times New Roman" w:hAnsi="Times New Roman" w:cs="Times New Roman" w:eastAsia="Times New Roman" w:hint="default"/>
          <w:spacing w:val="-1"/>
        </w:rPr>
        <w:t> </w:t>
      </w:r>
      <w:r>
        <w:rPr>
          <w:spacing w:val="1"/>
        </w:rPr>
        <w:t>日</w:t>
      </w:r>
      <w:r>
        <w:rPr/>
        <w:t>颁布</w:t>
      </w:r>
      <w:r>
        <w:rPr>
          <w:spacing w:val="-38"/>
        </w:rPr>
        <w:t>了</w:t>
      </w:r>
      <w:r>
        <w:rPr/>
        <w:t>《关于修订印发</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spacing w:val="1"/>
        </w:rPr>
        <w:t>年</w:t>
      </w:r>
      <w:r>
        <w:rPr/>
        <w:t>度一般企业财务报表格式的通知</w:t>
      </w:r>
      <w:r>
        <w:rPr>
          <w:spacing w:val="-128"/>
        </w:rPr>
        <w:t>》</w:t>
      </w:r>
      <w:r>
        <w:rPr/>
        <w:t>（财会</w:t>
      </w:r>
      <w:r>
        <w:rPr>
          <w:rFonts w:ascii="Times New Roman" w:hAnsi="Times New Roman" w:cs="Times New Roman" w:eastAsia="Times New Roman" w:hint="default"/>
        </w:rPr>
        <w:t>[2018</w:t>
      </w:r>
      <w:r>
        <w:rPr>
          <w:rFonts w:ascii="Times New Roman" w:hAnsi="Times New Roman" w:cs="Times New Roman" w:eastAsia="Times New Roman" w:hint="default"/>
          <w:spacing w:val="-2"/>
        </w:rPr>
        <w:t>]</w:t>
      </w:r>
      <w:r>
        <w:rPr>
          <w:rFonts w:ascii="Times New Roman" w:hAnsi="Times New Roman" w:cs="Times New Roman" w:eastAsia="Times New Roman" w:hint="default"/>
        </w:rPr>
        <w:t>15</w:t>
      </w:r>
      <w:r>
        <w:rPr>
          <w:rFonts w:ascii="Times New Roman" w:hAnsi="Times New Roman" w:cs="Times New Roman" w:eastAsia="Times New Roman" w:hint="default"/>
        </w:rPr>
        <w:t> </w:t>
      </w:r>
      <w:r>
        <w:rPr/>
        <w:t>号</w:t>
      </w:r>
      <w:r>
        <w:rPr>
          <w:spacing w:val="-99"/>
        </w:rPr>
        <w:t>）</w:t>
      </w:r>
      <w:r>
        <w:rPr/>
        <w:t>（以下简称</w:t>
      </w:r>
      <w:r>
        <w:rPr>
          <w:rFonts w:ascii="Times New Roman" w:hAnsi="Times New Roman" w:cs="Times New Roman" w:eastAsia="Times New Roman" w:hint="default"/>
          <w:spacing w:val="-10"/>
          <w:w w:val="100"/>
        </w:rPr>
        <w:t>“</w:t>
      </w:r>
      <w:r>
        <w:rPr/>
        <w:t>《修订通知</w:t>
      </w:r>
      <w:r>
        <w:rPr>
          <w:spacing w:val="-9"/>
        </w:rPr>
        <w:t>》</w:t>
      </w:r>
      <w:r>
        <w:rPr>
          <w:rFonts w:ascii="Times New Roman" w:hAnsi="Times New Roman" w:cs="Times New Roman" w:eastAsia="Times New Roman" w:hint="default"/>
          <w:spacing w:val="-1"/>
          <w:w w:val="100"/>
        </w:rPr>
        <w:t>”</w:t>
      </w:r>
      <w:r>
        <w:rPr>
          <w:spacing w:val="-90"/>
        </w:rPr>
        <w:t>）</w:t>
      </w:r>
      <w:r>
        <w:rPr>
          <w:spacing w:val="-9"/>
        </w:rPr>
        <w:t>，</w:t>
      </w:r>
      <w:r>
        <w:rPr/>
        <w:t>对一般企业财务报表格式进行了修订</w:t>
      </w:r>
      <w:r>
        <w:rPr>
          <w:spacing w:val="-9"/>
        </w:rPr>
        <w:t>，</w:t>
      </w:r>
      <w:r>
        <w:rPr/>
        <w:t>根据修订通知要求</w:t>
      </w:r>
      <w:r>
        <w:rPr>
          <w:spacing w:val="-9"/>
        </w:rPr>
        <w:t>，</w:t>
      </w:r>
      <w:r>
        <w:rPr/>
        <w:t>公司调整了财务报表格式</w:t>
      </w:r>
      <w:r>
        <w:rPr>
          <w:spacing w:val="-9"/>
        </w:rPr>
        <w:t>。</w:t>
      </w:r>
      <w:r>
        <w:rPr/>
        <w:t>具</w:t>
      </w:r>
      <w:r>
        <w:rPr/>
        <w:t> 体内容详见公司于</w:t>
      </w:r>
      <w:r>
        <w:rPr>
          <w:spacing w:val="-29"/>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6"/>
        </w:rPr>
        <w:t> </w:t>
      </w:r>
      <w:r>
        <w:rPr/>
        <w:t>年</w:t>
      </w:r>
      <w:r>
        <w:rPr>
          <w:spacing w:val="-29"/>
        </w:rPr>
        <w:t> </w:t>
      </w:r>
      <w:r>
        <w:rPr>
          <w:rFonts w:ascii="Times New Roman" w:hAnsi="Times New Roman" w:cs="Times New Roman" w:eastAsia="Times New Roman" w:hint="default"/>
        </w:rPr>
        <w:t>10</w:t>
      </w:r>
      <w:r>
        <w:rPr>
          <w:rFonts w:ascii="Times New Roman" w:hAnsi="Times New Roman" w:cs="Times New Roman" w:eastAsia="Times New Roman" w:hint="default"/>
          <w:spacing w:val="16"/>
        </w:rPr>
        <w:t> </w:t>
      </w:r>
      <w:r>
        <w:rPr/>
        <w:t>月</w:t>
      </w:r>
      <w:r>
        <w:rPr>
          <w:spacing w:val="-29"/>
        </w:rPr>
        <w:t> </w:t>
      </w:r>
      <w:r>
        <w:rPr>
          <w:rFonts w:ascii="Times New Roman" w:hAnsi="Times New Roman" w:cs="Times New Roman" w:eastAsia="Times New Roman" w:hint="default"/>
        </w:rPr>
        <w:t>30</w:t>
      </w:r>
      <w:r>
        <w:rPr>
          <w:rFonts w:ascii="Times New Roman" w:hAnsi="Times New Roman" w:cs="Times New Roman" w:eastAsia="Times New Roman" w:hint="default"/>
          <w:spacing w:val="16"/>
        </w:rPr>
        <w:t> </w:t>
      </w:r>
      <w:r>
        <w:rPr/>
        <w:t>日披露于中国证监会指定信息披露网站上的《关于会计政策变更的公告</w:t>
      </w:r>
      <w:r>
        <w:rPr>
          <w:spacing w:val="-90"/>
        </w:rPr>
        <w:t>》</w:t>
      </w:r>
      <w:r>
        <w:rPr/>
        <w:t>（公告编号：</w:t>
      </w:r>
      <w:r>
        <w:rPr/>
        <w:t> </w:t>
      </w:r>
      <w:r>
        <w:rPr>
          <w:rFonts w:ascii="Times New Roman" w:hAnsi="Times New Roman" w:cs="Times New Roman" w:eastAsia="Times New Roman" w:hint="default"/>
        </w:rPr>
        <w:t>2018-058</w:t>
      </w:r>
      <w:r>
        <w:rPr>
          <w:spacing w:val="-90"/>
        </w:rPr>
        <w:t>）。</w:t>
      </w:r>
      <w:r>
        <w:rPr/>
      </w:r>
    </w:p>
    <w:p>
      <w:pPr>
        <w:pStyle w:val="BodyText"/>
        <w:spacing w:line="240" w:lineRule="auto" w:before="43"/>
        <w:ind w:left="514" w:right="0"/>
        <w:jc w:val="left"/>
      </w:pPr>
      <w:r>
        <w:rPr/>
        <w:t>（</w:t>
      </w:r>
      <w:r>
        <w:rPr>
          <w:rFonts w:ascii="Times New Roman" w:hAnsi="Times New Roman" w:cs="Times New Roman" w:eastAsia="Times New Roman" w:hint="default"/>
        </w:rPr>
        <w:t>3</w:t>
      </w:r>
      <w:r>
        <w:rPr>
          <w:spacing w:val="-8"/>
        </w:rPr>
        <w:t>）</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4 </w:t>
      </w:r>
      <w:r>
        <w:rPr/>
        <w:t>月</w:t>
      </w:r>
      <w:r>
        <w:rPr>
          <w:spacing w:val="-46"/>
        </w:rPr>
        <w:t> </w:t>
      </w:r>
      <w:r>
        <w:rPr>
          <w:rFonts w:ascii="Times New Roman" w:hAnsi="Times New Roman" w:cs="Times New Roman" w:eastAsia="Times New Roman" w:hint="default"/>
        </w:rPr>
        <w:t>25</w:t>
      </w:r>
      <w:r>
        <w:rPr>
          <w:rFonts w:ascii="Times New Roman" w:hAnsi="Times New Roman" w:cs="Times New Roman" w:eastAsia="Times New Roman" w:hint="default"/>
          <w:spacing w:val="-1"/>
        </w:rPr>
        <w:t> </w:t>
      </w:r>
      <w:r>
        <w:rPr/>
        <w:t>日</w:t>
      </w:r>
      <w:r>
        <w:rPr>
          <w:spacing w:val="-8"/>
        </w:rPr>
        <w:t>，</w:t>
      </w:r>
      <w:r>
        <w:rPr/>
        <w:t>公</w:t>
      </w:r>
      <w:r>
        <w:rPr>
          <w:spacing w:val="1"/>
        </w:rPr>
        <w:t>司</w:t>
      </w:r>
      <w:r>
        <w:rPr/>
        <w:t>召开第六届董事会第五十六次会议</w:t>
      </w:r>
      <w:r>
        <w:rPr>
          <w:spacing w:val="-8"/>
        </w:rPr>
        <w:t>，</w:t>
      </w:r>
      <w:r>
        <w:rPr/>
        <w:t>审议通过</w:t>
      </w:r>
      <w:r>
        <w:rPr>
          <w:spacing w:val="-8"/>
        </w:rPr>
        <w:t>了</w:t>
      </w:r>
      <w:r>
        <w:rPr/>
        <w:t>《关于会计政策变更的议案</w:t>
      </w:r>
      <w:r>
        <w:rPr>
          <w:spacing w:val="-90"/>
        </w:rPr>
        <w:t>》</w:t>
      </w:r>
      <w:r>
        <w:rPr>
          <w:spacing w:val="-8"/>
        </w:rPr>
        <w:t>。</w:t>
      </w:r>
      <w:r>
        <w:rPr/>
        <w:t>财政部于</w:t>
      </w:r>
    </w:p>
    <w:p>
      <w:pPr>
        <w:spacing w:line="240" w:lineRule="auto" w:before="9"/>
        <w:rPr>
          <w:rFonts w:ascii="宋体" w:hAnsi="宋体" w:cs="宋体" w:eastAsia="宋体" w:hint="default"/>
          <w:sz w:val="16"/>
          <w:szCs w:val="16"/>
        </w:rPr>
      </w:pPr>
    </w:p>
    <w:p>
      <w:pPr>
        <w:pStyle w:val="BodyText"/>
        <w:spacing w:line="240" w:lineRule="auto"/>
        <w:ind w:right="0"/>
        <w:jc w:val="both"/>
      </w:pPr>
      <w:r>
        <w:rPr>
          <w:rFonts w:ascii="Times New Roman" w:hAnsi="Times New Roman" w:cs="Times New Roman" w:eastAsia="Times New Roman" w:hint="default"/>
        </w:rPr>
        <w:t>2017</w:t>
      </w:r>
      <w:r>
        <w:rPr>
          <w:rFonts w:ascii="Times New Roman" w:hAnsi="Times New Roman" w:cs="Times New Roman" w:eastAsia="Times New Roman" w:hint="default"/>
          <w:spacing w:val="10"/>
        </w:rPr>
        <w:t> </w:t>
      </w:r>
      <w:r>
        <w:rPr/>
        <w:t>年先后发布《企业会计准则第</w:t>
      </w:r>
      <w:r>
        <w:rPr>
          <w:spacing w:val="-35"/>
        </w:rPr>
        <w:t> </w:t>
      </w:r>
      <w:r>
        <w:rPr>
          <w:rFonts w:ascii="Times New Roman" w:hAnsi="Times New Roman" w:cs="Times New Roman" w:eastAsia="Times New Roman" w:hint="default"/>
        </w:rPr>
        <w:t>22</w:t>
      </w:r>
      <w:r>
        <w:rPr>
          <w:rFonts w:ascii="Times New Roman" w:hAnsi="Times New Roman" w:cs="Times New Roman" w:eastAsia="Times New Roman" w:hint="default"/>
          <w:spacing w:val="10"/>
        </w:rPr>
        <w:t> </w:t>
      </w:r>
      <w:r>
        <w:rPr/>
        <w:t>号</w:t>
      </w:r>
      <w:r>
        <w:rPr>
          <w:rFonts w:ascii="Times New Roman" w:hAnsi="Times New Roman" w:cs="Times New Roman" w:eastAsia="Times New Roman" w:hint="default"/>
          <w:spacing w:val="1"/>
        </w:rPr>
        <w:t>—</w:t>
      </w:r>
      <w:r>
        <w:rPr>
          <w:rFonts w:ascii="Times New Roman" w:hAnsi="Times New Roman" w:cs="Times New Roman" w:eastAsia="Times New Roman" w:hint="default"/>
        </w:rPr>
        <w:t>—</w:t>
      </w:r>
      <w:r>
        <w:rPr/>
        <w:t>金融工具确认和计量</w:t>
      </w:r>
      <w:r>
        <w:rPr>
          <w:spacing w:val="-90"/>
        </w:rPr>
        <w:t>》、</w:t>
      </w:r>
      <w:r>
        <w:rPr/>
        <w:t>《企业会计准则第</w:t>
      </w:r>
      <w:r>
        <w:rPr>
          <w:spacing w:val="-35"/>
        </w:rPr>
        <w:t> </w:t>
      </w:r>
      <w:r>
        <w:rPr>
          <w:rFonts w:ascii="Times New Roman" w:hAnsi="Times New Roman" w:cs="Times New Roman" w:eastAsia="Times New Roman" w:hint="default"/>
        </w:rPr>
        <w:t>23</w:t>
      </w:r>
      <w:r>
        <w:rPr>
          <w:rFonts w:ascii="Times New Roman" w:hAnsi="Times New Roman" w:cs="Times New Roman" w:eastAsia="Times New Roman" w:hint="default"/>
          <w:spacing w:val="10"/>
        </w:rPr>
        <w:t> </w:t>
      </w:r>
      <w:r>
        <w:rPr/>
        <w:t>号</w:t>
      </w:r>
      <w:r>
        <w:rPr>
          <w:rFonts w:ascii="Times New Roman" w:hAnsi="Times New Roman" w:cs="Times New Roman" w:eastAsia="Times New Roman" w:hint="default"/>
        </w:rPr>
        <w:t>——</w:t>
      </w:r>
      <w:r>
        <w:rPr>
          <w:spacing w:val="1"/>
        </w:rPr>
        <w:t>金</w:t>
      </w:r>
      <w:r>
        <w:rPr/>
        <w:t>融资产转移</w:t>
      </w:r>
      <w:r>
        <w:rPr>
          <w:spacing w:val="-90"/>
        </w:rPr>
        <w:t>》、</w:t>
      </w:r>
      <w:r>
        <w:rPr/>
        <w:t>《企业会</w:t>
      </w:r>
    </w:p>
    <w:p>
      <w:pPr>
        <w:spacing w:line="240" w:lineRule="auto" w:before="9"/>
        <w:rPr>
          <w:rFonts w:ascii="宋体" w:hAnsi="宋体" w:cs="宋体" w:eastAsia="宋体" w:hint="default"/>
          <w:sz w:val="16"/>
          <w:szCs w:val="16"/>
        </w:rPr>
      </w:pPr>
    </w:p>
    <w:p>
      <w:pPr>
        <w:pStyle w:val="BodyText"/>
        <w:spacing w:line="240" w:lineRule="auto"/>
        <w:ind w:right="0"/>
        <w:jc w:val="both"/>
      </w:pPr>
      <w:r>
        <w:rPr/>
        <w:t>计准则第</w:t>
      </w:r>
      <w:r>
        <w:rPr>
          <w:spacing w:val="-20"/>
        </w:rPr>
        <w:t> </w:t>
      </w:r>
      <w:r>
        <w:rPr>
          <w:rFonts w:ascii="Times New Roman" w:hAnsi="Times New Roman" w:cs="Times New Roman" w:eastAsia="Times New Roman" w:hint="default"/>
        </w:rPr>
        <w:t>24  </w:t>
      </w:r>
      <w:r>
        <w:rPr/>
        <w:t>号</w:t>
      </w:r>
      <w:r>
        <w:rPr>
          <w:rFonts w:ascii="Times New Roman" w:hAnsi="Times New Roman" w:cs="Times New Roman" w:eastAsia="Times New Roman" w:hint="default"/>
        </w:rPr>
        <w:t>——</w:t>
      </w:r>
      <w:r>
        <w:rPr/>
        <w:t>套期会计</w:t>
      </w:r>
      <w:r>
        <w:rPr>
          <w:spacing w:val="-90"/>
        </w:rPr>
        <w:t>》、</w:t>
      </w:r>
      <w:r>
        <w:rPr/>
        <w:t>《企业会计准则第</w:t>
      </w:r>
      <w:r>
        <w:rPr>
          <w:spacing w:val="-20"/>
        </w:rPr>
        <w:t> </w:t>
      </w:r>
      <w:r>
        <w:rPr>
          <w:rFonts w:ascii="Times New Roman" w:hAnsi="Times New Roman" w:cs="Times New Roman" w:eastAsia="Times New Roman" w:hint="default"/>
        </w:rPr>
        <w:t>37 </w:t>
      </w:r>
      <w:r>
        <w:rPr>
          <w:rFonts w:ascii="Times New Roman" w:hAnsi="Times New Roman" w:cs="Times New Roman" w:eastAsia="Times New Roman" w:hint="default"/>
          <w:spacing w:val="-21"/>
        </w:rPr>
        <w:t> </w:t>
      </w:r>
      <w:r>
        <w:rPr/>
        <w:t>号</w:t>
      </w:r>
      <w:r>
        <w:rPr>
          <w:rFonts w:ascii="Times New Roman" w:hAnsi="Times New Roman" w:cs="Times New Roman" w:eastAsia="Times New Roman" w:hint="default"/>
        </w:rPr>
        <w:t>——</w:t>
      </w:r>
      <w:r>
        <w:rPr/>
        <w:t>金融工具列报</w:t>
      </w:r>
      <w:r>
        <w:rPr>
          <w:spacing w:val="-90"/>
        </w:rPr>
        <w:t>》</w:t>
      </w:r>
      <w:r>
        <w:rPr/>
        <w:t>（以下合称</w:t>
      </w:r>
      <w:r>
        <w:rPr>
          <w:rFonts w:ascii="Times New Roman" w:hAnsi="Times New Roman" w:cs="Times New Roman" w:eastAsia="Times New Roman" w:hint="default"/>
          <w:spacing w:val="-1"/>
          <w:w w:val="100"/>
        </w:rPr>
        <w:t>“</w:t>
      </w:r>
      <w:r>
        <w:rPr/>
        <w:t>新金融工</w:t>
      </w:r>
      <w:r>
        <w:rPr>
          <w:spacing w:val="1"/>
        </w:rPr>
        <w:t>具</w:t>
      </w:r>
      <w:r>
        <w:rPr/>
        <w:t>准则</w:t>
      </w:r>
      <w:r>
        <w:rPr>
          <w:rFonts w:ascii="Times New Roman" w:hAnsi="Times New Roman" w:cs="Times New Roman" w:eastAsia="Times New Roman" w:hint="default"/>
          <w:w w:val="100"/>
        </w:rPr>
        <w:t>”</w:t>
      </w:r>
      <w:r>
        <w:rPr>
          <w:spacing w:val="-90"/>
        </w:rPr>
        <w:t>）</w:t>
      </w:r>
      <w:r>
        <w:rPr/>
        <w:t>，要求相关境内</w:t>
      </w:r>
    </w:p>
    <w:p>
      <w:pPr>
        <w:spacing w:line="240" w:lineRule="auto" w:before="9"/>
        <w:rPr>
          <w:rFonts w:ascii="宋体" w:hAnsi="宋体" w:cs="宋体" w:eastAsia="宋体" w:hint="default"/>
          <w:sz w:val="16"/>
          <w:szCs w:val="16"/>
        </w:rPr>
      </w:pPr>
    </w:p>
    <w:p>
      <w:pPr>
        <w:pStyle w:val="BodyText"/>
        <w:spacing w:line="240" w:lineRule="auto"/>
        <w:ind w:right="0"/>
        <w:jc w:val="both"/>
      </w:pPr>
      <w:r>
        <w:rPr/>
        <w:t>上市的企业自</w:t>
      </w:r>
      <w:r>
        <w:rPr>
          <w:spacing w:val="-4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1 </w:t>
      </w:r>
      <w:r>
        <w:rPr/>
        <w:t>月</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spacing w:val="1"/>
        </w:rPr>
        <w:t>日</w:t>
      </w:r>
      <w:r>
        <w:rPr/>
        <w:t>起施行新金融工具准则</w:t>
      </w:r>
      <w:r>
        <w:rPr>
          <w:spacing w:val="-87"/>
        </w:rPr>
        <w:t>。</w:t>
      </w:r>
      <w:r>
        <w:rPr/>
        <w:t>根据上述文件要求</w:t>
      </w:r>
      <w:r>
        <w:rPr>
          <w:spacing w:val="-87"/>
        </w:rPr>
        <w:t>，</w:t>
      </w:r>
      <w:r>
        <w:rPr/>
        <w:t>公司需对原采用的相关会计政策进行相应调</w:t>
      </w:r>
      <w:r>
        <w:rPr>
          <w:spacing w:val="1"/>
        </w:rPr>
        <w:t>整</w:t>
      </w:r>
      <w:r>
        <w:rPr/>
        <w:t>。</w:t>
      </w:r>
    </w:p>
    <w:p>
      <w:pPr>
        <w:spacing w:line="240" w:lineRule="auto" w:before="9"/>
        <w:rPr>
          <w:rFonts w:ascii="宋体" w:hAnsi="宋体" w:cs="宋体" w:eastAsia="宋体" w:hint="default"/>
          <w:sz w:val="16"/>
          <w:szCs w:val="16"/>
        </w:rPr>
      </w:pPr>
    </w:p>
    <w:p>
      <w:pPr>
        <w:pStyle w:val="BodyText"/>
        <w:spacing w:line="240" w:lineRule="auto"/>
        <w:ind w:right="0"/>
        <w:jc w:val="both"/>
      </w:pPr>
      <w:r>
        <w:rPr/>
        <w:t>具体内容详见公司于</w:t>
      </w:r>
      <w:r>
        <w:rPr>
          <w:spacing w:val="-43"/>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44"/>
        </w:rPr>
        <w:t> </w:t>
      </w:r>
      <w:r>
        <w:rPr>
          <w:rFonts w:ascii="Times New Roman" w:hAnsi="Times New Roman" w:cs="Times New Roman" w:eastAsia="Times New Roman" w:hint="default"/>
        </w:rPr>
        <w:t>26</w:t>
      </w:r>
      <w:r>
        <w:rPr>
          <w:rFonts w:ascii="Times New Roman" w:hAnsi="Times New Roman" w:cs="Times New Roman" w:eastAsia="Times New Roman" w:hint="default"/>
          <w:spacing w:val="1"/>
        </w:rPr>
        <w:t> </w:t>
      </w:r>
      <w:r>
        <w:rPr/>
        <w:t>日披</w:t>
      </w:r>
      <w:r>
        <w:rPr>
          <w:spacing w:val="-2"/>
        </w:rPr>
        <w:t>露</w:t>
      </w:r>
      <w:r>
        <w:rPr/>
        <w:t>于中国证监会指定信息披露网站上的《关于会计政策变更的公告</w:t>
      </w:r>
      <w:r>
        <w:rPr>
          <w:spacing w:val="-90"/>
        </w:rPr>
        <w:t>》</w:t>
      </w:r>
      <w:r>
        <w:rPr/>
        <w:t>（公告编号：</w:t>
      </w:r>
    </w:p>
    <w:p>
      <w:pPr>
        <w:spacing w:line="240" w:lineRule="auto" w:before="10"/>
        <w:rPr>
          <w:rFonts w:ascii="宋体" w:hAnsi="宋体" w:cs="宋体" w:eastAsia="宋体" w:hint="default"/>
          <w:sz w:val="16"/>
          <w:szCs w:val="16"/>
        </w:rPr>
      </w:pPr>
    </w:p>
    <w:p>
      <w:pPr>
        <w:pStyle w:val="BodyText"/>
        <w:spacing w:line="240" w:lineRule="auto"/>
        <w:ind w:right="0"/>
        <w:jc w:val="both"/>
      </w:pPr>
      <w:r>
        <w:rPr>
          <w:rFonts w:ascii="Times New Roman" w:hAnsi="Times New Roman" w:cs="Times New Roman" w:eastAsia="Times New Roman" w:hint="default"/>
        </w:rPr>
        <w:t>2019-013</w:t>
      </w:r>
      <w:r>
        <w:rPr/>
        <w:t>）</w:t>
      </w:r>
    </w:p>
    <w:p>
      <w:pPr>
        <w:spacing w:after="0" w:line="240" w:lineRule="auto"/>
        <w:jc w:val="both"/>
        <w:sectPr>
          <w:pgSz w:w="11910" w:h="16840"/>
          <w:pgMar w:header="851" w:footer="979" w:top="1400" w:bottom="1160" w:left="980" w:right="0"/>
        </w:sectPr>
      </w:pPr>
    </w:p>
    <w:p>
      <w:pPr>
        <w:pStyle w:val="Heading2"/>
        <w:spacing w:line="240" w:lineRule="auto" w:before="24"/>
        <w:ind w:right="0"/>
        <w:jc w:val="left"/>
        <w:rPr>
          <w:b w:val="0"/>
          <w:bCs w:val="0"/>
        </w:rPr>
      </w:pPr>
      <w:r>
        <w:rPr/>
        <w:pict>
          <v:group style="position:absolute;margin-left:55.200001pt;margin-top:2.675601pt;width:485pt;height:.1pt;mso-position-horizontal-relative:page;mso-position-vertical-relative:paragraph;z-index:-1077184" coordorigin="1104,54" coordsize="9700,2">
            <v:shape style="position:absolute;left:1104;top:54;width:9700;height:2" coordorigin="1104,54" coordsize="9700,0" path="m1104,54l10804,54e" filled="false" stroked="true" strokeweight=".72pt" strokecolor="#000000">
              <v:path arrowok="t"/>
            </v:shape>
            <w10:wrap type="none"/>
          </v:group>
        </w:pict>
      </w:r>
      <w:bookmarkStart w:name="七、与上年度财务报告相比，合并报表范围发生变化的情况说明" w:id="80"/>
      <w:bookmarkEnd w:id="80"/>
      <w:r>
        <w:rPr>
          <w:b w:val="0"/>
          <w:bCs w:val="0"/>
        </w:rPr>
      </w:r>
      <w:r>
        <w:rPr/>
        <w:t>七、与上年度财务报告相比，合并报表范围发生变化的情况说明</w:t>
      </w:r>
      <w:r>
        <w:rPr>
          <w:b w:val="0"/>
          <w:bCs w:val="0"/>
        </w:rPr>
      </w:r>
    </w:p>
    <w:p>
      <w:pPr>
        <w:spacing w:line="240" w:lineRule="auto" w:before="6"/>
        <w:rPr>
          <w:rFonts w:ascii="宋体" w:hAnsi="宋体" w:cs="宋体" w:eastAsia="宋体" w:hint="default"/>
          <w:b/>
          <w:bCs/>
          <w:sz w:val="32"/>
          <w:szCs w:val="32"/>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16"/>
          <w:szCs w:val="16"/>
        </w:rPr>
      </w:pPr>
    </w:p>
    <w:p>
      <w:pPr>
        <w:pStyle w:val="Heading5"/>
        <w:spacing w:line="240" w:lineRule="auto"/>
        <w:ind w:right="0"/>
        <w:jc w:val="left"/>
        <w:rPr>
          <w:b w:val="0"/>
          <w:bCs w:val="0"/>
        </w:rPr>
      </w:pPr>
      <w:r>
        <w:rPr>
          <w:rFonts w:ascii="Times New Roman" w:hAnsi="Times New Roman" w:cs="Times New Roman" w:eastAsia="Times New Roman" w:hint="default"/>
        </w:rPr>
        <w:t>1</w:t>
      </w:r>
      <w:r>
        <w:rPr/>
        <w:t>、处置子公司</w:t>
      </w:r>
      <w:r>
        <w:rPr>
          <w:rFonts w:ascii="Times New Roman" w:hAnsi="Times New Roman" w:cs="Times New Roman" w:eastAsia="Times New Roman" w:hint="default"/>
        </w:rPr>
        <w:t>-</w:t>
      </w:r>
      <w:r>
        <w:rPr/>
        <w:t>单次处置对子公司投资即丧失控制权的情形</w:t>
      </w:r>
      <w:r>
        <w:rPr>
          <w:b w:val="0"/>
          <w:bCs w:val="0"/>
        </w:rPr>
      </w:r>
    </w:p>
    <w:p>
      <w:pPr>
        <w:spacing w:line="240" w:lineRule="auto" w:before="0"/>
        <w:rPr>
          <w:rFonts w:ascii="宋体" w:hAnsi="宋体" w:cs="宋体" w:eastAsia="宋体" w:hint="default"/>
          <w:b/>
          <w:bCs/>
          <w:sz w:val="10"/>
          <w:szCs w:val="10"/>
        </w:rPr>
      </w:pPr>
    </w:p>
    <w:tbl>
      <w:tblPr>
        <w:tblW w:w="0" w:type="auto"/>
        <w:jc w:val="left"/>
        <w:tblInd w:w="137" w:type="dxa"/>
        <w:tblLayout w:type="fixed"/>
        <w:tblCellMar>
          <w:top w:w="0" w:type="dxa"/>
          <w:left w:w="0" w:type="dxa"/>
          <w:bottom w:w="0" w:type="dxa"/>
          <w:right w:w="0" w:type="dxa"/>
        </w:tblCellMar>
        <w:tblLook w:val="01E0"/>
      </w:tblPr>
      <w:tblGrid>
        <w:gridCol w:w="1401"/>
        <w:gridCol w:w="1402"/>
        <w:gridCol w:w="1244"/>
        <w:gridCol w:w="934"/>
        <w:gridCol w:w="1088"/>
        <w:gridCol w:w="1713"/>
        <w:gridCol w:w="1877"/>
      </w:tblGrid>
      <w:tr>
        <w:trPr>
          <w:trHeight w:val="1282" w:hRule="exact"/>
        </w:trPr>
        <w:tc>
          <w:tcPr>
            <w:tcW w:w="140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9"/>
                <w:szCs w:val="19"/>
              </w:rPr>
            </w:pPr>
          </w:p>
          <w:p>
            <w:pPr>
              <w:pStyle w:val="TableParagraph"/>
              <w:spacing w:line="240" w:lineRule="auto"/>
              <w:ind w:left="242"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40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
              <w:ind w:right="0"/>
              <w:jc w:val="left"/>
              <w:rPr>
                <w:rFonts w:ascii="宋体" w:hAnsi="宋体" w:cs="宋体" w:eastAsia="宋体" w:hint="default"/>
                <w:b/>
                <w:bCs/>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股权处置价款</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（元）</w:t>
            </w:r>
          </w:p>
        </w:tc>
        <w:tc>
          <w:tcPr>
            <w:tcW w:w="124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
              <w:ind w:right="0"/>
              <w:jc w:val="left"/>
              <w:rPr>
                <w:rFonts w:ascii="宋体" w:hAnsi="宋体" w:cs="宋体" w:eastAsia="宋体" w:hint="default"/>
                <w:b/>
                <w:bCs/>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股权处置比例</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93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
              <w:ind w:right="0"/>
              <w:jc w:val="left"/>
              <w:rPr>
                <w:rFonts w:ascii="宋体" w:hAnsi="宋体" w:cs="宋体" w:eastAsia="宋体" w:hint="default"/>
                <w:b/>
                <w:bCs/>
                <w:sz w:val="25"/>
                <w:szCs w:val="25"/>
              </w:rPr>
            </w:pPr>
          </w:p>
          <w:p>
            <w:pPr>
              <w:pStyle w:val="TableParagraph"/>
              <w:spacing w:line="316" w:lineRule="auto"/>
              <w:ind w:left="369" w:right="7" w:hanging="360"/>
              <w:jc w:val="left"/>
              <w:rPr>
                <w:rFonts w:ascii="宋体" w:hAnsi="宋体" w:cs="宋体" w:eastAsia="宋体" w:hint="default"/>
                <w:sz w:val="18"/>
                <w:szCs w:val="18"/>
              </w:rPr>
            </w:pPr>
            <w:r>
              <w:rPr>
                <w:rFonts w:ascii="宋体" w:hAnsi="宋体" w:cs="宋体" w:eastAsia="宋体" w:hint="default"/>
                <w:sz w:val="18"/>
                <w:szCs w:val="18"/>
              </w:rPr>
              <w:t>股权处置方 式</w:t>
            </w:r>
          </w:p>
        </w:tc>
        <w:tc>
          <w:tcPr>
            <w:tcW w:w="108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
              <w:ind w:right="0"/>
              <w:jc w:val="left"/>
              <w:rPr>
                <w:rFonts w:ascii="宋体" w:hAnsi="宋体" w:cs="宋体" w:eastAsia="宋体" w:hint="default"/>
                <w:b/>
                <w:bCs/>
                <w:sz w:val="25"/>
                <w:szCs w:val="25"/>
              </w:rPr>
            </w:pPr>
          </w:p>
          <w:p>
            <w:pPr>
              <w:pStyle w:val="TableParagraph"/>
              <w:spacing w:line="316" w:lineRule="auto"/>
              <w:ind w:left="266" w:right="85" w:hanging="180"/>
              <w:jc w:val="left"/>
              <w:rPr>
                <w:rFonts w:ascii="宋体" w:hAnsi="宋体" w:cs="宋体" w:eastAsia="宋体" w:hint="default"/>
                <w:sz w:val="18"/>
                <w:szCs w:val="18"/>
              </w:rPr>
            </w:pPr>
            <w:r>
              <w:rPr>
                <w:rFonts w:ascii="宋体" w:hAnsi="宋体" w:cs="宋体" w:eastAsia="宋体" w:hint="default"/>
                <w:sz w:val="18"/>
                <w:szCs w:val="18"/>
              </w:rPr>
              <w:t>丧失控制权 的时点</w:t>
            </w:r>
          </w:p>
        </w:tc>
        <w:tc>
          <w:tcPr>
            <w:tcW w:w="171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
              <w:ind w:right="0"/>
              <w:jc w:val="left"/>
              <w:rPr>
                <w:rFonts w:ascii="宋体" w:hAnsi="宋体" w:cs="宋体" w:eastAsia="宋体" w:hint="default"/>
                <w:b/>
                <w:bCs/>
                <w:sz w:val="25"/>
                <w:szCs w:val="25"/>
              </w:rPr>
            </w:pPr>
          </w:p>
          <w:p>
            <w:pPr>
              <w:pStyle w:val="TableParagraph"/>
              <w:spacing w:line="316" w:lineRule="auto"/>
              <w:ind w:left="578" w:right="39" w:hanging="540"/>
              <w:jc w:val="left"/>
              <w:rPr>
                <w:rFonts w:ascii="宋体" w:hAnsi="宋体" w:cs="宋体" w:eastAsia="宋体" w:hint="default"/>
                <w:sz w:val="18"/>
                <w:szCs w:val="18"/>
              </w:rPr>
            </w:pPr>
            <w:r>
              <w:rPr>
                <w:rFonts w:ascii="宋体" w:hAnsi="宋体" w:cs="宋体" w:eastAsia="宋体" w:hint="default"/>
                <w:sz w:val="18"/>
                <w:szCs w:val="18"/>
              </w:rPr>
              <w:t>丧失控制权时点的确 定依据</w:t>
            </w:r>
          </w:p>
        </w:tc>
        <w:tc>
          <w:tcPr>
            <w:tcW w:w="187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6" w:lineRule="auto" w:before="20"/>
              <w:ind w:left="30" w:right="30"/>
              <w:jc w:val="center"/>
              <w:rPr>
                <w:rFonts w:ascii="宋体" w:hAnsi="宋体" w:cs="宋体" w:eastAsia="宋体" w:hint="default"/>
                <w:sz w:val="18"/>
                <w:szCs w:val="18"/>
              </w:rPr>
            </w:pPr>
            <w:r>
              <w:rPr>
                <w:rFonts w:ascii="宋体" w:hAnsi="宋体" w:cs="宋体" w:eastAsia="宋体" w:hint="default"/>
                <w:sz w:val="18"/>
                <w:szCs w:val="18"/>
              </w:rPr>
              <w:t>处置价款与处置投资对 应的合并财务报表层面 享有该子公司净资产份 额的差额（元）</w:t>
            </w:r>
          </w:p>
        </w:tc>
      </w:tr>
      <w:tr>
        <w:trPr>
          <w:trHeight w:val="660" w:hRule="exact"/>
        </w:trPr>
        <w:tc>
          <w:tcPr>
            <w:tcW w:w="140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62" w:lineRule="auto" w:before="61"/>
              <w:ind w:left="2" w:right="246"/>
              <w:jc w:val="left"/>
              <w:rPr>
                <w:rFonts w:ascii="Times New Roman" w:hAnsi="Times New Roman" w:cs="Times New Roman" w:eastAsia="Times New Roman" w:hint="default"/>
                <w:sz w:val="18"/>
                <w:szCs w:val="18"/>
              </w:rPr>
            </w:pPr>
            <w:r>
              <w:rPr>
                <w:rFonts w:ascii="Times New Roman"/>
                <w:sz w:val="18"/>
              </w:rPr>
              <w:t>Ultrapower</w:t>
            </w:r>
            <w:r>
              <w:rPr>
                <w:rFonts w:ascii="Times New Roman"/>
                <w:spacing w:val="-1"/>
                <w:sz w:val="18"/>
              </w:rPr>
              <w:t> </w:t>
            </w:r>
            <w:r>
              <w:rPr>
                <w:rFonts w:ascii="Times New Roman"/>
                <w:sz w:val="18"/>
              </w:rPr>
              <w:t>360</w:t>
            </w:r>
            <w:r>
              <w:rPr>
                <w:rFonts w:ascii="Times New Roman"/>
                <w:w w:val="99"/>
                <w:sz w:val="18"/>
              </w:rPr>
              <w:t> </w:t>
            </w:r>
            <w:r>
              <w:rPr>
                <w:rFonts w:ascii="Times New Roman"/>
                <w:sz w:val="18"/>
              </w:rPr>
              <w:t>PTE</w:t>
            </w:r>
            <w:r>
              <w:rPr>
                <w:rFonts w:ascii="Times New Roman"/>
                <w:spacing w:val="-2"/>
                <w:sz w:val="18"/>
              </w:rPr>
              <w:t> </w:t>
            </w:r>
            <w:r>
              <w:rPr>
                <w:rFonts w:ascii="Times New Roman"/>
                <w:sz w:val="18"/>
              </w:rPr>
              <w:t>LTD</w:t>
            </w:r>
          </w:p>
        </w:tc>
        <w:tc>
          <w:tcPr>
            <w:tcW w:w="1402"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439" w:right="0"/>
              <w:jc w:val="left"/>
              <w:rPr>
                <w:rFonts w:ascii="Times New Roman" w:hAnsi="Times New Roman" w:cs="Times New Roman" w:eastAsia="Times New Roman" w:hint="default"/>
                <w:sz w:val="18"/>
                <w:szCs w:val="18"/>
              </w:rPr>
            </w:pPr>
            <w:r>
              <w:rPr>
                <w:rFonts w:ascii="Times New Roman"/>
                <w:sz w:val="18"/>
              </w:rPr>
              <w:t>2,750,000.00</w:t>
            </w:r>
          </w:p>
        </w:tc>
        <w:tc>
          <w:tcPr>
            <w:tcW w:w="12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z w:val="18"/>
              </w:rPr>
              <w:t>13.75</w:t>
            </w:r>
          </w:p>
        </w:tc>
        <w:tc>
          <w:tcPr>
            <w:tcW w:w="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left="279" w:right="0"/>
              <w:jc w:val="left"/>
              <w:rPr>
                <w:rFonts w:ascii="宋体" w:hAnsi="宋体" w:cs="宋体" w:eastAsia="宋体" w:hint="default"/>
                <w:sz w:val="18"/>
                <w:szCs w:val="18"/>
              </w:rPr>
            </w:pPr>
            <w:r>
              <w:rPr>
                <w:rFonts w:ascii="宋体" w:hAnsi="宋体" w:cs="宋体" w:eastAsia="宋体" w:hint="default"/>
                <w:sz w:val="18"/>
                <w:szCs w:val="18"/>
              </w:rPr>
              <w:t>转让</w:t>
            </w:r>
          </w:p>
        </w:tc>
        <w:tc>
          <w:tcPr>
            <w:tcW w:w="10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left="13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p>
        </w:tc>
        <w:tc>
          <w:tcPr>
            <w:tcW w:w="171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72"/>
              <w:jc w:val="left"/>
              <w:rPr>
                <w:rFonts w:ascii="宋体" w:hAnsi="宋体" w:cs="宋体" w:eastAsia="宋体" w:hint="default"/>
                <w:sz w:val="18"/>
                <w:szCs w:val="18"/>
              </w:rPr>
            </w:pPr>
            <w:r>
              <w:rPr>
                <w:rFonts w:ascii="宋体" w:hAnsi="宋体" w:cs="宋体" w:eastAsia="宋体" w:hint="default"/>
                <w:sz w:val="18"/>
                <w:szCs w:val="18"/>
              </w:rPr>
              <w:t>工商变更完成，业务 及财务工作交接完成</w:t>
            </w:r>
          </w:p>
        </w:tc>
        <w:tc>
          <w:tcPr>
            <w:tcW w:w="18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b/>
                <w:bCs/>
                <w:sz w:val="16"/>
                <w:szCs w:val="16"/>
              </w:rPr>
            </w:pPr>
          </w:p>
          <w:p>
            <w:pPr>
              <w:pStyle w:val="TableParagraph"/>
              <w:spacing w:line="240" w:lineRule="auto"/>
              <w:ind w:left="915" w:right="0"/>
              <w:jc w:val="left"/>
              <w:rPr>
                <w:rFonts w:ascii="Times New Roman" w:hAnsi="Times New Roman" w:cs="Times New Roman" w:eastAsia="Times New Roman" w:hint="default"/>
                <w:sz w:val="18"/>
                <w:szCs w:val="18"/>
              </w:rPr>
            </w:pPr>
            <w:r>
              <w:rPr>
                <w:rFonts w:ascii="Times New Roman"/>
                <w:sz w:val="18"/>
              </w:rPr>
              <w:t>2,384,434.81</w:t>
            </w:r>
          </w:p>
        </w:tc>
      </w:tr>
    </w:tbl>
    <w:p>
      <w:pPr>
        <w:pStyle w:val="Heading5"/>
        <w:spacing w:line="240" w:lineRule="auto" w:before="88"/>
        <w:ind w:right="0"/>
        <w:jc w:val="left"/>
        <w:rPr>
          <w:b w:val="0"/>
          <w:bCs w:val="0"/>
        </w:rPr>
      </w:pPr>
      <w:r>
        <w:rPr>
          <w:rFonts w:ascii="Times New Roman" w:hAnsi="Times New Roman" w:cs="Times New Roman" w:eastAsia="Times New Roman" w:hint="default"/>
        </w:rPr>
        <w:t>2</w:t>
      </w:r>
      <w:r>
        <w:rPr/>
        <w:t>、其他原因的合并范围变动</w:t>
      </w:r>
      <w:r>
        <w:rPr>
          <w:b w:val="0"/>
          <w:bCs w:val="0"/>
        </w:rPr>
      </w:r>
    </w:p>
    <w:p>
      <w:pPr>
        <w:spacing w:line="240" w:lineRule="auto" w:before="9"/>
        <w:rPr>
          <w:rFonts w:ascii="宋体" w:hAnsi="宋体" w:cs="宋体" w:eastAsia="宋体" w:hint="default"/>
          <w:b/>
          <w:bCs/>
          <w:sz w:val="16"/>
          <w:szCs w:val="16"/>
        </w:rPr>
      </w:pPr>
    </w:p>
    <w:p>
      <w:pPr>
        <w:pStyle w:val="BodyText"/>
        <w:spacing w:line="240" w:lineRule="auto"/>
        <w:ind w:right="0"/>
        <w:jc w:val="left"/>
      </w:pPr>
      <w:r>
        <w:rPr/>
        <w:t>（</w:t>
      </w:r>
      <w:r>
        <w:rPr>
          <w:rFonts w:ascii="Times New Roman" w:hAnsi="Times New Roman" w:cs="Times New Roman" w:eastAsia="Times New Roman" w:hint="default"/>
        </w:rPr>
        <w:t>1</w:t>
      </w:r>
      <w:r>
        <w:rPr/>
        <w:t>）本期因新设纳入合并范围明细如下：</w:t>
      </w:r>
    </w:p>
    <w:p>
      <w:pPr>
        <w:spacing w:line="240" w:lineRule="auto" w:before="5"/>
        <w:rPr>
          <w:rFonts w:ascii="宋体" w:hAnsi="宋体" w:cs="宋体" w:eastAsia="宋体" w:hint="default"/>
          <w:sz w:val="10"/>
          <w:szCs w:val="10"/>
        </w:rPr>
      </w:pPr>
    </w:p>
    <w:tbl>
      <w:tblPr>
        <w:tblW w:w="0" w:type="auto"/>
        <w:jc w:val="left"/>
        <w:tblInd w:w="137" w:type="dxa"/>
        <w:tblLayout w:type="fixed"/>
        <w:tblCellMar>
          <w:top w:w="0" w:type="dxa"/>
          <w:left w:w="0" w:type="dxa"/>
          <w:bottom w:w="0" w:type="dxa"/>
          <w:right w:w="0" w:type="dxa"/>
        </w:tblCellMar>
        <w:tblLook w:val="01E0"/>
      </w:tblPr>
      <w:tblGrid>
        <w:gridCol w:w="3612"/>
        <w:gridCol w:w="2066"/>
        <w:gridCol w:w="1991"/>
        <w:gridCol w:w="1990"/>
      </w:tblGrid>
      <w:tr>
        <w:trPr>
          <w:trHeight w:val="341" w:hRule="exact"/>
        </w:trPr>
        <w:tc>
          <w:tcPr>
            <w:tcW w:w="361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6"/>
              <w:ind w:left="1168" w:right="0"/>
              <w:jc w:val="left"/>
              <w:rPr>
                <w:rFonts w:ascii="宋体" w:hAnsi="宋体" w:cs="宋体" w:eastAsia="宋体" w:hint="default"/>
                <w:sz w:val="18"/>
                <w:szCs w:val="18"/>
              </w:rPr>
            </w:pPr>
            <w:r>
              <w:rPr>
                <w:rFonts w:ascii="宋体" w:hAnsi="宋体" w:cs="宋体" w:eastAsia="宋体" w:hint="default"/>
                <w:sz w:val="18"/>
                <w:szCs w:val="18"/>
              </w:rPr>
              <w:t>新设子公司名称</w:t>
            </w:r>
          </w:p>
        </w:tc>
        <w:tc>
          <w:tcPr>
            <w:tcW w:w="206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级次</w:t>
            </w:r>
          </w:p>
        </w:tc>
        <w:tc>
          <w:tcPr>
            <w:tcW w:w="199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99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6"/>
              <w:ind w:right="1"/>
              <w:jc w:val="center"/>
              <w:rPr>
                <w:rFonts w:ascii="宋体" w:hAnsi="宋体" w:cs="宋体" w:eastAsia="宋体" w:hint="default"/>
                <w:sz w:val="18"/>
                <w:szCs w:val="18"/>
              </w:rPr>
            </w:pPr>
            <w:r>
              <w:rPr>
                <w:rFonts w:ascii="宋体" w:hAnsi="宋体" w:cs="宋体" w:eastAsia="宋体" w:hint="default"/>
                <w:sz w:val="18"/>
                <w:szCs w:val="18"/>
              </w:rPr>
              <w:t>表决权比例（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47" w:hRule="exact"/>
        </w:trPr>
        <w:tc>
          <w:tcPr>
            <w:tcW w:w="361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新疆神州泰岳智能科技有限公司</w:t>
            </w:r>
          </w:p>
        </w:tc>
        <w:tc>
          <w:tcPr>
            <w:tcW w:w="2066"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三级</w:t>
            </w:r>
          </w:p>
        </w:tc>
        <w:tc>
          <w:tcPr>
            <w:tcW w:w="1991"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75</w:t>
            </w:r>
          </w:p>
        </w:tc>
        <w:tc>
          <w:tcPr>
            <w:tcW w:w="1990"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75</w:t>
            </w:r>
          </w:p>
        </w:tc>
      </w:tr>
      <w:tr>
        <w:trPr>
          <w:trHeight w:val="348" w:hRule="exact"/>
        </w:trPr>
        <w:tc>
          <w:tcPr>
            <w:tcW w:w="361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北京泰岳宏光科技发展有限公司</w:t>
            </w:r>
          </w:p>
        </w:tc>
        <w:tc>
          <w:tcPr>
            <w:tcW w:w="20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c>
          <w:tcPr>
            <w:tcW w:w="1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55</w:t>
            </w:r>
          </w:p>
        </w:tc>
        <w:tc>
          <w:tcPr>
            <w:tcW w:w="19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55</w:t>
            </w:r>
          </w:p>
        </w:tc>
      </w:tr>
      <w:tr>
        <w:trPr>
          <w:trHeight w:val="347" w:hRule="exact"/>
        </w:trPr>
        <w:tc>
          <w:tcPr>
            <w:tcW w:w="361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西藏神州泰岳智能科技有限公司</w:t>
            </w:r>
          </w:p>
        </w:tc>
        <w:tc>
          <w:tcPr>
            <w:tcW w:w="20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二级</w:t>
            </w:r>
          </w:p>
        </w:tc>
        <w:tc>
          <w:tcPr>
            <w:tcW w:w="19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100</w:t>
            </w:r>
          </w:p>
        </w:tc>
        <w:tc>
          <w:tcPr>
            <w:tcW w:w="19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center"/>
              <w:rPr>
                <w:rFonts w:ascii="Times New Roman" w:hAnsi="Times New Roman" w:cs="Times New Roman" w:eastAsia="Times New Roman" w:hint="default"/>
                <w:sz w:val="18"/>
                <w:szCs w:val="18"/>
              </w:rPr>
            </w:pPr>
            <w:r>
              <w:rPr>
                <w:rFonts w:ascii="Times New Roman"/>
                <w:sz w:val="18"/>
              </w:rPr>
              <w:t>100</w:t>
            </w:r>
          </w:p>
        </w:tc>
      </w:tr>
    </w:tbl>
    <w:p>
      <w:pPr>
        <w:spacing w:line="240" w:lineRule="auto" w:before="6"/>
        <w:rPr>
          <w:rFonts w:ascii="宋体" w:hAnsi="宋体" w:cs="宋体" w:eastAsia="宋体" w:hint="default"/>
          <w:sz w:val="6"/>
          <w:szCs w:val="6"/>
        </w:rPr>
      </w:pPr>
    </w:p>
    <w:p>
      <w:pPr>
        <w:pStyle w:val="BodyText"/>
        <w:spacing w:line="240" w:lineRule="auto" w:before="44"/>
        <w:ind w:right="0"/>
        <w:jc w:val="left"/>
      </w:pPr>
      <w:r>
        <w:rPr/>
        <w:t>（</w:t>
      </w:r>
      <w:r>
        <w:rPr>
          <w:rFonts w:ascii="Times New Roman" w:hAnsi="Times New Roman" w:cs="Times New Roman" w:eastAsia="Times New Roman" w:hint="default"/>
        </w:rPr>
        <w:t>2</w:t>
      </w:r>
      <w:r>
        <w:rPr/>
        <w:t>）公司本年因清算减少三级子公司</w:t>
      </w:r>
      <w:r>
        <w:rPr>
          <w:rFonts w:ascii="Times New Roman" w:hAnsi="Times New Roman" w:cs="Times New Roman" w:eastAsia="Times New Roman" w:hint="default"/>
        </w:rPr>
        <w:t>RED TRUST SOFTWARE AND SERVICE TECHNOLOGY COMPANY</w:t>
      </w:r>
      <w:r>
        <w:rPr>
          <w:rFonts w:ascii="Times New Roman" w:hAnsi="Times New Roman" w:cs="Times New Roman" w:eastAsia="Times New Roman" w:hint="default"/>
          <w:spacing w:val="-7"/>
        </w:rPr>
        <w:t> </w:t>
      </w:r>
      <w:r>
        <w:rPr>
          <w:rFonts w:ascii="Times New Roman" w:hAnsi="Times New Roman" w:cs="Times New Roman" w:eastAsia="Times New Roman" w:hint="default"/>
        </w:rPr>
        <w:t>LIMITED</w:t>
      </w:r>
      <w:r>
        <w:rPr/>
        <w:t>。</w:t>
      </w:r>
    </w:p>
    <w:p>
      <w:pPr>
        <w:spacing w:line="240" w:lineRule="auto" w:before="0"/>
        <w:rPr>
          <w:rFonts w:ascii="宋体" w:hAnsi="宋体" w:cs="宋体" w:eastAsia="宋体" w:hint="default"/>
          <w:sz w:val="18"/>
          <w:szCs w:val="18"/>
        </w:rPr>
      </w:pPr>
    </w:p>
    <w:p>
      <w:pPr>
        <w:pStyle w:val="Heading2"/>
        <w:spacing w:line="240" w:lineRule="auto" w:before="157"/>
        <w:ind w:right="0"/>
        <w:jc w:val="left"/>
        <w:rPr>
          <w:b w:val="0"/>
          <w:bCs w:val="0"/>
        </w:rPr>
      </w:pPr>
      <w:bookmarkStart w:name="八、聘任、解聘会计师事务所情况" w:id="81"/>
      <w:bookmarkEnd w:id="81"/>
      <w:r>
        <w:rPr>
          <w:b w:val="0"/>
          <w:bCs w:val="0"/>
        </w:rPr>
      </w:r>
      <w:r>
        <w:rPr/>
        <w:t>八、聘任、解聘会计师事务所情况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现聘任的会计事务所</w:t>
      </w:r>
    </w:p>
    <w:p>
      <w:pPr>
        <w:spacing w:line="240" w:lineRule="auto" w:before="13"/>
        <w:rPr>
          <w:rFonts w:ascii="宋体" w:hAnsi="宋体" w:cs="宋体" w:eastAsia="宋体" w:hint="default"/>
          <w:sz w:val="7"/>
          <w:szCs w:val="7"/>
        </w:rPr>
      </w:pPr>
    </w:p>
    <w:tbl>
      <w:tblPr>
        <w:tblW w:w="0" w:type="auto"/>
        <w:jc w:val="left"/>
        <w:tblInd w:w="121" w:type="dxa"/>
        <w:tblLayout w:type="fixed"/>
        <w:tblCellMar>
          <w:top w:w="0" w:type="dxa"/>
          <w:left w:w="0" w:type="dxa"/>
          <w:bottom w:w="0" w:type="dxa"/>
          <w:right w:w="0" w:type="dxa"/>
        </w:tblCellMar>
        <w:tblLook w:val="01E0"/>
      </w:tblPr>
      <w:tblGrid>
        <w:gridCol w:w="4855"/>
        <w:gridCol w:w="4839"/>
      </w:tblGrid>
      <w:tr>
        <w:trPr>
          <w:trHeight w:val="402" w:hRule="exact"/>
        </w:trPr>
        <w:tc>
          <w:tcPr>
            <w:tcW w:w="4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2" w:hRule="exact"/>
        </w:trPr>
        <w:tc>
          <w:tcPr>
            <w:tcW w:w="4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200</w:t>
            </w:r>
          </w:p>
        </w:tc>
      </w:tr>
      <w:tr>
        <w:trPr>
          <w:trHeight w:val="402" w:hRule="exact"/>
        </w:trPr>
        <w:tc>
          <w:tcPr>
            <w:tcW w:w="4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13</w:t>
            </w:r>
          </w:p>
        </w:tc>
      </w:tr>
      <w:tr>
        <w:trPr>
          <w:trHeight w:val="402" w:hRule="exact"/>
        </w:trPr>
        <w:tc>
          <w:tcPr>
            <w:tcW w:w="4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王一芳、张佳朕</w:t>
            </w:r>
          </w:p>
        </w:tc>
      </w:tr>
      <w:tr>
        <w:trPr>
          <w:trHeight w:val="402" w:hRule="exact"/>
        </w:trPr>
        <w:tc>
          <w:tcPr>
            <w:tcW w:w="4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w:t>
            </w:r>
            <w:r>
              <w:rPr>
                <w:rFonts w:ascii="宋体" w:hAnsi="宋体" w:cs="宋体" w:eastAsia="宋体" w:hint="default"/>
                <w:sz w:val="18"/>
                <w:szCs w:val="18"/>
              </w:rPr>
              <w:t>、</w:t>
            </w:r>
            <w:r>
              <w:rPr>
                <w:rFonts w:ascii="Times New Roman" w:hAnsi="Times New Roman" w:cs="Times New Roman" w:eastAsia="Times New Roman" w:hint="default"/>
                <w:sz w:val="18"/>
                <w:szCs w:val="18"/>
              </w:rPr>
              <w:t>0</w:t>
            </w:r>
          </w:p>
        </w:tc>
      </w:tr>
      <w:tr>
        <w:trPr>
          <w:trHeight w:val="402" w:hRule="exact"/>
        </w:trPr>
        <w:tc>
          <w:tcPr>
            <w:tcW w:w="4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境外会计师事务所名称</w:t>
            </w:r>
          </w:p>
        </w:tc>
        <w:tc>
          <w:tcPr>
            <w:tcW w:w="4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4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境外会计师事务所报酬（万元）</w:t>
            </w:r>
          </w:p>
        </w:tc>
        <w:tc>
          <w:tcPr>
            <w:tcW w:w="4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境外会计师事务所审计服务的连续年限</w:t>
            </w:r>
          </w:p>
        </w:tc>
        <w:tc>
          <w:tcPr>
            <w:tcW w:w="4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4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境外会计师事务所注册会计师姓名</w:t>
            </w:r>
          </w:p>
        </w:tc>
        <w:tc>
          <w:tcPr>
            <w:tcW w:w="4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4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境外会计师事务所注册会计师审计服务的连续年限</w:t>
            </w:r>
          </w:p>
        </w:tc>
        <w:tc>
          <w:tcPr>
            <w:tcW w:w="4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不适用</w:t>
            </w:r>
          </w:p>
        </w:tc>
      </w:tr>
    </w:tbl>
    <w:p>
      <w:pPr>
        <w:pStyle w:val="BodyText"/>
        <w:spacing w:line="240" w:lineRule="auto" w:before="88"/>
        <w:ind w:right="0"/>
        <w:jc w:val="left"/>
      </w:pPr>
      <w:r>
        <w:rPr/>
        <w:t>是否改聘会计师事务所</w:t>
      </w:r>
    </w:p>
    <w:p>
      <w:pPr>
        <w:spacing w:line="240" w:lineRule="auto" w:before="12"/>
        <w:rPr>
          <w:rFonts w:ascii="宋体" w:hAnsi="宋体" w:cs="宋体" w:eastAsia="宋体" w:hint="default"/>
          <w:sz w:val="14"/>
          <w:szCs w:val="14"/>
        </w:rPr>
      </w:pPr>
    </w:p>
    <w:p>
      <w:pPr>
        <w:pStyle w:val="BodyText"/>
        <w:spacing w:line="415" w:lineRule="auto"/>
        <w:ind w:right="6252"/>
        <w:jc w:val="left"/>
      </w:pPr>
      <w:r>
        <w:rPr>
          <w:rFonts w:ascii="Times New Roman" w:hAnsi="Times New Roman" w:cs="Times New Roman" w:eastAsia="Times New Roman" w:hint="default"/>
        </w:rPr>
        <w:t>□ </w:t>
      </w:r>
      <w:r>
        <w:rPr/>
        <w:t>是 </w:t>
      </w:r>
      <w:r>
        <w:rPr>
          <w:rFonts w:ascii="宋体" w:hAnsi="宋体" w:cs="宋体" w:eastAsia="宋体" w:hint="default"/>
          <w:b/>
          <w:bCs/>
        </w:rPr>
        <w:t>√</w:t>
      </w:r>
      <w:r>
        <w:rPr>
          <w:rFonts w:ascii="宋体" w:hAnsi="宋体" w:cs="宋体" w:eastAsia="宋体" w:hint="default"/>
          <w:b/>
          <w:bCs/>
          <w:spacing w:val="-1"/>
        </w:rPr>
        <w:t> </w:t>
      </w:r>
      <w:r>
        <w:rPr>
          <w:rFonts w:ascii="宋体" w:hAnsi="宋体" w:cs="宋体" w:eastAsia="宋体" w:hint="default"/>
          <w:b/>
          <w:bCs/>
        </w:rPr>
        <w:t>否</w:t>
      </w:r>
      <w:r>
        <w:rPr>
          <w:rFonts w:ascii="宋体" w:hAnsi="宋体" w:cs="宋体" w:eastAsia="宋体" w:hint="default"/>
          <w:b/>
          <w:bCs/>
          <w:w w:val="99"/>
        </w:rPr>
        <w:t> </w:t>
      </w:r>
      <w:r>
        <w:rPr/>
        <w:t>聘请内部控制审计会计师事务所、财务顾问或保荐人情况</w:t>
      </w:r>
    </w:p>
    <w:p>
      <w:pPr>
        <w:spacing w:before="64"/>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51" w:footer="979" w:top="1400" w:bottom="1160" w:left="980" w:right="0"/>
        </w:sectPr>
      </w:pPr>
    </w:p>
    <w:p>
      <w:pPr>
        <w:pStyle w:val="Heading2"/>
        <w:spacing w:line="240" w:lineRule="auto" w:before="24"/>
        <w:ind w:right="0"/>
        <w:jc w:val="left"/>
        <w:rPr>
          <w:b w:val="0"/>
          <w:bCs w:val="0"/>
        </w:rPr>
      </w:pPr>
      <w:r>
        <w:rPr/>
        <w:pict>
          <v:group style="position:absolute;margin-left:55.200001pt;margin-top:2.675601pt;width:485pt;height:.1pt;mso-position-horizontal-relative:page;mso-position-vertical-relative:paragraph;z-index:-1077160" coordorigin="1104,54" coordsize="9700,2">
            <v:shape style="position:absolute;left:1104;top:54;width:9700;height:2" coordorigin="1104,54" coordsize="9700,0" path="m1104,54l10804,54e" filled="false" stroked="true" strokeweight=".72pt" strokecolor="#000000">
              <v:path arrowok="t"/>
            </v:shape>
            <w10:wrap type="none"/>
          </v:group>
        </w:pict>
      </w:r>
      <w:bookmarkStart w:name="九、年度报告披露后面临暂停上市和终止上市情况" w:id="82"/>
      <w:bookmarkEnd w:id="82"/>
      <w:r>
        <w:rPr>
          <w:b w:val="0"/>
          <w:bCs w:val="0"/>
        </w:rPr>
      </w:r>
      <w:r>
        <w:rPr/>
        <w:t>九、年度报告披露后面临暂停上市和终止上市情况</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
        <w:rPr>
          <w:rFonts w:ascii="宋体" w:hAnsi="宋体" w:cs="宋体" w:eastAsia="宋体" w:hint="default"/>
          <w:b/>
          <w:bCs/>
          <w:sz w:val="24"/>
          <w:szCs w:val="24"/>
        </w:rPr>
      </w:pPr>
    </w:p>
    <w:p>
      <w:pPr>
        <w:pStyle w:val="Heading2"/>
        <w:spacing w:line="240" w:lineRule="auto"/>
        <w:ind w:right="0"/>
        <w:jc w:val="left"/>
        <w:rPr>
          <w:b w:val="0"/>
          <w:bCs w:val="0"/>
        </w:rPr>
      </w:pPr>
      <w:bookmarkStart w:name="十、破产重整相关事项" w:id="83"/>
      <w:bookmarkEnd w:id="83"/>
      <w:r>
        <w:rPr>
          <w:b w:val="0"/>
          <w:bCs w:val="0"/>
        </w:rPr>
      </w:r>
      <w:r>
        <w:rPr/>
        <w:t>十、破产重整相关事项</w:t>
      </w:r>
      <w:r>
        <w:rPr>
          <w:b w:val="0"/>
          <w:bCs w:val="0"/>
        </w:rPr>
      </w:r>
    </w:p>
    <w:p>
      <w:pPr>
        <w:spacing w:line="240" w:lineRule="auto" w:before="7"/>
        <w:rPr>
          <w:rFonts w:ascii="宋体" w:hAnsi="宋体" w:cs="宋体" w:eastAsia="宋体" w:hint="default"/>
          <w:b/>
          <w:bCs/>
          <w:sz w:val="26"/>
          <w:szCs w:val="26"/>
        </w:rPr>
      </w:pPr>
    </w:p>
    <w:p>
      <w:pPr>
        <w:spacing w:line="412" w:lineRule="auto" w:before="0"/>
        <w:ind w:left="154" w:right="76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1"/>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公司报告期未发生破产重整相关事项。</w:t>
      </w:r>
    </w:p>
    <w:p>
      <w:pPr>
        <w:spacing w:line="240" w:lineRule="auto" w:before="3"/>
        <w:rPr>
          <w:rFonts w:ascii="宋体" w:hAnsi="宋体" w:cs="宋体" w:eastAsia="宋体" w:hint="default"/>
          <w:sz w:val="21"/>
          <w:szCs w:val="21"/>
        </w:rPr>
      </w:pPr>
    </w:p>
    <w:p>
      <w:pPr>
        <w:pStyle w:val="Heading2"/>
        <w:spacing w:line="240" w:lineRule="auto"/>
        <w:ind w:right="0"/>
        <w:jc w:val="left"/>
        <w:rPr>
          <w:b w:val="0"/>
          <w:bCs w:val="0"/>
        </w:rPr>
      </w:pPr>
      <w:bookmarkStart w:name="十一、重大诉讼、仲裁事项" w:id="84"/>
      <w:bookmarkEnd w:id="84"/>
      <w:r>
        <w:rPr>
          <w:b w:val="0"/>
          <w:bCs w:val="0"/>
        </w:rPr>
      </w:r>
      <w:r>
        <w:rPr/>
        <w:t>十一、重大诉讼、仲裁事项</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21" w:type="dxa"/>
        <w:tblLayout w:type="fixed"/>
        <w:tblCellMar>
          <w:top w:w="0" w:type="dxa"/>
          <w:left w:w="0" w:type="dxa"/>
          <w:bottom w:w="0" w:type="dxa"/>
          <w:right w:w="0" w:type="dxa"/>
        </w:tblCellMar>
        <w:tblLook w:val="01E0"/>
      </w:tblPr>
      <w:tblGrid>
        <w:gridCol w:w="1533"/>
        <w:gridCol w:w="812"/>
        <w:gridCol w:w="834"/>
        <w:gridCol w:w="1188"/>
        <w:gridCol w:w="1357"/>
        <w:gridCol w:w="1181"/>
        <w:gridCol w:w="1281"/>
        <w:gridCol w:w="1508"/>
      </w:tblGrid>
      <w:tr>
        <w:trPr>
          <w:trHeight w:val="714" w:hRule="exact"/>
        </w:trPr>
        <w:tc>
          <w:tcPr>
            <w:tcW w:w="1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671" w:right="71" w:hanging="601"/>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基本情 况</w:t>
            </w:r>
          </w:p>
        </w:tc>
        <w:tc>
          <w:tcPr>
            <w:tcW w:w="8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0" w:right="0"/>
              <w:jc w:val="left"/>
              <w:rPr>
                <w:rFonts w:ascii="宋体" w:hAnsi="宋体" w:cs="宋体" w:eastAsia="宋体" w:hint="default"/>
                <w:sz w:val="18"/>
                <w:szCs w:val="18"/>
              </w:rPr>
            </w:pPr>
            <w:r>
              <w:rPr>
                <w:rFonts w:ascii="宋体" w:hAnsi="宋体" w:cs="宋体" w:eastAsia="宋体" w:hint="default"/>
                <w:sz w:val="18"/>
                <w:szCs w:val="18"/>
              </w:rPr>
              <w:t>涉案金额</w:t>
            </w:r>
          </w:p>
          <w:p>
            <w:pPr>
              <w:pStyle w:val="TableParagraph"/>
              <w:spacing w:line="240" w:lineRule="auto" w:before="77"/>
              <w:ind w:left="40"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8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1" w:right="50"/>
              <w:jc w:val="left"/>
              <w:rPr>
                <w:rFonts w:ascii="宋体" w:hAnsi="宋体" w:cs="宋体" w:eastAsia="宋体" w:hint="default"/>
                <w:sz w:val="18"/>
                <w:szCs w:val="18"/>
              </w:rPr>
            </w:pPr>
            <w:r>
              <w:rPr>
                <w:rFonts w:ascii="宋体" w:hAnsi="宋体" w:cs="宋体" w:eastAsia="宋体" w:hint="default"/>
                <w:sz w:val="18"/>
                <w:szCs w:val="18"/>
              </w:rPr>
              <w:t>是否形成 预计负债</w:t>
            </w:r>
          </w:p>
        </w:tc>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498" w:right="78" w:hanging="42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进 展</w:t>
            </w:r>
          </w:p>
        </w:tc>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3" w:right="72" w:hanging="15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审理 结果及影响</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35" w:right="73" w:hanging="6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判 决执行情况</w:t>
            </w:r>
          </w:p>
        </w:tc>
        <w:tc>
          <w:tcPr>
            <w:tcW w:w="12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15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88"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2274" w:hRule="exact"/>
        </w:trPr>
        <w:tc>
          <w:tcPr>
            <w:tcW w:w="153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40" w:right="40"/>
              <w:jc w:val="center"/>
              <w:rPr>
                <w:rFonts w:ascii="宋体" w:hAnsi="宋体" w:cs="宋体" w:eastAsia="宋体" w:hint="default"/>
                <w:sz w:val="18"/>
                <w:szCs w:val="18"/>
              </w:rPr>
            </w:pPr>
            <w:r>
              <w:rPr>
                <w:rFonts w:ascii="宋体" w:hAnsi="宋体" w:cs="宋体" w:eastAsia="宋体" w:hint="default"/>
                <w:sz w:val="18"/>
                <w:szCs w:val="18"/>
              </w:rPr>
              <w:t>全资子公司北京神 州泰岳系统集成有 限公司起诉大唐半 导体设计有限公 司，要求其支付合 同款项并支付相应 违约金。</w:t>
            </w:r>
          </w:p>
        </w:tc>
        <w:tc>
          <w:tcPr>
            <w:tcW w:w="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39"/>
              <w:jc w:val="right"/>
              <w:rPr>
                <w:rFonts w:ascii="Times New Roman" w:hAnsi="Times New Roman" w:cs="Times New Roman" w:eastAsia="Times New Roman" w:hint="default"/>
                <w:sz w:val="18"/>
                <w:szCs w:val="18"/>
              </w:rPr>
            </w:pPr>
            <w:r>
              <w:rPr>
                <w:rFonts w:ascii="Times New Roman"/>
                <w:sz w:val="18"/>
              </w:rPr>
              <w:t>32,046.01</w:t>
            </w:r>
          </w:p>
        </w:tc>
        <w:tc>
          <w:tcPr>
            <w:tcW w:w="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再审申请中</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43" w:right="42"/>
              <w:jc w:val="center"/>
              <w:rPr>
                <w:rFonts w:ascii="宋体" w:hAnsi="宋体" w:cs="宋体" w:eastAsia="宋体" w:hint="default"/>
                <w:sz w:val="18"/>
                <w:szCs w:val="18"/>
              </w:rPr>
            </w:pPr>
            <w:r>
              <w:rPr>
                <w:rFonts w:ascii="宋体" w:hAnsi="宋体" w:cs="宋体" w:eastAsia="宋体" w:hint="default"/>
                <w:sz w:val="18"/>
                <w:szCs w:val="18"/>
              </w:rPr>
              <w:t>北京市高级人民 法院受理中，对 公司的影响存在 不确定性。</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43"/>
              <w:jc w:val="right"/>
              <w:rPr>
                <w:rFonts w:ascii="宋体" w:hAnsi="宋体" w:cs="宋体" w:eastAsia="宋体" w:hint="default"/>
                <w:sz w:val="18"/>
                <w:szCs w:val="18"/>
              </w:rPr>
            </w:pPr>
            <w:r>
              <w:rPr>
                <w:rFonts w:ascii="宋体" w:hAnsi="宋体" w:cs="宋体" w:eastAsia="宋体" w:hint="default"/>
                <w:sz w:val="18"/>
                <w:szCs w:val="18"/>
              </w:rPr>
              <w:t>目前尚未判决</w:t>
            </w:r>
          </w:p>
        </w:tc>
        <w:tc>
          <w:tcPr>
            <w:tcW w:w="1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2018-10-09</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1"/>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117"/>
              <w:ind w:right="1"/>
              <w:jc w:val="center"/>
              <w:rPr>
                <w:rFonts w:ascii="Times New Roman" w:hAnsi="Times New Roman" w:cs="Times New Roman" w:eastAsia="Times New Roman" w:hint="default"/>
                <w:sz w:val="18"/>
                <w:szCs w:val="18"/>
              </w:rPr>
            </w:pPr>
            <w:hyperlink r:id="rId42">
              <w:r>
                <w:rPr>
                  <w:rFonts w:ascii="Times New Roman"/>
                  <w:sz w:val="18"/>
                </w:rPr>
                <w:t>www.cninfo.com.cn</w:t>
              </w:r>
            </w:hyperlink>
          </w:p>
        </w:tc>
      </w:tr>
      <w:tr>
        <w:trPr>
          <w:trHeight w:val="2274" w:hRule="exact"/>
        </w:trPr>
        <w:tc>
          <w:tcPr>
            <w:tcW w:w="153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40" w:right="40"/>
              <w:jc w:val="center"/>
              <w:rPr>
                <w:rFonts w:ascii="宋体" w:hAnsi="宋体" w:cs="宋体" w:eastAsia="宋体" w:hint="default"/>
                <w:sz w:val="18"/>
                <w:szCs w:val="18"/>
              </w:rPr>
            </w:pPr>
            <w:r>
              <w:rPr>
                <w:rFonts w:ascii="宋体" w:hAnsi="宋体" w:cs="宋体" w:eastAsia="宋体" w:hint="default"/>
                <w:sz w:val="18"/>
                <w:szCs w:val="18"/>
              </w:rPr>
              <w:t>全资子公司北京神 州泰岳系统集成有 限公司起诉大唐微 电子技术有限公 司，要求其支付合 同款项并支付相应 违约金。</w:t>
            </w:r>
          </w:p>
        </w:tc>
        <w:tc>
          <w:tcPr>
            <w:tcW w:w="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39"/>
              <w:jc w:val="right"/>
              <w:rPr>
                <w:rFonts w:ascii="Times New Roman" w:hAnsi="Times New Roman" w:cs="Times New Roman" w:eastAsia="Times New Roman" w:hint="default"/>
                <w:sz w:val="18"/>
                <w:szCs w:val="18"/>
              </w:rPr>
            </w:pPr>
            <w:r>
              <w:rPr>
                <w:rFonts w:ascii="Times New Roman"/>
                <w:sz w:val="18"/>
              </w:rPr>
              <w:t>10,434.36</w:t>
            </w:r>
          </w:p>
        </w:tc>
        <w:tc>
          <w:tcPr>
            <w:tcW w:w="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再审申请中</w:t>
            </w: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43" w:right="42"/>
              <w:jc w:val="center"/>
              <w:rPr>
                <w:rFonts w:ascii="宋体" w:hAnsi="宋体" w:cs="宋体" w:eastAsia="宋体" w:hint="default"/>
                <w:sz w:val="18"/>
                <w:szCs w:val="18"/>
              </w:rPr>
            </w:pPr>
            <w:r>
              <w:rPr>
                <w:rFonts w:ascii="宋体" w:hAnsi="宋体" w:cs="宋体" w:eastAsia="宋体" w:hint="default"/>
                <w:sz w:val="18"/>
                <w:szCs w:val="18"/>
              </w:rPr>
              <w:t>北京市高级人民 法院受理中，对 公司的影响存在 不确定性。</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43"/>
              <w:jc w:val="right"/>
              <w:rPr>
                <w:rFonts w:ascii="宋体" w:hAnsi="宋体" w:cs="宋体" w:eastAsia="宋体" w:hint="default"/>
                <w:sz w:val="18"/>
                <w:szCs w:val="18"/>
              </w:rPr>
            </w:pPr>
            <w:r>
              <w:rPr>
                <w:rFonts w:ascii="宋体" w:hAnsi="宋体" w:cs="宋体" w:eastAsia="宋体" w:hint="default"/>
                <w:sz w:val="18"/>
                <w:szCs w:val="18"/>
              </w:rPr>
              <w:t>目前尚未判决</w:t>
            </w:r>
          </w:p>
        </w:tc>
        <w:tc>
          <w:tcPr>
            <w:tcW w:w="1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2018-10-09</w:t>
            </w:r>
          </w:p>
        </w:tc>
        <w:tc>
          <w:tcPr>
            <w:tcW w:w="1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117"/>
              <w:ind w:right="1"/>
              <w:jc w:val="center"/>
              <w:rPr>
                <w:rFonts w:ascii="Times New Roman" w:hAnsi="Times New Roman" w:cs="Times New Roman" w:eastAsia="Times New Roman" w:hint="default"/>
                <w:sz w:val="18"/>
                <w:szCs w:val="18"/>
              </w:rPr>
            </w:pPr>
            <w:hyperlink r:id="rId42">
              <w:r>
                <w:rPr>
                  <w:rFonts w:ascii="Times New Roman"/>
                  <w:sz w:val="18"/>
                </w:rPr>
                <w:t>www.cninfo.com.cn</w:t>
              </w:r>
            </w:hyperlink>
          </w:p>
        </w:tc>
      </w:tr>
    </w:tbl>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bookmarkStart w:name="十二、处罚及整改情况" w:id="85"/>
      <w:bookmarkEnd w:id="85"/>
      <w:r>
        <w:rPr>
          <w:b w:val="0"/>
          <w:bCs w:val="0"/>
        </w:rPr>
      </w:r>
      <w:r>
        <w:rPr/>
        <w:t>十二、处罚及整改情况</w:t>
      </w:r>
      <w:r>
        <w:rPr>
          <w:b w:val="0"/>
          <w:bCs w:val="0"/>
        </w:rPr>
      </w:r>
    </w:p>
    <w:p>
      <w:pPr>
        <w:spacing w:line="240" w:lineRule="auto" w:before="7"/>
        <w:rPr>
          <w:rFonts w:ascii="宋体" w:hAnsi="宋体" w:cs="宋体" w:eastAsia="宋体" w:hint="default"/>
          <w:b/>
          <w:bCs/>
          <w:sz w:val="26"/>
          <w:szCs w:val="26"/>
        </w:rPr>
      </w:pPr>
    </w:p>
    <w:p>
      <w:pPr>
        <w:spacing w:line="412" w:lineRule="auto" w:before="0"/>
        <w:ind w:left="154" w:right="787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1"/>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公司报告期不存在处罚及整改情况。</w:t>
      </w:r>
    </w:p>
    <w:p>
      <w:pPr>
        <w:spacing w:line="240" w:lineRule="auto" w:before="3"/>
        <w:rPr>
          <w:rFonts w:ascii="宋体" w:hAnsi="宋体" w:cs="宋体" w:eastAsia="宋体" w:hint="default"/>
          <w:sz w:val="21"/>
          <w:szCs w:val="21"/>
        </w:rPr>
      </w:pPr>
    </w:p>
    <w:p>
      <w:pPr>
        <w:pStyle w:val="Heading2"/>
        <w:spacing w:line="240" w:lineRule="auto"/>
        <w:ind w:right="0"/>
        <w:jc w:val="left"/>
        <w:rPr>
          <w:b w:val="0"/>
          <w:bCs w:val="0"/>
        </w:rPr>
      </w:pPr>
      <w:bookmarkStart w:name="十三、公司及其控股股东、实际控制人的诚信状况" w:id="86"/>
      <w:bookmarkEnd w:id="86"/>
      <w:r>
        <w:rPr>
          <w:b w:val="0"/>
          <w:bCs w:val="0"/>
        </w:rPr>
      </w:r>
      <w:r>
        <w:rPr/>
        <w:t>十三、公司及其控股股东、实际控制人的诚信状况</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3"/>
        <w:rPr>
          <w:rFonts w:ascii="宋体" w:hAnsi="宋体" w:cs="宋体" w:eastAsia="宋体" w:hint="default"/>
          <w:b/>
          <w:bCs/>
          <w:sz w:val="23"/>
          <w:szCs w:val="23"/>
        </w:rPr>
      </w:pPr>
    </w:p>
    <w:p>
      <w:pPr>
        <w:pStyle w:val="Heading2"/>
        <w:spacing w:line="240" w:lineRule="auto"/>
        <w:ind w:right="0"/>
        <w:jc w:val="left"/>
        <w:rPr>
          <w:b w:val="0"/>
          <w:bCs w:val="0"/>
        </w:rPr>
      </w:pPr>
      <w:bookmarkStart w:name="十四、公司股权激励计划、员工持股计划或其他员工激励措施的实施情况" w:id="87"/>
      <w:bookmarkEnd w:id="87"/>
      <w:r>
        <w:rPr>
          <w:b w:val="0"/>
          <w:bCs w:val="0"/>
        </w:rPr>
      </w:r>
      <w:r>
        <w:rPr/>
        <w:t>十四、公司股权激励计划、员工持股计划或其他员工激励措施的实施情况</w:t>
      </w:r>
      <w:r>
        <w:rPr>
          <w:b w:val="0"/>
          <w:bCs w:val="0"/>
        </w:rPr>
      </w:r>
    </w:p>
    <w:p>
      <w:pPr>
        <w:spacing w:line="240" w:lineRule="auto" w:before="9"/>
        <w:rPr>
          <w:rFonts w:ascii="宋体" w:hAnsi="宋体" w:cs="宋体" w:eastAsia="宋体" w:hint="default"/>
          <w:b/>
          <w:bCs/>
          <w:sz w:val="26"/>
          <w:szCs w:val="26"/>
        </w:rPr>
      </w:pPr>
    </w:p>
    <w:p>
      <w:pPr>
        <w:spacing w:line="412" w:lineRule="auto" w:before="0"/>
        <w:ind w:left="515" w:right="8222" w:hanging="362"/>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w:t>
      </w:r>
      <w:r>
        <w:rPr>
          <w:rFonts w:ascii="宋体" w:hAnsi="宋体" w:cs="宋体" w:eastAsia="宋体" w:hint="default"/>
          <w:b/>
          <w:bCs/>
          <w:sz w:val="18"/>
          <w:szCs w:val="18"/>
        </w:rPr>
        <w:t>一、员工持股计划实施情况</w:t>
      </w:r>
      <w:r>
        <w:rPr>
          <w:rFonts w:ascii="宋体" w:hAnsi="宋体" w:cs="宋体" w:eastAsia="宋体" w:hint="default"/>
          <w:sz w:val="18"/>
          <w:szCs w:val="18"/>
        </w:rPr>
      </w:r>
    </w:p>
    <w:p>
      <w:pPr>
        <w:spacing w:after="0" w:line="412" w:lineRule="auto"/>
        <w:jc w:val="left"/>
        <w:rPr>
          <w:rFonts w:ascii="宋体" w:hAnsi="宋体" w:cs="宋体" w:eastAsia="宋体" w:hint="default"/>
          <w:sz w:val="18"/>
          <w:szCs w:val="18"/>
        </w:rPr>
        <w:sectPr>
          <w:pgSz w:w="11910" w:h="16840"/>
          <w:pgMar w:header="851" w:footer="979" w:top="1400" w:bottom="1160" w:left="980" w:right="0"/>
        </w:sectPr>
      </w:pPr>
    </w:p>
    <w:p>
      <w:pPr>
        <w:spacing w:line="240" w:lineRule="auto" w:before="7"/>
        <w:rPr>
          <w:rFonts w:ascii="宋体" w:hAnsi="宋体" w:cs="宋体" w:eastAsia="宋体" w:hint="default"/>
          <w:b/>
          <w:bCs/>
          <w:sz w:val="3"/>
          <w:szCs w:val="3"/>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before="83"/>
        <w:ind w:left="514" w:right="0"/>
        <w:jc w:val="left"/>
      </w:pPr>
      <w:r>
        <w:rPr/>
        <w:t>（</w:t>
      </w:r>
      <w:r>
        <w:rPr>
          <w:rFonts w:ascii="Times New Roman" w:hAnsi="Times New Roman" w:cs="Times New Roman" w:eastAsia="Times New Roman" w:hint="default"/>
        </w:rPr>
        <w:t>1</w:t>
      </w:r>
      <w:r>
        <w:rPr/>
        <w:t>）公司因筹划员工持股计划相关事项，经申请于</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8</w:t>
      </w:r>
      <w:r>
        <w:rPr/>
        <w:t>日起停牌。并于</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15</w:t>
      </w:r>
      <w:r>
        <w:rPr/>
        <w:t>日开市起复牌。</w:t>
      </w:r>
    </w:p>
    <w:p>
      <w:pPr>
        <w:spacing w:line="240" w:lineRule="auto" w:before="9"/>
        <w:rPr>
          <w:rFonts w:ascii="宋体" w:hAnsi="宋体" w:cs="宋体" w:eastAsia="宋体" w:hint="default"/>
          <w:sz w:val="16"/>
          <w:szCs w:val="16"/>
        </w:rPr>
      </w:pPr>
    </w:p>
    <w:p>
      <w:pPr>
        <w:pStyle w:val="BodyText"/>
        <w:spacing w:line="451" w:lineRule="auto"/>
        <w:ind w:right="1130" w:firstLine="360"/>
        <w:jc w:val="both"/>
      </w:pPr>
      <w:r>
        <w:rPr>
          <w:spacing w:val="-2"/>
        </w:rPr>
        <w:t>（</w:t>
      </w:r>
      <w:r>
        <w:rPr>
          <w:rFonts w:ascii="Times New Roman" w:hAnsi="Times New Roman" w:cs="Times New Roman" w:eastAsia="Times New Roman" w:hint="default"/>
          <w:spacing w:val="-2"/>
        </w:rPr>
        <w:t>2</w:t>
      </w:r>
      <w:r>
        <w:rPr>
          <w:spacing w:val="-2"/>
        </w:rPr>
        <w:t>）</w:t>
      </w: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7</w:t>
      </w:r>
      <w:r>
        <w:rPr>
          <w:spacing w:val="-2"/>
        </w:rPr>
        <w:t>月</w:t>
      </w:r>
      <w:r>
        <w:rPr>
          <w:rFonts w:ascii="Times New Roman" w:hAnsi="Times New Roman" w:cs="Times New Roman" w:eastAsia="Times New Roman" w:hint="default"/>
          <w:spacing w:val="-2"/>
        </w:rPr>
        <w:t>14</w:t>
      </w:r>
      <w:r>
        <w:rPr>
          <w:spacing w:val="-2"/>
        </w:rPr>
        <w:t>日公司第五届董事会第五十二次会议、第五届监事会第十八次会议审议通过《北京神州泰岳软件股份</w:t>
      </w:r>
      <w:r>
        <w:rPr/>
        <w:t> </w:t>
      </w:r>
      <w:r>
        <w:rPr>
          <w:spacing w:val="-5"/>
        </w:rPr>
        <w:t>有限公司第一期员工持股计划（草案）》及摘要、《关于提请股东大会授权董事会办理公司员工持股计划相关事宜的议案》、</w:t>
      </w:r>
    </w:p>
    <w:p>
      <w:pPr>
        <w:pStyle w:val="BodyText"/>
        <w:spacing w:line="451" w:lineRule="auto" w:before="74"/>
        <w:ind w:right="1115"/>
        <w:jc w:val="left"/>
      </w:pPr>
      <w:r>
        <w:rPr>
          <w:spacing w:val="-2"/>
        </w:rPr>
        <w:t>《北京神州泰岳软件股份有限公司第一期员工持股计划管理办法》、《关于召开</w:t>
      </w:r>
      <w:r>
        <w:rPr>
          <w:rFonts w:ascii="Times New Roman" w:hAnsi="Times New Roman" w:cs="Times New Roman" w:eastAsia="Times New Roman" w:hint="default"/>
          <w:spacing w:val="-2"/>
        </w:rPr>
        <w:t>2015</w:t>
      </w:r>
      <w:r>
        <w:rPr>
          <w:spacing w:val="-2"/>
        </w:rPr>
        <w:t>年第三次临时股东大会的议案》等相关</w:t>
      </w:r>
      <w:r>
        <w:rPr>
          <w:spacing w:val="-61"/>
        </w:rPr>
        <w:t> </w:t>
      </w:r>
      <w:r>
        <w:rPr>
          <w:spacing w:val="-61"/>
        </w:rPr>
      </w:r>
      <w:r>
        <w:rPr/>
        <w:t>议案。</w:t>
      </w:r>
    </w:p>
    <w:p>
      <w:pPr>
        <w:pStyle w:val="BodyText"/>
        <w:spacing w:line="463" w:lineRule="auto" w:before="74"/>
        <w:ind w:right="1132" w:firstLine="360"/>
        <w:jc w:val="both"/>
      </w:pPr>
      <w:r>
        <w:rPr>
          <w:spacing w:val="-5"/>
        </w:rPr>
        <w:t>（</w:t>
      </w:r>
      <w:r>
        <w:rPr>
          <w:rFonts w:ascii="Times New Roman" w:hAnsi="Times New Roman" w:cs="Times New Roman" w:eastAsia="Times New Roman" w:hint="default"/>
          <w:spacing w:val="-5"/>
        </w:rPr>
        <w:t>3</w:t>
      </w:r>
      <w:r>
        <w:rPr>
          <w:spacing w:val="-5"/>
        </w:rPr>
        <w:t>）</w:t>
      </w:r>
      <w:r>
        <w:rPr>
          <w:rFonts w:ascii="Times New Roman" w:hAnsi="Times New Roman" w:cs="Times New Roman" w:eastAsia="Times New Roman" w:hint="default"/>
          <w:spacing w:val="-5"/>
        </w:rPr>
        <w:t>2015</w:t>
      </w:r>
      <w:r>
        <w:rPr>
          <w:spacing w:val="-5"/>
        </w:rPr>
        <w:t>年</w:t>
      </w:r>
      <w:r>
        <w:rPr>
          <w:rFonts w:ascii="Times New Roman" w:hAnsi="Times New Roman" w:cs="Times New Roman" w:eastAsia="Times New Roman" w:hint="default"/>
          <w:spacing w:val="-5"/>
        </w:rPr>
        <w:t>7</w:t>
      </w:r>
      <w:r>
        <w:rPr>
          <w:spacing w:val="-5"/>
        </w:rPr>
        <w:t>月</w:t>
      </w:r>
      <w:r>
        <w:rPr>
          <w:rFonts w:ascii="Times New Roman" w:hAnsi="Times New Roman" w:cs="Times New Roman" w:eastAsia="Times New Roman" w:hint="default"/>
          <w:spacing w:val="-5"/>
        </w:rPr>
        <w:t>30</w:t>
      </w:r>
      <w:r>
        <w:rPr>
          <w:spacing w:val="-5"/>
        </w:rPr>
        <w:t>日公司</w:t>
      </w:r>
      <w:r>
        <w:rPr>
          <w:rFonts w:ascii="Times New Roman" w:hAnsi="Times New Roman" w:cs="Times New Roman" w:eastAsia="Times New Roman" w:hint="default"/>
          <w:spacing w:val="-5"/>
        </w:rPr>
        <w:t>2015</w:t>
      </w:r>
      <w:r>
        <w:rPr>
          <w:spacing w:val="-5"/>
        </w:rPr>
        <w:t>年第三次临时股东大会审议通过《北京神州泰岳软件股份有限公司第一期员工持股计划（草</w:t>
      </w:r>
      <w:r>
        <w:rPr/>
        <w:t> </w:t>
      </w:r>
      <w:r>
        <w:rPr>
          <w:spacing w:val="-2"/>
        </w:rPr>
        <w:t>案）》及摘要、《关于提请股东大会授权董事会办理公司员工持股计划相关事宜的议案》、《北京神州泰岳软件股份有限公</w:t>
      </w:r>
      <w:r>
        <w:rPr>
          <w:spacing w:val="-67"/>
        </w:rPr>
        <w:t> </w:t>
      </w:r>
      <w:r>
        <w:rPr>
          <w:spacing w:val="-67"/>
        </w:rPr>
      </w:r>
      <w:r>
        <w:rPr/>
        <w:t>司第一期员工持股计划管理办法》等相关议案。</w:t>
      </w:r>
    </w:p>
    <w:p>
      <w:pPr>
        <w:pStyle w:val="BodyText"/>
        <w:spacing w:line="451" w:lineRule="auto" w:before="65"/>
        <w:ind w:right="1040" w:firstLine="360"/>
        <w:jc w:val="both"/>
      </w:pPr>
      <w:r>
        <w:rPr/>
        <w:t>（</w:t>
      </w:r>
      <w:r>
        <w:rPr>
          <w:rFonts w:ascii="Times New Roman" w:hAnsi="Times New Roman" w:cs="Times New Roman" w:eastAsia="Times New Roman" w:hint="default"/>
        </w:rPr>
        <w:t>4</w:t>
      </w:r>
      <w:r>
        <w:rPr/>
        <w:t>）</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25</w:t>
      </w:r>
      <w:r>
        <w:rPr/>
        <w:t>日，公司第一期员工持股计划已完成股票购买，共计</w:t>
      </w:r>
      <w:r>
        <w:rPr>
          <w:rFonts w:ascii="Times New Roman" w:hAnsi="Times New Roman" w:cs="Times New Roman" w:eastAsia="Times New Roman" w:hint="default"/>
        </w:rPr>
        <w:t>7,301.08</w:t>
      </w:r>
      <w:r>
        <w:rPr/>
        <w:t>万股，占公司总股本的比例为</w:t>
      </w:r>
      <w:r>
        <w:rPr>
          <w:rFonts w:ascii="Times New Roman" w:hAnsi="Times New Roman" w:cs="Times New Roman" w:eastAsia="Times New Roman" w:hint="default"/>
        </w:rPr>
        <w:t>3.66%</w:t>
      </w:r>
      <w:r>
        <w:rPr/>
        <w:t>， 购买均价为</w:t>
      </w:r>
      <w:r>
        <w:rPr>
          <w:rFonts w:ascii="Times New Roman" w:hAnsi="Times New Roman" w:cs="Times New Roman" w:eastAsia="Times New Roman" w:hint="default"/>
        </w:rPr>
        <w:t>11.08</w:t>
      </w:r>
      <w:r>
        <w:rPr/>
        <w:t>元</w:t>
      </w:r>
      <w:r>
        <w:rPr>
          <w:rFonts w:ascii="Times New Roman" w:hAnsi="Times New Roman" w:cs="Times New Roman" w:eastAsia="Times New Roman" w:hint="default"/>
        </w:rPr>
        <w:t>/</w:t>
      </w:r>
      <w:r>
        <w:rPr/>
        <w:t>股。锁定期为</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25</w:t>
      </w:r>
      <w:r>
        <w:rPr/>
        <w:t>日至</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24</w:t>
      </w:r>
      <w:r>
        <w:rPr/>
        <w:t>日。</w:t>
      </w:r>
    </w:p>
    <w:p>
      <w:pPr>
        <w:pStyle w:val="BodyText"/>
        <w:spacing w:line="451" w:lineRule="auto" w:before="43"/>
        <w:ind w:right="1133" w:firstLine="360"/>
        <w:jc w:val="both"/>
      </w:pPr>
      <w:r>
        <w:rPr/>
        <w:t>（</w:t>
      </w:r>
      <w:r>
        <w:rPr>
          <w:rFonts w:ascii="Times New Roman" w:hAnsi="Times New Roman" w:cs="Times New Roman" w:eastAsia="Times New Roman" w:hint="default"/>
        </w:rPr>
        <w:t>5)</w:t>
      </w:r>
      <w:r>
        <w:rPr>
          <w:rFonts w:ascii="Times New Roman" w:hAnsi="Times New Roman" w:cs="Times New Roman" w:eastAsia="Times New Roman" w:hint="default"/>
          <w:spacing w:val="28"/>
        </w:rPr>
        <w:t> </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23</w:t>
      </w:r>
      <w:r>
        <w:rPr/>
        <w:t>日，公司刊登《公司员工持股计划锁定期届满的提示性公告》，公司员工持股计划锁定期届满，股 票的数量为</w:t>
      </w:r>
      <w:r>
        <w:rPr>
          <w:rFonts w:ascii="Times New Roman" w:hAnsi="Times New Roman" w:cs="Times New Roman" w:eastAsia="Times New Roman" w:hint="default"/>
        </w:rPr>
        <w:t>7,301.08</w:t>
      </w:r>
      <w:r>
        <w:rPr/>
        <w:t>万股，占公司总股本的比例为</w:t>
      </w:r>
      <w:r>
        <w:rPr>
          <w:rFonts w:ascii="Times New Roman" w:hAnsi="Times New Roman" w:cs="Times New Roman" w:eastAsia="Times New Roman" w:hint="default"/>
        </w:rPr>
        <w:t>3.72%</w:t>
      </w:r>
      <w:r>
        <w:rPr/>
        <w:t>。</w:t>
      </w:r>
    </w:p>
    <w:p>
      <w:pPr>
        <w:pStyle w:val="BodyText"/>
        <w:spacing w:line="451" w:lineRule="auto" w:before="43"/>
        <w:ind w:right="1130" w:firstLine="360"/>
        <w:jc w:val="both"/>
      </w:pPr>
      <w:r>
        <w:rPr>
          <w:spacing w:val="-2"/>
        </w:rPr>
        <w:t>（</w:t>
      </w:r>
      <w:r>
        <w:rPr>
          <w:rFonts w:ascii="Times New Roman" w:hAnsi="Times New Roman" w:cs="Times New Roman" w:eastAsia="Times New Roman" w:hint="default"/>
          <w:spacing w:val="-2"/>
        </w:rPr>
        <w:t>6</w:t>
      </w:r>
      <w:r>
        <w:rPr>
          <w:spacing w:val="-2"/>
        </w:rPr>
        <w:t>）</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25</w:t>
      </w:r>
      <w:r>
        <w:rPr>
          <w:spacing w:val="-2"/>
        </w:rPr>
        <w:t>日，公司第六届董事会第三十九次会议审议通过了《关于公司第一期员工持股计划延期的议案》，同</w:t>
      </w:r>
      <w:r>
        <w:rPr/>
        <w:t> 意公司第一期员工持股计划延期两年，即本员工持股计划存续期延长至</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30</w:t>
      </w:r>
      <w:r>
        <w:rPr/>
        <w:t>日。本员工持股计划可以在延长期内出</w:t>
      </w:r>
      <w:r>
        <w:rPr>
          <w:spacing w:val="-82"/>
        </w:rPr>
        <w:t> </w:t>
      </w:r>
      <w:r>
        <w:rPr>
          <w:spacing w:val="-82"/>
        </w:rPr>
      </w:r>
      <w:r>
        <w:rPr/>
        <w:t>售股票，如</w:t>
      </w:r>
      <w:r>
        <w:rPr>
          <w:rFonts w:ascii="Times New Roman" w:hAnsi="Times New Roman" w:cs="Times New Roman" w:eastAsia="Times New Roman" w:hint="default"/>
        </w:rPr>
        <w:t>24</w:t>
      </w:r>
      <w:r>
        <w:rPr/>
        <w:t>个月期满前仍未出售股票，可在期满前</w:t>
      </w:r>
      <w:r>
        <w:rPr>
          <w:rFonts w:ascii="Times New Roman" w:hAnsi="Times New Roman" w:cs="Times New Roman" w:eastAsia="Times New Roman" w:hint="default"/>
        </w:rPr>
        <w:t>2</w:t>
      </w:r>
      <w:r>
        <w:rPr/>
        <w:t>个月再次召开持有人会议和董事会，审议后续相关事宜。</w:t>
      </w:r>
    </w:p>
    <w:p>
      <w:pPr>
        <w:pStyle w:val="BodyText"/>
        <w:spacing w:line="451" w:lineRule="auto" w:before="44"/>
        <w:ind w:right="1130" w:firstLine="360"/>
        <w:jc w:val="both"/>
      </w:pPr>
      <w:r>
        <w:rPr>
          <w:spacing w:val="-2"/>
        </w:rPr>
        <w:t>（</w:t>
      </w:r>
      <w:r>
        <w:rPr>
          <w:rFonts w:ascii="Times New Roman" w:hAnsi="Times New Roman" w:cs="Times New Roman" w:eastAsia="Times New Roman" w:hint="default"/>
          <w:spacing w:val="-2"/>
        </w:rPr>
        <w:t>7</w:t>
      </w:r>
      <w:r>
        <w:rPr>
          <w:spacing w:val="-2"/>
        </w:rPr>
        <w:t>）</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22</w:t>
      </w:r>
      <w:r>
        <w:rPr>
          <w:spacing w:val="-2"/>
        </w:rPr>
        <w:t>日，公司刊登《关于公司员工持股计划出售完毕暨终止的公告》，截至该公告日，公司第一期员工持</w:t>
      </w:r>
      <w:r>
        <w:rPr/>
        <w:t> 股计划所持有的公司股票已全部出售完毕，总计卖出股票</w:t>
      </w:r>
      <w:r>
        <w:rPr>
          <w:rFonts w:ascii="Times New Roman" w:hAnsi="Times New Roman" w:cs="Times New Roman" w:eastAsia="Times New Roman" w:hint="default"/>
        </w:rPr>
        <w:t>7,301.08</w:t>
      </w:r>
      <w:r>
        <w:rPr/>
        <w:t>万股。根据公司员工持股计划方案的相关规定，公司员工</w:t>
      </w:r>
      <w:r>
        <w:rPr>
          <w:spacing w:val="-85"/>
        </w:rPr>
        <w:t> </w:t>
      </w:r>
      <w:r>
        <w:rPr>
          <w:spacing w:val="-85"/>
        </w:rPr>
      </w:r>
      <w:r>
        <w:rPr/>
        <w:t>持股计划实施完毕并终止，原方案中对员工的承诺已经兑现完成。</w:t>
      </w:r>
    </w:p>
    <w:p>
      <w:pPr>
        <w:pStyle w:val="Heading5"/>
        <w:spacing w:line="240" w:lineRule="auto" w:before="74"/>
        <w:ind w:left="516" w:right="0"/>
        <w:jc w:val="left"/>
        <w:rPr>
          <w:b w:val="0"/>
          <w:bCs w:val="0"/>
        </w:rPr>
      </w:pPr>
      <w:r>
        <w:rPr/>
        <w:t>二、员工持股计划主要事项临时报告披露网站查询</w:t>
      </w:r>
      <w:r>
        <w:rPr>
          <w:b w:val="0"/>
          <w:bCs w:val="0"/>
        </w:rPr>
      </w:r>
    </w:p>
    <w:p>
      <w:pPr>
        <w:spacing w:line="240" w:lineRule="auto" w:before="13"/>
        <w:rPr>
          <w:rFonts w:ascii="宋体" w:hAnsi="宋体" w:cs="宋体" w:eastAsia="宋体" w:hint="default"/>
          <w:b/>
          <w:bCs/>
          <w:sz w:val="10"/>
          <w:szCs w:val="10"/>
        </w:rPr>
      </w:pPr>
    </w:p>
    <w:tbl>
      <w:tblPr>
        <w:tblW w:w="0" w:type="auto"/>
        <w:jc w:val="left"/>
        <w:tblInd w:w="137" w:type="dxa"/>
        <w:tblLayout w:type="fixed"/>
        <w:tblCellMar>
          <w:top w:w="0" w:type="dxa"/>
          <w:left w:w="0" w:type="dxa"/>
          <w:bottom w:w="0" w:type="dxa"/>
          <w:right w:w="0" w:type="dxa"/>
        </w:tblCellMar>
        <w:tblLook w:val="01E0"/>
      </w:tblPr>
      <w:tblGrid>
        <w:gridCol w:w="4634"/>
        <w:gridCol w:w="2309"/>
        <w:gridCol w:w="2716"/>
      </w:tblGrid>
      <w:tr>
        <w:trPr>
          <w:trHeight w:val="347" w:hRule="exact"/>
        </w:trPr>
        <w:tc>
          <w:tcPr>
            <w:tcW w:w="4634" w:type="dxa"/>
            <w:tcBorders>
              <w:top w:val="single" w:sz="6" w:space="0" w:color="000000"/>
              <w:left w:val="single" w:sz="6" w:space="0" w:color="000000"/>
              <w:bottom w:val="single" w:sz="10" w:space="0" w:color="000000"/>
              <w:right w:val="single" w:sz="6" w:space="0" w:color="000000"/>
            </w:tcBorders>
            <w:shd w:val="clear" w:color="auto" w:fill="D2D2D2"/>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临时公告名称</w:t>
            </w:r>
          </w:p>
        </w:tc>
        <w:tc>
          <w:tcPr>
            <w:tcW w:w="2309"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临时公告披露日期</w:t>
            </w:r>
          </w:p>
        </w:tc>
        <w:tc>
          <w:tcPr>
            <w:tcW w:w="271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临时公告披露索引</w:t>
            </w:r>
          </w:p>
        </w:tc>
      </w:tr>
      <w:tr>
        <w:trPr>
          <w:trHeight w:val="347" w:hRule="exact"/>
        </w:trPr>
        <w:tc>
          <w:tcPr>
            <w:tcW w:w="463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关于筹划员工持股计划的停牌公告</w:t>
            </w:r>
          </w:p>
        </w:tc>
        <w:tc>
          <w:tcPr>
            <w:tcW w:w="2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r>
              <w:rPr>
                <w:rFonts w:ascii="Times New Roman" w:hAnsi="Times New Roman" w:cs="Times New Roman" w:eastAsia="Times New Roman" w:hint="default"/>
                <w:sz w:val="18"/>
                <w:szCs w:val="18"/>
              </w:rPr>
              <w:t>8</w:t>
            </w:r>
            <w:r>
              <w:rPr>
                <w:rFonts w:ascii="宋体" w:hAnsi="宋体" w:cs="宋体" w:eastAsia="宋体" w:hint="default"/>
                <w:sz w:val="18"/>
                <w:szCs w:val="18"/>
              </w:rPr>
              <w:t>日</w:t>
            </w:r>
          </w:p>
        </w:tc>
        <w:tc>
          <w:tcPr>
            <w:tcW w:w="2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42">
              <w:r>
                <w:rPr>
                  <w:rFonts w:ascii="Times New Roman" w:hAnsi="Times New Roman" w:cs="Times New Roman" w:eastAsia="Times New Roman" w:hint="default"/>
                  <w:sz w:val="18"/>
                  <w:szCs w:val="18"/>
                </w:rPr>
                <w:t>www.cninfo.com.cn</w:t>
              </w:r>
            </w:hyperlink>
          </w:p>
        </w:tc>
      </w:tr>
      <w:tr>
        <w:trPr>
          <w:trHeight w:val="348" w:hRule="exact"/>
        </w:trPr>
        <w:tc>
          <w:tcPr>
            <w:tcW w:w="463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第五届董事会第五十二次会议决议公告</w:t>
            </w:r>
          </w:p>
        </w:tc>
        <w:tc>
          <w:tcPr>
            <w:tcW w:w="2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r>
              <w:rPr>
                <w:rFonts w:ascii="Times New Roman" w:hAnsi="Times New Roman" w:cs="Times New Roman" w:eastAsia="Times New Roman" w:hint="default"/>
                <w:sz w:val="18"/>
                <w:szCs w:val="18"/>
              </w:rPr>
              <w:t>15</w:t>
            </w:r>
            <w:r>
              <w:rPr>
                <w:rFonts w:ascii="宋体" w:hAnsi="宋体" w:cs="宋体" w:eastAsia="宋体" w:hint="default"/>
                <w:sz w:val="18"/>
                <w:szCs w:val="18"/>
              </w:rPr>
              <w:t>日</w:t>
            </w:r>
          </w:p>
        </w:tc>
        <w:tc>
          <w:tcPr>
            <w:tcW w:w="2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42">
              <w:r>
                <w:rPr>
                  <w:rFonts w:ascii="Times New Roman" w:hAnsi="Times New Roman" w:cs="Times New Roman" w:eastAsia="Times New Roman" w:hint="default"/>
                  <w:sz w:val="18"/>
                  <w:szCs w:val="18"/>
                </w:rPr>
                <w:t>www.cninfo.com.cn</w:t>
              </w:r>
            </w:hyperlink>
          </w:p>
        </w:tc>
      </w:tr>
      <w:tr>
        <w:trPr>
          <w:trHeight w:val="347" w:hRule="exact"/>
        </w:trPr>
        <w:tc>
          <w:tcPr>
            <w:tcW w:w="463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第五届监事会第十八次会议决议公告</w:t>
            </w:r>
          </w:p>
        </w:tc>
        <w:tc>
          <w:tcPr>
            <w:tcW w:w="2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r>
              <w:rPr>
                <w:rFonts w:ascii="Times New Roman" w:hAnsi="Times New Roman" w:cs="Times New Roman" w:eastAsia="Times New Roman" w:hint="default"/>
                <w:sz w:val="18"/>
                <w:szCs w:val="18"/>
              </w:rPr>
              <w:t>15</w:t>
            </w:r>
            <w:r>
              <w:rPr>
                <w:rFonts w:ascii="宋体" w:hAnsi="宋体" w:cs="宋体" w:eastAsia="宋体" w:hint="default"/>
                <w:sz w:val="18"/>
                <w:szCs w:val="18"/>
              </w:rPr>
              <w:t>日</w:t>
            </w:r>
          </w:p>
        </w:tc>
        <w:tc>
          <w:tcPr>
            <w:tcW w:w="2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42">
              <w:r>
                <w:rPr>
                  <w:rFonts w:ascii="Times New Roman" w:hAnsi="Times New Roman" w:cs="Times New Roman" w:eastAsia="Times New Roman" w:hint="default"/>
                  <w:sz w:val="18"/>
                  <w:szCs w:val="18"/>
                </w:rPr>
                <w:t>www.cninfo.com.cn</w:t>
              </w:r>
            </w:hyperlink>
          </w:p>
        </w:tc>
      </w:tr>
      <w:tr>
        <w:trPr>
          <w:trHeight w:val="347" w:hRule="exact"/>
        </w:trPr>
        <w:tc>
          <w:tcPr>
            <w:tcW w:w="463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第一期员工持股计划（草案）摘要</w:t>
            </w:r>
          </w:p>
        </w:tc>
        <w:tc>
          <w:tcPr>
            <w:tcW w:w="2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r>
              <w:rPr>
                <w:rFonts w:ascii="Times New Roman" w:hAnsi="Times New Roman" w:cs="Times New Roman" w:eastAsia="Times New Roman" w:hint="default"/>
                <w:sz w:val="18"/>
                <w:szCs w:val="18"/>
              </w:rPr>
              <w:t>15</w:t>
            </w:r>
            <w:r>
              <w:rPr>
                <w:rFonts w:ascii="宋体" w:hAnsi="宋体" w:cs="宋体" w:eastAsia="宋体" w:hint="default"/>
                <w:sz w:val="18"/>
                <w:szCs w:val="18"/>
              </w:rPr>
              <w:t>日</w:t>
            </w:r>
          </w:p>
        </w:tc>
        <w:tc>
          <w:tcPr>
            <w:tcW w:w="2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42">
              <w:r>
                <w:rPr>
                  <w:rFonts w:ascii="Times New Roman" w:hAnsi="Times New Roman" w:cs="Times New Roman" w:eastAsia="Times New Roman" w:hint="default"/>
                  <w:sz w:val="18"/>
                  <w:szCs w:val="18"/>
                </w:rPr>
                <w:t>www.cninfo.com.cn</w:t>
              </w:r>
            </w:hyperlink>
          </w:p>
        </w:tc>
      </w:tr>
      <w:tr>
        <w:trPr>
          <w:trHeight w:val="347" w:hRule="exact"/>
        </w:trPr>
        <w:tc>
          <w:tcPr>
            <w:tcW w:w="463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第一期员工持股计划（草案）</w:t>
            </w:r>
          </w:p>
        </w:tc>
        <w:tc>
          <w:tcPr>
            <w:tcW w:w="2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r>
              <w:rPr>
                <w:rFonts w:ascii="Times New Roman" w:hAnsi="Times New Roman" w:cs="Times New Roman" w:eastAsia="Times New Roman" w:hint="default"/>
                <w:sz w:val="18"/>
                <w:szCs w:val="18"/>
              </w:rPr>
              <w:t>15</w:t>
            </w:r>
            <w:r>
              <w:rPr>
                <w:rFonts w:ascii="宋体" w:hAnsi="宋体" w:cs="宋体" w:eastAsia="宋体" w:hint="default"/>
                <w:sz w:val="18"/>
                <w:szCs w:val="18"/>
              </w:rPr>
              <w:t>日</w:t>
            </w:r>
          </w:p>
        </w:tc>
        <w:tc>
          <w:tcPr>
            <w:tcW w:w="2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42">
              <w:r>
                <w:rPr>
                  <w:rFonts w:ascii="Times New Roman" w:hAnsi="Times New Roman" w:cs="Times New Roman" w:eastAsia="Times New Roman" w:hint="default"/>
                  <w:sz w:val="18"/>
                  <w:szCs w:val="18"/>
                </w:rPr>
                <w:t>www.cninfo.com.cn</w:t>
              </w:r>
            </w:hyperlink>
          </w:p>
        </w:tc>
      </w:tr>
      <w:tr>
        <w:trPr>
          <w:trHeight w:val="347" w:hRule="exact"/>
        </w:trPr>
        <w:tc>
          <w:tcPr>
            <w:tcW w:w="463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关于筹划员工持股计划暨公司复牌的公告</w:t>
            </w:r>
          </w:p>
        </w:tc>
        <w:tc>
          <w:tcPr>
            <w:tcW w:w="2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r>
              <w:rPr>
                <w:rFonts w:ascii="Times New Roman" w:hAnsi="Times New Roman" w:cs="Times New Roman" w:eastAsia="Times New Roman" w:hint="default"/>
                <w:sz w:val="18"/>
                <w:szCs w:val="18"/>
              </w:rPr>
              <w:t>15</w:t>
            </w:r>
            <w:r>
              <w:rPr>
                <w:rFonts w:ascii="宋体" w:hAnsi="宋体" w:cs="宋体" w:eastAsia="宋体" w:hint="default"/>
                <w:sz w:val="18"/>
                <w:szCs w:val="18"/>
              </w:rPr>
              <w:t>日</w:t>
            </w:r>
          </w:p>
        </w:tc>
        <w:tc>
          <w:tcPr>
            <w:tcW w:w="2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42">
              <w:r>
                <w:rPr>
                  <w:rFonts w:ascii="Times New Roman" w:hAnsi="Times New Roman" w:cs="Times New Roman" w:eastAsia="Times New Roman" w:hint="default"/>
                  <w:sz w:val="18"/>
                  <w:szCs w:val="18"/>
                </w:rPr>
                <w:t>www.cninfo.com.cn</w:t>
              </w:r>
            </w:hyperlink>
          </w:p>
        </w:tc>
      </w:tr>
      <w:tr>
        <w:trPr>
          <w:trHeight w:val="659" w:hRule="exact"/>
        </w:trPr>
        <w:tc>
          <w:tcPr>
            <w:tcW w:w="463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6" w:lineRule="auto" w:before="21"/>
              <w:ind w:left="1049" w:right="1" w:hanging="1047"/>
              <w:jc w:val="left"/>
              <w:rPr>
                <w:rFonts w:ascii="宋体" w:hAnsi="宋体" w:cs="宋体" w:eastAsia="宋体" w:hint="default"/>
                <w:sz w:val="18"/>
                <w:szCs w:val="18"/>
              </w:rPr>
            </w:pPr>
            <w:r>
              <w:rPr>
                <w:rFonts w:ascii="宋体" w:hAnsi="宋体" w:cs="宋体" w:eastAsia="宋体" w:hint="default"/>
                <w:spacing w:val="-3"/>
                <w:sz w:val="18"/>
                <w:szCs w:val="18"/>
              </w:rPr>
              <w:t>独立董事关于《北京神州泰岳软件股份有限公司第一期员工</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持股计划（草案）》的独立意见</w:t>
            </w:r>
          </w:p>
        </w:tc>
        <w:tc>
          <w:tcPr>
            <w:tcW w:w="2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r>
              <w:rPr>
                <w:rFonts w:ascii="Times New Roman" w:hAnsi="Times New Roman" w:cs="Times New Roman" w:eastAsia="Times New Roman" w:hint="default"/>
                <w:sz w:val="18"/>
                <w:szCs w:val="18"/>
              </w:rPr>
              <w:t>15</w:t>
            </w:r>
            <w:r>
              <w:rPr>
                <w:rFonts w:ascii="宋体" w:hAnsi="宋体" w:cs="宋体" w:eastAsia="宋体" w:hint="default"/>
                <w:sz w:val="18"/>
                <w:szCs w:val="18"/>
              </w:rPr>
              <w:t>日</w:t>
            </w:r>
          </w:p>
        </w:tc>
        <w:tc>
          <w:tcPr>
            <w:tcW w:w="2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42">
              <w:r>
                <w:rPr>
                  <w:rFonts w:ascii="Times New Roman" w:hAnsi="Times New Roman" w:cs="Times New Roman" w:eastAsia="Times New Roman" w:hint="default"/>
                  <w:sz w:val="18"/>
                  <w:szCs w:val="18"/>
                </w:rPr>
                <w:t>www.cninfo.com.cn</w:t>
              </w:r>
            </w:hyperlink>
          </w:p>
        </w:tc>
      </w:tr>
      <w:tr>
        <w:trPr>
          <w:trHeight w:val="660" w:hRule="exact"/>
        </w:trPr>
        <w:tc>
          <w:tcPr>
            <w:tcW w:w="463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6" w:lineRule="auto" w:before="21"/>
              <w:ind w:left="1049" w:right="58" w:hanging="991"/>
              <w:jc w:val="left"/>
              <w:rPr>
                <w:rFonts w:ascii="宋体" w:hAnsi="宋体" w:cs="宋体" w:eastAsia="宋体" w:hint="default"/>
                <w:sz w:val="18"/>
                <w:szCs w:val="18"/>
              </w:rPr>
            </w:pPr>
            <w:r>
              <w:rPr>
                <w:rFonts w:ascii="宋体" w:hAnsi="宋体" w:cs="宋体" w:eastAsia="宋体" w:hint="default"/>
                <w:sz w:val="18"/>
                <w:szCs w:val="18"/>
              </w:rPr>
              <w:t>北京市天元律师事务所关于北京神州泰岳软件股份有限公 司实施员工持股计划的法律意见</w:t>
            </w:r>
          </w:p>
        </w:tc>
        <w:tc>
          <w:tcPr>
            <w:tcW w:w="2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r>
              <w:rPr>
                <w:rFonts w:ascii="Times New Roman" w:hAnsi="Times New Roman" w:cs="Times New Roman" w:eastAsia="Times New Roman" w:hint="default"/>
                <w:sz w:val="18"/>
                <w:szCs w:val="18"/>
              </w:rPr>
              <w:t>29</w:t>
            </w:r>
            <w:r>
              <w:rPr>
                <w:rFonts w:ascii="宋体" w:hAnsi="宋体" w:cs="宋体" w:eastAsia="宋体" w:hint="default"/>
                <w:sz w:val="18"/>
                <w:szCs w:val="18"/>
              </w:rPr>
              <w:t>日</w:t>
            </w:r>
          </w:p>
        </w:tc>
        <w:tc>
          <w:tcPr>
            <w:tcW w:w="2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42">
              <w:r>
                <w:rPr>
                  <w:rFonts w:ascii="Times New Roman" w:hAnsi="Times New Roman" w:cs="Times New Roman" w:eastAsia="Times New Roman" w:hint="default"/>
                  <w:sz w:val="18"/>
                  <w:szCs w:val="18"/>
                </w:rPr>
                <w:t>www.cninfo.com.cn</w:t>
              </w:r>
            </w:hyperlink>
          </w:p>
        </w:tc>
      </w:tr>
      <w:tr>
        <w:trPr>
          <w:trHeight w:val="347" w:hRule="exact"/>
        </w:trPr>
        <w:tc>
          <w:tcPr>
            <w:tcW w:w="463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年第三次临时股东大会决议公告</w:t>
            </w:r>
          </w:p>
        </w:tc>
        <w:tc>
          <w:tcPr>
            <w:tcW w:w="2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w:t>
            </w:r>
          </w:p>
        </w:tc>
        <w:tc>
          <w:tcPr>
            <w:tcW w:w="2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42">
              <w:r>
                <w:rPr>
                  <w:rFonts w:ascii="Times New Roman" w:hAnsi="Times New Roman" w:cs="Times New Roman" w:eastAsia="Times New Roman" w:hint="default"/>
                  <w:sz w:val="18"/>
                  <w:szCs w:val="18"/>
                </w:rPr>
                <w:t>www.cninfo.com.cn</w:t>
              </w:r>
            </w:hyperlink>
          </w:p>
        </w:tc>
      </w:tr>
      <w:tr>
        <w:trPr>
          <w:trHeight w:val="347" w:hRule="exact"/>
        </w:trPr>
        <w:tc>
          <w:tcPr>
            <w:tcW w:w="463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关于第一期员工持股计划实施进展的公告</w:t>
            </w:r>
          </w:p>
        </w:tc>
        <w:tc>
          <w:tcPr>
            <w:tcW w:w="2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29</w:t>
            </w:r>
            <w:r>
              <w:rPr>
                <w:rFonts w:ascii="宋体" w:hAnsi="宋体" w:cs="宋体" w:eastAsia="宋体" w:hint="default"/>
                <w:sz w:val="18"/>
                <w:szCs w:val="18"/>
              </w:rPr>
              <w:t>日</w:t>
            </w:r>
          </w:p>
        </w:tc>
        <w:tc>
          <w:tcPr>
            <w:tcW w:w="2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42">
              <w:r>
                <w:rPr>
                  <w:rFonts w:ascii="Times New Roman" w:hAnsi="Times New Roman" w:cs="Times New Roman" w:eastAsia="Times New Roman" w:hint="default"/>
                  <w:sz w:val="18"/>
                  <w:szCs w:val="18"/>
                </w:rPr>
                <w:t>www.cninfo.com.cn</w:t>
              </w:r>
            </w:hyperlink>
          </w:p>
        </w:tc>
      </w:tr>
      <w:tr>
        <w:trPr>
          <w:trHeight w:val="348" w:hRule="exact"/>
        </w:trPr>
        <w:tc>
          <w:tcPr>
            <w:tcW w:w="463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关于第一期员工持股计划完成股票购买的公告</w:t>
            </w:r>
          </w:p>
        </w:tc>
        <w:tc>
          <w:tcPr>
            <w:tcW w:w="2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25</w:t>
            </w:r>
            <w:r>
              <w:rPr>
                <w:rFonts w:ascii="宋体" w:hAnsi="宋体" w:cs="宋体" w:eastAsia="宋体" w:hint="default"/>
                <w:sz w:val="18"/>
                <w:szCs w:val="18"/>
              </w:rPr>
              <w:t>日</w:t>
            </w:r>
          </w:p>
        </w:tc>
        <w:tc>
          <w:tcPr>
            <w:tcW w:w="2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42">
              <w:r>
                <w:rPr>
                  <w:rFonts w:ascii="Times New Roman" w:hAnsi="Times New Roman" w:cs="Times New Roman" w:eastAsia="Times New Roman" w:hint="default"/>
                  <w:sz w:val="18"/>
                  <w:szCs w:val="18"/>
                </w:rPr>
                <w:t>www.cninfo.com.cn</w:t>
              </w:r>
            </w:hyperlink>
          </w:p>
        </w:tc>
      </w:tr>
    </w:tbl>
    <w:p>
      <w:pPr>
        <w:spacing w:after="0" w:line="240" w:lineRule="auto"/>
        <w:jc w:val="center"/>
        <w:rPr>
          <w:rFonts w:ascii="Times New Roman" w:hAnsi="Times New Roman" w:cs="Times New Roman" w:eastAsia="Times New Roman" w:hint="default"/>
          <w:sz w:val="18"/>
          <w:szCs w:val="18"/>
        </w:rPr>
        <w:sectPr>
          <w:pgSz w:w="11910" w:h="16840"/>
          <w:pgMar w:header="851" w:footer="979" w:top="1400" w:bottom="1160" w:left="980" w:right="0"/>
        </w:sectPr>
      </w:pPr>
    </w:p>
    <w:p>
      <w:pPr>
        <w:spacing w:line="240" w:lineRule="auto" w:before="0"/>
        <w:rPr>
          <w:rFonts w:ascii="宋体" w:hAnsi="宋体" w:cs="宋体" w:eastAsia="宋体" w:hint="default"/>
          <w:b/>
          <w:bCs/>
          <w:sz w:val="3"/>
          <w:szCs w:val="3"/>
        </w:rPr>
      </w:pPr>
    </w:p>
    <w:tbl>
      <w:tblPr>
        <w:tblW w:w="0" w:type="auto"/>
        <w:jc w:val="left"/>
        <w:tblInd w:w="117" w:type="dxa"/>
        <w:tblLayout w:type="fixed"/>
        <w:tblCellMar>
          <w:top w:w="0" w:type="dxa"/>
          <w:left w:w="0" w:type="dxa"/>
          <w:bottom w:w="0" w:type="dxa"/>
          <w:right w:w="0" w:type="dxa"/>
        </w:tblCellMar>
        <w:tblLook w:val="01E0"/>
      </w:tblPr>
      <w:tblGrid>
        <w:gridCol w:w="4634"/>
        <w:gridCol w:w="2309"/>
        <w:gridCol w:w="2716"/>
      </w:tblGrid>
      <w:tr>
        <w:trPr>
          <w:trHeight w:val="361" w:hRule="exact"/>
        </w:trPr>
        <w:tc>
          <w:tcPr>
            <w:tcW w:w="4634"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8"/>
              <w:ind w:right="1"/>
              <w:jc w:val="center"/>
              <w:rPr>
                <w:rFonts w:ascii="宋体" w:hAnsi="宋体" w:cs="宋体" w:eastAsia="宋体" w:hint="default"/>
                <w:sz w:val="18"/>
                <w:szCs w:val="18"/>
              </w:rPr>
            </w:pPr>
            <w:r>
              <w:rPr>
                <w:rFonts w:ascii="宋体" w:hAnsi="宋体" w:cs="宋体" w:eastAsia="宋体" w:hint="default"/>
                <w:sz w:val="18"/>
                <w:szCs w:val="18"/>
              </w:rPr>
              <w:t>关于公司员工持股计划锁定期届满的提示性公告</w:t>
            </w:r>
          </w:p>
        </w:tc>
        <w:tc>
          <w:tcPr>
            <w:tcW w:w="230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23</w:t>
            </w:r>
            <w:r>
              <w:rPr>
                <w:rFonts w:ascii="宋体" w:hAnsi="宋体" w:cs="宋体" w:eastAsia="宋体" w:hint="default"/>
                <w:sz w:val="18"/>
                <w:szCs w:val="18"/>
              </w:rPr>
              <w:t>日</w:t>
            </w:r>
          </w:p>
        </w:tc>
        <w:tc>
          <w:tcPr>
            <w:tcW w:w="271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8"/>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42">
              <w:r>
                <w:rPr>
                  <w:rFonts w:ascii="Times New Roman" w:hAnsi="Times New Roman" w:cs="Times New Roman" w:eastAsia="Times New Roman" w:hint="default"/>
                  <w:sz w:val="18"/>
                  <w:szCs w:val="18"/>
                </w:rPr>
                <w:t>www.cninfo.com.cn</w:t>
              </w:r>
            </w:hyperlink>
          </w:p>
        </w:tc>
      </w:tr>
      <w:tr>
        <w:trPr>
          <w:trHeight w:val="348" w:hRule="exact"/>
        </w:trPr>
        <w:tc>
          <w:tcPr>
            <w:tcW w:w="463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关于第一期员工持股计划延期的公告</w:t>
            </w:r>
          </w:p>
        </w:tc>
        <w:tc>
          <w:tcPr>
            <w:tcW w:w="2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25</w:t>
            </w:r>
            <w:r>
              <w:rPr>
                <w:rFonts w:ascii="宋体" w:hAnsi="宋体" w:cs="宋体" w:eastAsia="宋体" w:hint="default"/>
                <w:sz w:val="18"/>
                <w:szCs w:val="18"/>
              </w:rPr>
              <w:t>日</w:t>
            </w:r>
          </w:p>
        </w:tc>
        <w:tc>
          <w:tcPr>
            <w:tcW w:w="2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42">
              <w:r>
                <w:rPr>
                  <w:rFonts w:ascii="Times New Roman" w:hAnsi="Times New Roman" w:cs="Times New Roman" w:eastAsia="Times New Roman" w:hint="default"/>
                  <w:sz w:val="18"/>
                  <w:szCs w:val="18"/>
                </w:rPr>
                <w:t>www.cninfo.com.cn</w:t>
              </w:r>
            </w:hyperlink>
          </w:p>
        </w:tc>
      </w:tr>
      <w:tr>
        <w:trPr>
          <w:trHeight w:val="347" w:hRule="exact"/>
        </w:trPr>
        <w:tc>
          <w:tcPr>
            <w:tcW w:w="463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关于公司员工持股计划出售完毕暨终止的公告</w:t>
            </w:r>
          </w:p>
        </w:tc>
        <w:tc>
          <w:tcPr>
            <w:tcW w:w="2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22</w:t>
            </w:r>
            <w:r>
              <w:rPr>
                <w:rFonts w:ascii="宋体" w:hAnsi="宋体" w:cs="宋体" w:eastAsia="宋体" w:hint="default"/>
                <w:sz w:val="18"/>
                <w:szCs w:val="18"/>
              </w:rPr>
              <w:t>日</w:t>
            </w:r>
          </w:p>
        </w:tc>
        <w:tc>
          <w:tcPr>
            <w:tcW w:w="2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42">
              <w:r>
                <w:rPr>
                  <w:rFonts w:ascii="Times New Roman" w:hAnsi="Times New Roman" w:cs="Times New Roman" w:eastAsia="Times New Roman" w:hint="default"/>
                  <w:sz w:val="18"/>
                  <w:szCs w:val="18"/>
                </w:rPr>
                <w:t>www.cninfo.com.cn</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left="134" w:right="7680"/>
        <w:jc w:val="left"/>
        <w:rPr>
          <w:b w:val="0"/>
          <w:bCs w:val="0"/>
        </w:rPr>
      </w:pPr>
      <w:bookmarkStart w:name="十五、重大关联交易" w:id="88"/>
      <w:bookmarkEnd w:id="88"/>
      <w:r>
        <w:rPr>
          <w:b w:val="0"/>
          <w:bCs w:val="0"/>
        </w:rPr>
      </w:r>
      <w:r>
        <w:rPr/>
        <w:t>十五、重大关联交易</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34" w:right="7680"/>
        <w:jc w:val="left"/>
        <w:rPr>
          <w:b w:val="0"/>
          <w:bCs w:val="0"/>
        </w:rPr>
      </w:pPr>
      <w:bookmarkStart w:name="1、与日常经营相关的关联交易" w:id="89"/>
      <w:bookmarkEnd w:id="89"/>
      <w:r>
        <w:rPr>
          <w:b w:val="0"/>
          <w:bCs w:val="0"/>
        </w:rPr>
      </w:r>
      <w:r>
        <w:rPr>
          <w:rFonts w:ascii="Times New Roman" w:hAnsi="Times New Roman" w:cs="Times New Roman" w:eastAsia="Times New Roman" w:hint="default"/>
        </w:rPr>
        <w:t>1</w:t>
      </w:r>
      <w:r>
        <w:rPr/>
        <w:t>、与日常经营相关的关联交易</w:t>
      </w:r>
      <w:r>
        <w:rPr>
          <w:b w:val="0"/>
          <w:bCs w:val="0"/>
        </w:rPr>
      </w:r>
    </w:p>
    <w:p>
      <w:pPr>
        <w:spacing w:line="240" w:lineRule="auto" w:before="7"/>
        <w:rPr>
          <w:rFonts w:ascii="宋体" w:hAnsi="宋体" w:cs="宋体" w:eastAsia="宋体" w:hint="default"/>
          <w:b/>
          <w:bCs/>
          <w:sz w:val="32"/>
          <w:szCs w:val="32"/>
        </w:rPr>
      </w:pPr>
    </w:p>
    <w:p>
      <w:pPr>
        <w:spacing w:before="0"/>
        <w:ind w:left="134" w:right="7680"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12"/>
          <w:szCs w:val="12"/>
        </w:rPr>
      </w:pPr>
    </w:p>
    <w:tbl>
      <w:tblPr>
        <w:tblW w:w="0" w:type="auto"/>
        <w:jc w:val="left"/>
        <w:tblInd w:w="101" w:type="dxa"/>
        <w:tblLayout w:type="fixed"/>
        <w:tblCellMar>
          <w:top w:w="0" w:type="dxa"/>
          <w:left w:w="0" w:type="dxa"/>
          <w:bottom w:w="0" w:type="dxa"/>
          <w:right w:w="0" w:type="dxa"/>
        </w:tblCellMar>
        <w:tblLook w:val="01E0"/>
      </w:tblPr>
      <w:tblGrid>
        <w:gridCol w:w="809"/>
        <w:gridCol w:w="686"/>
        <w:gridCol w:w="686"/>
        <w:gridCol w:w="712"/>
        <w:gridCol w:w="689"/>
        <w:gridCol w:w="682"/>
        <w:gridCol w:w="762"/>
        <w:gridCol w:w="862"/>
        <w:gridCol w:w="716"/>
        <w:gridCol w:w="574"/>
        <w:gridCol w:w="718"/>
        <w:gridCol w:w="716"/>
        <w:gridCol w:w="575"/>
        <w:gridCol w:w="508"/>
      </w:tblGrid>
      <w:tr>
        <w:trPr>
          <w:trHeight w:val="1338" w:hRule="exact"/>
        </w:trPr>
        <w:tc>
          <w:tcPr>
            <w:tcW w:w="8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08" w:right="39" w:hanging="270"/>
              <w:jc w:val="left"/>
              <w:rPr>
                <w:rFonts w:ascii="宋体" w:hAnsi="宋体" w:cs="宋体" w:eastAsia="宋体" w:hint="default"/>
                <w:sz w:val="18"/>
                <w:szCs w:val="18"/>
              </w:rPr>
            </w:pPr>
            <w:r>
              <w:rPr>
                <w:rFonts w:ascii="宋体" w:hAnsi="宋体" w:cs="宋体" w:eastAsia="宋体" w:hint="default"/>
                <w:sz w:val="18"/>
                <w:szCs w:val="18"/>
              </w:rPr>
              <w:t>关联交易 方</w:t>
            </w:r>
          </w:p>
        </w:tc>
        <w:tc>
          <w:tcPr>
            <w:tcW w:w="6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48" w:right="66" w:hanging="180"/>
              <w:jc w:val="left"/>
              <w:rPr>
                <w:rFonts w:ascii="宋体" w:hAnsi="宋体" w:cs="宋体" w:eastAsia="宋体" w:hint="default"/>
                <w:sz w:val="18"/>
                <w:szCs w:val="18"/>
              </w:rPr>
            </w:pPr>
            <w:r>
              <w:rPr>
                <w:rFonts w:ascii="宋体" w:hAnsi="宋体" w:cs="宋体" w:eastAsia="宋体" w:hint="default"/>
                <w:sz w:val="18"/>
                <w:szCs w:val="18"/>
              </w:rPr>
              <w:t>关联关 系</w:t>
            </w:r>
          </w:p>
        </w:tc>
        <w:tc>
          <w:tcPr>
            <w:tcW w:w="6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68" w:right="66"/>
              <w:jc w:val="left"/>
              <w:rPr>
                <w:rFonts w:ascii="宋体" w:hAnsi="宋体" w:cs="宋体" w:eastAsia="宋体" w:hint="default"/>
                <w:sz w:val="18"/>
                <w:szCs w:val="18"/>
              </w:rPr>
            </w:pPr>
            <w:r>
              <w:rPr>
                <w:rFonts w:ascii="宋体" w:hAnsi="宋体" w:cs="宋体" w:eastAsia="宋体" w:hint="default"/>
                <w:sz w:val="18"/>
                <w:szCs w:val="18"/>
              </w:rPr>
              <w:t>关联交 易类型</w:t>
            </w:r>
          </w:p>
        </w:tc>
        <w:tc>
          <w:tcPr>
            <w:tcW w:w="7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80" w:right="79"/>
              <w:jc w:val="left"/>
              <w:rPr>
                <w:rFonts w:ascii="宋体" w:hAnsi="宋体" w:cs="宋体" w:eastAsia="宋体" w:hint="default"/>
                <w:sz w:val="18"/>
                <w:szCs w:val="18"/>
              </w:rPr>
            </w:pPr>
            <w:r>
              <w:rPr>
                <w:rFonts w:ascii="宋体" w:hAnsi="宋体" w:cs="宋体" w:eastAsia="宋体" w:hint="default"/>
                <w:sz w:val="18"/>
                <w:szCs w:val="18"/>
              </w:rPr>
              <w:t>关联交 易内容</w:t>
            </w:r>
          </w:p>
        </w:tc>
        <w:tc>
          <w:tcPr>
            <w:tcW w:w="6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9" w:right="67"/>
              <w:jc w:val="both"/>
              <w:rPr>
                <w:rFonts w:ascii="宋体" w:hAnsi="宋体" w:cs="宋体" w:eastAsia="宋体" w:hint="default"/>
                <w:sz w:val="18"/>
                <w:szCs w:val="18"/>
              </w:rPr>
            </w:pPr>
            <w:r>
              <w:rPr>
                <w:rFonts w:ascii="宋体" w:hAnsi="宋体" w:cs="宋体" w:eastAsia="宋体" w:hint="default"/>
                <w:sz w:val="18"/>
                <w:szCs w:val="18"/>
              </w:rPr>
              <w:t>关联交 易定价 原则</w:t>
            </w:r>
          </w:p>
        </w:tc>
        <w:tc>
          <w:tcPr>
            <w:tcW w:w="6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65" w:right="64"/>
              <w:jc w:val="left"/>
              <w:rPr>
                <w:rFonts w:ascii="宋体" w:hAnsi="宋体" w:cs="宋体" w:eastAsia="宋体" w:hint="default"/>
                <w:sz w:val="18"/>
                <w:szCs w:val="18"/>
              </w:rPr>
            </w:pPr>
            <w:r>
              <w:rPr>
                <w:rFonts w:ascii="宋体" w:hAnsi="宋体" w:cs="宋体" w:eastAsia="宋体" w:hint="default"/>
                <w:sz w:val="18"/>
                <w:szCs w:val="18"/>
              </w:rPr>
              <w:t>关联交 易价格</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5" w:right="104"/>
              <w:jc w:val="left"/>
              <w:rPr>
                <w:rFonts w:ascii="宋体" w:hAnsi="宋体" w:cs="宋体" w:eastAsia="宋体" w:hint="default"/>
                <w:sz w:val="18"/>
                <w:szCs w:val="18"/>
              </w:rPr>
            </w:pPr>
            <w:r>
              <w:rPr>
                <w:rFonts w:ascii="宋体" w:hAnsi="宋体" w:cs="宋体" w:eastAsia="宋体" w:hint="default"/>
                <w:sz w:val="18"/>
                <w:szCs w:val="18"/>
              </w:rPr>
              <w:t>关联交 易金额</w:t>
            </w:r>
          </w:p>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8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64" w:right="65"/>
              <w:jc w:val="center"/>
              <w:rPr>
                <w:rFonts w:ascii="宋体" w:hAnsi="宋体" w:cs="宋体" w:eastAsia="宋体" w:hint="default"/>
                <w:sz w:val="18"/>
                <w:szCs w:val="18"/>
              </w:rPr>
            </w:pPr>
            <w:r>
              <w:rPr>
                <w:rFonts w:ascii="宋体" w:hAnsi="宋体" w:cs="宋体" w:eastAsia="宋体" w:hint="default"/>
                <w:sz w:val="18"/>
                <w:szCs w:val="18"/>
              </w:rPr>
              <w:t>占同类交 易金额的 比例</w:t>
            </w:r>
          </w:p>
        </w:tc>
        <w:tc>
          <w:tcPr>
            <w:tcW w:w="7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82" w:right="83"/>
              <w:jc w:val="both"/>
              <w:rPr>
                <w:rFonts w:ascii="宋体" w:hAnsi="宋体" w:cs="宋体" w:eastAsia="宋体" w:hint="default"/>
                <w:sz w:val="18"/>
                <w:szCs w:val="18"/>
              </w:rPr>
            </w:pPr>
            <w:r>
              <w:rPr>
                <w:rFonts w:ascii="宋体" w:hAnsi="宋体" w:cs="宋体" w:eastAsia="宋体" w:hint="default"/>
                <w:sz w:val="18"/>
                <w:szCs w:val="18"/>
              </w:rPr>
              <w:t>获批的 交易额 度（万 元）</w:t>
            </w:r>
          </w:p>
        </w:tc>
        <w:tc>
          <w:tcPr>
            <w:tcW w:w="5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00"/>
              <w:jc w:val="both"/>
              <w:rPr>
                <w:rFonts w:ascii="宋体" w:hAnsi="宋体" w:cs="宋体" w:eastAsia="宋体" w:hint="default"/>
                <w:sz w:val="18"/>
                <w:szCs w:val="18"/>
              </w:rPr>
            </w:pPr>
            <w:r>
              <w:rPr>
                <w:rFonts w:ascii="宋体" w:hAnsi="宋体" w:cs="宋体" w:eastAsia="宋体" w:hint="default"/>
                <w:sz w:val="18"/>
                <w:szCs w:val="18"/>
              </w:rPr>
              <w:t>是否 超过 获批 额度</w:t>
            </w:r>
          </w:p>
        </w:tc>
        <w:tc>
          <w:tcPr>
            <w:tcW w:w="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84" w:right="83"/>
              <w:jc w:val="both"/>
              <w:rPr>
                <w:rFonts w:ascii="宋体" w:hAnsi="宋体" w:cs="宋体" w:eastAsia="宋体" w:hint="default"/>
                <w:sz w:val="18"/>
                <w:szCs w:val="18"/>
              </w:rPr>
            </w:pPr>
            <w:r>
              <w:rPr>
                <w:rFonts w:ascii="宋体" w:hAnsi="宋体" w:cs="宋体" w:eastAsia="宋体" w:hint="default"/>
                <w:sz w:val="18"/>
                <w:szCs w:val="18"/>
              </w:rPr>
              <w:t>关联交 易结算 方式</w:t>
            </w:r>
          </w:p>
        </w:tc>
        <w:tc>
          <w:tcPr>
            <w:tcW w:w="7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82" w:right="83"/>
              <w:jc w:val="center"/>
              <w:rPr>
                <w:rFonts w:ascii="宋体" w:hAnsi="宋体" w:cs="宋体" w:eastAsia="宋体" w:hint="default"/>
                <w:sz w:val="18"/>
                <w:szCs w:val="18"/>
              </w:rPr>
            </w:pPr>
            <w:r>
              <w:rPr>
                <w:rFonts w:ascii="宋体" w:hAnsi="宋体" w:cs="宋体" w:eastAsia="宋体" w:hint="default"/>
                <w:sz w:val="18"/>
                <w:szCs w:val="18"/>
              </w:rPr>
              <w:t>可获得 的同类 交易市 价</w:t>
            </w:r>
          </w:p>
        </w:tc>
        <w:tc>
          <w:tcPr>
            <w:tcW w:w="5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03" w:right="101"/>
              <w:jc w:val="left"/>
              <w:rPr>
                <w:rFonts w:ascii="宋体" w:hAnsi="宋体" w:cs="宋体" w:eastAsia="宋体" w:hint="default"/>
                <w:sz w:val="18"/>
                <w:szCs w:val="18"/>
              </w:rPr>
            </w:pPr>
            <w:r>
              <w:rPr>
                <w:rFonts w:ascii="宋体" w:hAnsi="宋体" w:cs="宋体" w:eastAsia="宋体" w:hint="default"/>
                <w:sz w:val="18"/>
                <w:szCs w:val="18"/>
              </w:rPr>
              <w:t>披露 日期</w:t>
            </w:r>
          </w:p>
        </w:tc>
        <w:tc>
          <w:tcPr>
            <w:tcW w:w="5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68" w:right="67"/>
              <w:jc w:val="left"/>
              <w:rPr>
                <w:rFonts w:ascii="宋体" w:hAnsi="宋体" w:cs="宋体" w:eastAsia="宋体" w:hint="default"/>
                <w:sz w:val="18"/>
                <w:szCs w:val="18"/>
              </w:rPr>
            </w:pPr>
            <w:r>
              <w:rPr>
                <w:rFonts w:ascii="宋体" w:hAnsi="宋体" w:cs="宋体" w:eastAsia="宋体" w:hint="default"/>
                <w:sz w:val="18"/>
                <w:szCs w:val="18"/>
              </w:rPr>
              <w:t>披露 索引</w:t>
            </w:r>
          </w:p>
        </w:tc>
      </w:tr>
      <w:tr>
        <w:trPr>
          <w:trHeight w:val="1650" w:hRule="exact"/>
        </w:trPr>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54"/>
              <w:jc w:val="both"/>
              <w:rPr>
                <w:rFonts w:ascii="宋体" w:hAnsi="宋体" w:cs="宋体" w:eastAsia="宋体" w:hint="default"/>
                <w:sz w:val="18"/>
                <w:szCs w:val="18"/>
              </w:rPr>
            </w:pPr>
            <w:r>
              <w:rPr>
                <w:rFonts w:ascii="宋体" w:hAnsi="宋体" w:cs="宋体" w:eastAsia="宋体" w:hint="default"/>
                <w:sz w:val="18"/>
                <w:szCs w:val="18"/>
              </w:rPr>
              <w:t>北京国信 安石科技 有限责任 公司</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3"/>
              <w:jc w:val="both"/>
              <w:rPr>
                <w:rFonts w:ascii="宋体" w:hAnsi="宋体" w:cs="宋体" w:eastAsia="宋体" w:hint="default"/>
                <w:sz w:val="18"/>
                <w:szCs w:val="18"/>
              </w:rPr>
            </w:pPr>
            <w:r>
              <w:rPr>
                <w:rFonts w:ascii="宋体" w:hAnsi="宋体" w:cs="宋体" w:eastAsia="宋体" w:hint="default"/>
                <w:sz w:val="18"/>
                <w:szCs w:val="18"/>
              </w:rPr>
              <w:t>公司高 管担任 执行董 事的公 司</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248" w:right="66" w:hanging="180"/>
              <w:jc w:val="left"/>
              <w:rPr>
                <w:rFonts w:ascii="宋体" w:hAnsi="宋体" w:cs="宋体" w:eastAsia="宋体" w:hint="default"/>
                <w:sz w:val="18"/>
                <w:szCs w:val="18"/>
              </w:rPr>
            </w:pPr>
            <w:r>
              <w:rPr>
                <w:rFonts w:ascii="宋体" w:hAnsi="宋体" w:cs="宋体" w:eastAsia="宋体" w:hint="default"/>
                <w:sz w:val="18"/>
                <w:szCs w:val="18"/>
              </w:rPr>
              <w:t>接受劳 务</w:t>
            </w:r>
          </w:p>
        </w:tc>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260" w:right="79" w:hanging="180"/>
              <w:jc w:val="left"/>
              <w:rPr>
                <w:rFonts w:ascii="宋体" w:hAnsi="宋体" w:cs="宋体" w:eastAsia="宋体" w:hint="default"/>
                <w:sz w:val="18"/>
                <w:szCs w:val="18"/>
              </w:rPr>
            </w:pPr>
            <w:r>
              <w:rPr>
                <w:rFonts w:ascii="宋体" w:hAnsi="宋体" w:cs="宋体" w:eastAsia="宋体" w:hint="default"/>
                <w:sz w:val="18"/>
                <w:szCs w:val="18"/>
              </w:rPr>
              <w:t>接受劳 务</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59" w:right="67" w:hanging="90"/>
              <w:jc w:val="left"/>
              <w:rPr>
                <w:rFonts w:ascii="宋体" w:hAnsi="宋体" w:cs="宋体" w:eastAsia="宋体" w:hint="default"/>
                <w:sz w:val="18"/>
                <w:szCs w:val="18"/>
              </w:rPr>
            </w:pPr>
            <w:r>
              <w:rPr>
                <w:rFonts w:ascii="宋体" w:hAnsi="宋体" w:cs="宋体" w:eastAsia="宋体" w:hint="default"/>
                <w:sz w:val="18"/>
                <w:szCs w:val="18"/>
              </w:rPr>
              <w:t>市场化 原则</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687.16</w:t>
            </w:r>
          </w:p>
          <w:p>
            <w:pPr>
              <w:pStyle w:val="TableParagraph"/>
              <w:spacing w:line="240" w:lineRule="auto" w:before="65"/>
              <w:ind w:left="155"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687.16</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1.20%</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687.16</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现金</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687.16</w:t>
            </w:r>
          </w:p>
          <w:p>
            <w:pPr>
              <w:pStyle w:val="TableParagraph"/>
              <w:spacing w:line="240" w:lineRule="auto" w:before="65"/>
              <w:ind w:left="172"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575" w:type="dxa"/>
            <w:tcBorders>
              <w:top w:val="single" w:sz="4" w:space="0" w:color="000000"/>
              <w:left w:val="single" w:sz="4" w:space="0" w:color="000000"/>
              <w:bottom w:val="single" w:sz="4" w:space="0" w:color="000000"/>
              <w:right w:val="single" w:sz="4" w:space="0" w:color="000000"/>
            </w:tcBorders>
          </w:tcPr>
          <w:p>
            <w:pPr/>
          </w:p>
        </w:tc>
        <w:tc>
          <w:tcPr>
            <w:tcW w:w="508" w:type="dxa"/>
            <w:tcBorders>
              <w:top w:val="single" w:sz="4" w:space="0" w:color="000000"/>
              <w:left w:val="single" w:sz="4" w:space="0" w:color="000000"/>
              <w:bottom w:val="single" w:sz="4" w:space="0" w:color="000000"/>
              <w:right w:val="single" w:sz="4" w:space="0" w:color="000000"/>
            </w:tcBorders>
          </w:tcPr>
          <w:p>
            <w:pPr/>
          </w:p>
        </w:tc>
      </w:tr>
      <w:tr>
        <w:trPr>
          <w:trHeight w:val="1962" w:hRule="exact"/>
        </w:trPr>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2" w:right="54"/>
              <w:jc w:val="both"/>
              <w:rPr>
                <w:rFonts w:ascii="宋体" w:hAnsi="宋体" w:cs="宋体" w:eastAsia="宋体" w:hint="default"/>
                <w:sz w:val="18"/>
                <w:szCs w:val="18"/>
              </w:rPr>
            </w:pPr>
            <w:r>
              <w:rPr>
                <w:rFonts w:ascii="宋体" w:hAnsi="宋体" w:cs="宋体" w:eastAsia="宋体" w:hint="default"/>
                <w:sz w:val="18"/>
                <w:szCs w:val="18"/>
              </w:rPr>
              <w:t>北京神州 泰奇互动 科技有限 公司</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3"/>
              <w:jc w:val="both"/>
              <w:rPr>
                <w:rFonts w:ascii="宋体" w:hAnsi="宋体" w:cs="宋体" w:eastAsia="宋体" w:hint="default"/>
                <w:sz w:val="18"/>
                <w:szCs w:val="18"/>
              </w:rPr>
            </w:pPr>
            <w:r>
              <w:rPr>
                <w:rFonts w:ascii="宋体" w:hAnsi="宋体" w:cs="宋体" w:eastAsia="宋体" w:hint="default"/>
                <w:sz w:val="18"/>
                <w:szCs w:val="18"/>
              </w:rPr>
              <w:t>公司原 董事担 任董事 的公司 的子公 司</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6" w:lineRule="auto"/>
              <w:ind w:left="248" w:right="66" w:hanging="180"/>
              <w:jc w:val="left"/>
              <w:rPr>
                <w:rFonts w:ascii="宋体" w:hAnsi="宋体" w:cs="宋体" w:eastAsia="宋体" w:hint="default"/>
                <w:sz w:val="18"/>
                <w:szCs w:val="18"/>
              </w:rPr>
            </w:pPr>
            <w:r>
              <w:rPr>
                <w:rFonts w:ascii="宋体" w:hAnsi="宋体" w:cs="宋体" w:eastAsia="宋体" w:hint="default"/>
                <w:sz w:val="18"/>
                <w:szCs w:val="18"/>
              </w:rPr>
              <w:t>接受劳 务</w:t>
            </w:r>
          </w:p>
        </w:tc>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80" w:right="79"/>
              <w:jc w:val="center"/>
              <w:rPr>
                <w:rFonts w:ascii="宋体" w:hAnsi="宋体" w:cs="宋体" w:eastAsia="宋体" w:hint="default"/>
                <w:sz w:val="18"/>
                <w:szCs w:val="18"/>
              </w:rPr>
            </w:pPr>
            <w:r>
              <w:rPr>
                <w:rFonts w:ascii="宋体" w:hAnsi="宋体" w:cs="宋体" w:eastAsia="宋体" w:hint="default"/>
                <w:sz w:val="18"/>
                <w:szCs w:val="18"/>
              </w:rPr>
              <w:t>游戏渠 道分成 款</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6" w:lineRule="auto"/>
              <w:ind w:left="159" w:right="67" w:hanging="90"/>
              <w:jc w:val="left"/>
              <w:rPr>
                <w:rFonts w:ascii="宋体" w:hAnsi="宋体" w:cs="宋体" w:eastAsia="宋体" w:hint="default"/>
                <w:sz w:val="18"/>
                <w:szCs w:val="18"/>
              </w:rPr>
            </w:pPr>
            <w:r>
              <w:rPr>
                <w:rFonts w:ascii="宋体" w:hAnsi="宋体" w:cs="宋体" w:eastAsia="宋体" w:hint="default"/>
                <w:sz w:val="18"/>
                <w:szCs w:val="18"/>
              </w:rPr>
              <w:t>市场化 原则</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253.69</w:t>
            </w:r>
          </w:p>
          <w:p>
            <w:pPr>
              <w:pStyle w:val="TableParagraph"/>
              <w:spacing w:line="240" w:lineRule="auto" w:before="65"/>
              <w:ind w:left="155"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253.69</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0.44%</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253.69</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现金</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253.69</w:t>
            </w:r>
          </w:p>
          <w:p>
            <w:pPr>
              <w:pStyle w:val="TableParagraph"/>
              <w:spacing w:line="240" w:lineRule="auto" w:before="65"/>
              <w:ind w:left="172"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575" w:type="dxa"/>
            <w:tcBorders>
              <w:top w:val="single" w:sz="4" w:space="0" w:color="000000"/>
              <w:left w:val="single" w:sz="4" w:space="0" w:color="000000"/>
              <w:bottom w:val="single" w:sz="4" w:space="0" w:color="000000"/>
              <w:right w:val="single" w:sz="4" w:space="0" w:color="000000"/>
            </w:tcBorders>
          </w:tcPr>
          <w:p>
            <w:pPr/>
          </w:p>
        </w:tc>
        <w:tc>
          <w:tcPr>
            <w:tcW w:w="508"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54"/>
              <w:jc w:val="both"/>
              <w:rPr>
                <w:rFonts w:ascii="宋体" w:hAnsi="宋体" w:cs="宋体" w:eastAsia="宋体" w:hint="default"/>
                <w:sz w:val="18"/>
                <w:szCs w:val="18"/>
              </w:rPr>
            </w:pPr>
            <w:r>
              <w:rPr>
                <w:rFonts w:ascii="宋体" w:hAnsi="宋体" w:cs="宋体" w:eastAsia="宋体" w:hint="default"/>
                <w:sz w:val="18"/>
                <w:szCs w:val="18"/>
              </w:rPr>
              <w:t>北京云中 融信网络 科技有限 公司</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3"/>
              <w:jc w:val="both"/>
              <w:rPr>
                <w:rFonts w:ascii="宋体" w:hAnsi="宋体" w:cs="宋体" w:eastAsia="宋体" w:hint="default"/>
                <w:sz w:val="18"/>
                <w:szCs w:val="18"/>
              </w:rPr>
            </w:pPr>
            <w:r>
              <w:rPr>
                <w:rFonts w:ascii="宋体" w:hAnsi="宋体" w:cs="宋体" w:eastAsia="宋体" w:hint="default"/>
                <w:sz w:val="18"/>
                <w:szCs w:val="18"/>
              </w:rPr>
              <w:t>公司原 董事担 任董事 长的联 营公司</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248" w:right="66" w:hanging="180"/>
              <w:jc w:val="left"/>
              <w:rPr>
                <w:rFonts w:ascii="宋体" w:hAnsi="宋体" w:cs="宋体" w:eastAsia="宋体" w:hint="default"/>
                <w:sz w:val="18"/>
                <w:szCs w:val="18"/>
              </w:rPr>
            </w:pPr>
            <w:r>
              <w:rPr>
                <w:rFonts w:ascii="宋体" w:hAnsi="宋体" w:cs="宋体" w:eastAsia="宋体" w:hint="default"/>
                <w:sz w:val="18"/>
                <w:szCs w:val="18"/>
              </w:rPr>
              <w:t>接受劳 务</w:t>
            </w:r>
          </w:p>
        </w:tc>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80" w:right="79"/>
              <w:jc w:val="left"/>
              <w:rPr>
                <w:rFonts w:ascii="宋体" w:hAnsi="宋体" w:cs="宋体" w:eastAsia="宋体" w:hint="default"/>
                <w:sz w:val="18"/>
                <w:szCs w:val="18"/>
              </w:rPr>
            </w:pPr>
            <w:r>
              <w:rPr>
                <w:rFonts w:ascii="宋体" w:hAnsi="宋体" w:cs="宋体" w:eastAsia="宋体" w:hint="default"/>
                <w:sz w:val="18"/>
                <w:szCs w:val="18"/>
              </w:rPr>
              <w:t>技术开 发服务</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59" w:right="67" w:hanging="90"/>
              <w:jc w:val="left"/>
              <w:rPr>
                <w:rFonts w:ascii="宋体" w:hAnsi="宋体" w:cs="宋体" w:eastAsia="宋体" w:hint="default"/>
                <w:sz w:val="18"/>
                <w:szCs w:val="18"/>
              </w:rPr>
            </w:pPr>
            <w:r>
              <w:rPr>
                <w:rFonts w:ascii="宋体" w:hAnsi="宋体" w:cs="宋体" w:eastAsia="宋体" w:hint="default"/>
                <w:sz w:val="18"/>
                <w:szCs w:val="18"/>
              </w:rPr>
              <w:t>市场化 原则</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00" w:lineRule="auto"/>
              <w:ind w:left="246" w:right="20" w:hanging="224"/>
              <w:jc w:val="left"/>
              <w:rPr>
                <w:rFonts w:ascii="宋体" w:hAnsi="宋体" w:cs="宋体" w:eastAsia="宋体" w:hint="default"/>
                <w:sz w:val="18"/>
                <w:szCs w:val="18"/>
              </w:rPr>
            </w:pPr>
            <w:r>
              <w:rPr>
                <w:rFonts w:ascii="Times New Roman" w:hAnsi="Times New Roman" w:cs="Times New Roman" w:eastAsia="Times New Roman" w:hint="default"/>
                <w:sz w:val="18"/>
                <w:szCs w:val="18"/>
              </w:rPr>
              <w:t>26.74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 元</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26.74</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0.05%</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26.74</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现金</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00" w:lineRule="auto"/>
              <w:ind w:left="262" w:right="36" w:hanging="225"/>
              <w:jc w:val="left"/>
              <w:rPr>
                <w:rFonts w:ascii="宋体" w:hAnsi="宋体" w:cs="宋体" w:eastAsia="宋体" w:hint="default"/>
                <w:sz w:val="18"/>
                <w:szCs w:val="18"/>
              </w:rPr>
            </w:pPr>
            <w:r>
              <w:rPr>
                <w:rFonts w:ascii="Times New Roman" w:hAnsi="Times New Roman" w:cs="Times New Roman" w:eastAsia="Times New Roman" w:hint="default"/>
                <w:sz w:val="18"/>
                <w:szCs w:val="18"/>
              </w:rPr>
              <w:t>26.74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 元</w:t>
            </w:r>
          </w:p>
        </w:tc>
        <w:tc>
          <w:tcPr>
            <w:tcW w:w="575" w:type="dxa"/>
            <w:tcBorders>
              <w:top w:val="single" w:sz="4" w:space="0" w:color="000000"/>
              <w:left w:val="single" w:sz="4" w:space="0" w:color="000000"/>
              <w:bottom w:val="single" w:sz="4" w:space="0" w:color="000000"/>
              <w:right w:val="single" w:sz="4" w:space="0" w:color="000000"/>
            </w:tcBorders>
          </w:tcPr>
          <w:p>
            <w:pPr/>
          </w:p>
        </w:tc>
        <w:tc>
          <w:tcPr>
            <w:tcW w:w="508"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54"/>
              <w:jc w:val="both"/>
              <w:rPr>
                <w:rFonts w:ascii="宋体" w:hAnsi="宋体" w:cs="宋体" w:eastAsia="宋体" w:hint="default"/>
                <w:sz w:val="18"/>
                <w:szCs w:val="18"/>
              </w:rPr>
            </w:pPr>
            <w:r>
              <w:rPr>
                <w:rFonts w:ascii="宋体" w:hAnsi="宋体" w:cs="宋体" w:eastAsia="宋体" w:hint="default"/>
                <w:sz w:val="18"/>
                <w:szCs w:val="18"/>
              </w:rPr>
              <w:t>北京云中 融信网络 科技有限 公司</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13"/>
              <w:jc w:val="both"/>
              <w:rPr>
                <w:rFonts w:ascii="宋体" w:hAnsi="宋体" w:cs="宋体" w:eastAsia="宋体" w:hint="default"/>
                <w:sz w:val="18"/>
                <w:szCs w:val="18"/>
              </w:rPr>
            </w:pPr>
            <w:r>
              <w:rPr>
                <w:rFonts w:ascii="宋体" w:hAnsi="宋体" w:cs="宋体" w:eastAsia="宋体" w:hint="default"/>
                <w:sz w:val="18"/>
                <w:szCs w:val="18"/>
              </w:rPr>
              <w:t>公司原 董事担 任董事 长的联 营公司</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248" w:right="66" w:hanging="180"/>
              <w:jc w:val="left"/>
              <w:rPr>
                <w:rFonts w:ascii="宋体" w:hAnsi="宋体" w:cs="宋体" w:eastAsia="宋体" w:hint="default"/>
                <w:sz w:val="18"/>
                <w:szCs w:val="18"/>
              </w:rPr>
            </w:pPr>
            <w:r>
              <w:rPr>
                <w:rFonts w:ascii="宋体" w:hAnsi="宋体" w:cs="宋体" w:eastAsia="宋体" w:hint="default"/>
                <w:sz w:val="18"/>
                <w:szCs w:val="18"/>
              </w:rPr>
              <w:t>提供劳 务</w:t>
            </w:r>
          </w:p>
        </w:tc>
        <w:tc>
          <w:tcPr>
            <w:tcW w:w="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80" w:right="79"/>
              <w:jc w:val="left"/>
              <w:rPr>
                <w:rFonts w:ascii="宋体" w:hAnsi="宋体" w:cs="宋体" w:eastAsia="宋体" w:hint="default"/>
                <w:sz w:val="18"/>
                <w:szCs w:val="18"/>
              </w:rPr>
            </w:pPr>
            <w:r>
              <w:rPr>
                <w:rFonts w:ascii="宋体" w:hAnsi="宋体" w:cs="宋体" w:eastAsia="宋体" w:hint="default"/>
                <w:sz w:val="18"/>
                <w:szCs w:val="18"/>
              </w:rPr>
              <w:t>技术开 发服务</w:t>
            </w:r>
          </w:p>
        </w:tc>
        <w:tc>
          <w:tcPr>
            <w:tcW w:w="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59" w:right="67" w:hanging="90"/>
              <w:jc w:val="left"/>
              <w:rPr>
                <w:rFonts w:ascii="宋体" w:hAnsi="宋体" w:cs="宋体" w:eastAsia="宋体" w:hint="default"/>
                <w:sz w:val="18"/>
                <w:szCs w:val="18"/>
              </w:rPr>
            </w:pPr>
            <w:r>
              <w:rPr>
                <w:rFonts w:ascii="宋体" w:hAnsi="宋体" w:cs="宋体" w:eastAsia="宋体" w:hint="default"/>
                <w:sz w:val="18"/>
                <w:szCs w:val="18"/>
              </w:rPr>
              <w:t>市场化 原则</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253.28</w:t>
            </w:r>
          </w:p>
          <w:p>
            <w:pPr>
              <w:pStyle w:val="TableParagraph"/>
              <w:spacing w:line="240" w:lineRule="auto" w:before="65"/>
              <w:ind w:left="155"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253.28</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0.13%</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253.28</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现金</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253.28</w:t>
            </w:r>
          </w:p>
          <w:p>
            <w:pPr>
              <w:pStyle w:val="TableParagraph"/>
              <w:spacing w:line="240" w:lineRule="auto" w:before="65"/>
              <w:ind w:left="172"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575" w:type="dxa"/>
            <w:tcBorders>
              <w:top w:val="single" w:sz="4" w:space="0" w:color="000000"/>
              <w:left w:val="single" w:sz="4" w:space="0" w:color="000000"/>
              <w:bottom w:val="single" w:sz="4" w:space="0" w:color="000000"/>
              <w:right w:val="single" w:sz="4" w:space="0" w:color="000000"/>
            </w:tcBorders>
          </w:tcPr>
          <w:p>
            <w:pPr/>
          </w:p>
        </w:tc>
        <w:tc>
          <w:tcPr>
            <w:tcW w:w="50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894"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6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6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6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1"/>
              <w:jc w:val="center"/>
              <w:rPr>
                <w:rFonts w:ascii="Times New Roman" w:hAnsi="Times New Roman" w:cs="Times New Roman" w:eastAsia="Times New Roman" w:hint="default"/>
                <w:sz w:val="18"/>
                <w:szCs w:val="18"/>
              </w:rPr>
            </w:pPr>
            <w:r>
              <w:rPr>
                <w:rFonts w:ascii="Times New Roman"/>
                <w:sz w:val="18"/>
              </w:rPr>
              <w:t>1,220.87</w:t>
            </w:r>
          </w:p>
        </w:tc>
        <w:tc>
          <w:tcPr>
            <w:tcW w:w="8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1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1,220.87</w:t>
            </w:r>
          </w:p>
        </w:tc>
        <w:tc>
          <w:tcPr>
            <w:tcW w:w="5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5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5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2894"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大额销货退回的详细情况</w:t>
            </w:r>
          </w:p>
        </w:tc>
        <w:tc>
          <w:tcPr>
            <w:tcW w:w="6801" w:type="dxa"/>
            <w:gridSpan w:val="10"/>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1026" w:hRule="exact"/>
        </w:trPr>
        <w:tc>
          <w:tcPr>
            <w:tcW w:w="2894"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z w:val="18"/>
                <w:szCs w:val="18"/>
              </w:rPr>
              <w:t>按类别对本期将发生的日常关联交 </w:t>
            </w:r>
            <w:r>
              <w:rPr>
                <w:rFonts w:ascii="宋体" w:hAnsi="宋体" w:cs="宋体" w:eastAsia="宋体" w:hint="default"/>
                <w:spacing w:val="-3"/>
                <w:sz w:val="18"/>
                <w:szCs w:val="18"/>
              </w:rPr>
              <w:t>易进行总金额预计的，在报告期内的</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实际履行情况</w:t>
            </w:r>
          </w:p>
        </w:tc>
        <w:tc>
          <w:tcPr>
            <w:tcW w:w="6801" w:type="dxa"/>
            <w:gridSpan w:val="10"/>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4" w:hRule="exact"/>
        </w:trPr>
        <w:tc>
          <w:tcPr>
            <w:tcW w:w="2894"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59"/>
              <w:jc w:val="left"/>
              <w:rPr>
                <w:rFonts w:ascii="宋体" w:hAnsi="宋体" w:cs="宋体" w:eastAsia="宋体" w:hint="default"/>
                <w:sz w:val="18"/>
                <w:szCs w:val="18"/>
              </w:rPr>
            </w:pPr>
            <w:r>
              <w:rPr>
                <w:rFonts w:ascii="宋体" w:hAnsi="宋体" w:cs="宋体" w:eastAsia="宋体" w:hint="default"/>
                <w:sz w:val="18"/>
                <w:szCs w:val="18"/>
              </w:rPr>
              <w:t>交易价格与市场参考价格差异较大 的原因</w:t>
            </w:r>
          </w:p>
        </w:tc>
        <w:tc>
          <w:tcPr>
            <w:tcW w:w="6801" w:type="dxa"/>
            <w:gridSpan w:val="10"/>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pgSz w:w="11910" w:h="16840"/>
          <w:pgMar w:header="851" w:footer="979" w:top="1400" w:bottom="1160" w:left="1000" w:right="0"/>
        </w:sectPr>
      </w:pPr>
    </w:p>
    <w:p>
      <w:pPr>
        <w:spacing w:line="240" w:lineRule="auto" w:before="7"/>
        <w:rPr>
          <w:rFonts w:ascii="宋体" w:hAnsi="宋体" w:cs="宋体" w:eastAsia="宋体" w:hint="default"/>
          <w:sz w:val="3"/>
          <w:szCs w:val="3"/>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2、资产或股权收购、出售发生的关联交易" w:id="90"/>
      <w:bookmarkEnd w:id="90"/>
      <w:r>
        <w:rPr>
          <w:b w:val="0"/>
          <w:bCs w:val="0"/>
        </w:rPr>
      </w: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8"/>
        <w:rPr>
          <w:rFonts w:ascii="宋体" w:hAnsi="宋体" w:cs="宋体" w:eastAsia="宋体" w:hint="default"/>
          <w:b/>
          <w:bCs/>
          <w:sz w:val="26"/>
          <w:szCs w:val="26"/>
        </w:rPr>
      </w:pPr>
    </w:p>
    <w:p>
      <w:pPr>
        <w:pStyle w:val="BodyText"/>
        <w:spacing w:line="340" w:lineRule="auto"/>
        <w:ind w:right="6432"/>
        <w:jc w:val="left"/>
      </w:pPr>
      <w:r>
        <w:rPr>
          <w:rFonts w:ascii="Times New Roman" w:hAnsi="Times New Roman" w:cs="Times New Roman" w:eastAsia="Times New Roman" w:hint="default"/>
        </w:rPr>
        <w:t>□ </w:t>
      </w:r>
      <w:r>
        <w:rPr/>
        <w:t>适用 </w:t>
      </w:r>
      <w:r>
        <w:rPr>
          <w:rFonts w:ascii="宋体" w:hAnsi="宋体" w:cs="宋体" w:eastAsia="宋体" w:hint="default"/>
          <w:b/>
          <w:bCs/>
        </w:rPr>
        <w:t>√</w:t>
      </w:r>
      <w:r>
        <w:rPr>
          <w:rFonts w:ascii="宋体" w:hAnsi="宋体" w:cs="宋体" w:eastAsia="宋体" w:hint="default"/>
          <w:b/>
          <w:bCs/>
          <w:spacing w:val="-1"/>
        </w:rPr>
        <w:t> </w:t>
      </w:r>
      <w:r>
        <w:rPr>
          <w:rFonts w:ascii="宋体" w:hAnsi="宋体" w:cs="宋体" w:eastAsia="宋体" w:hint="default"/>
          <w:b/>
          <w:bCs/>
        </w:rPr>
        <w:t>不适用</w:t>
      </w:r>
      <w:r>
        <w:rPr>
          <w:rFonts w:ascii="宋体" w:hAnsi="宋体" w:cs="宋体" w:eastAsia="宋体" w:hint="default"/>
          <w:b/>
          <w:bCs/>
          <w:w w:val="99"/>
        </w:rPr>
        <w:t> </w:t>
      </w:r>
      <w:r>
        <w:rPr/>
        <w:t>公司报告期未发生资产或股权收购、出售的关联交易。</w:t>
      </w:r>
    </w:p>
    <w:p>
      <w:pPr>
        <w:spacing w:line="240" w:lineRule="auto" w:before="13"/>
        <w:rPr>
          <w:rFonts w:ascii="宋体" w:hAnsi="宋体" w:cs="宋体" w:eastAsia="宋体" w:hint="default"/>
          <w:sz w:val="20"/>
          <w:szCs w:val="20"/>
        </w:rPr>
      </w:pPr>
    </w:p>
    <w:p>
      <w:pPr>
        <w:pStyle w:val="Heading3"/>
        <w:spacing w:line="240" w:lineRule="auto"/>
        <w:ind w:right="0"/>
        <w:jc w:val="left"/>
        <w:rPr>
          <w:b w:val="0"/>
          <w:bCs w:val="0"/>
        </w:rPr>
      </w:pPr>
      <w:bookmarkStart w:name="3、共同对外投资的关联交易" w:id="91"/>
      <w:bookmarkEnd w:id="91"/>
      <w:r>
        <w:rPr>
          <w:b w:val="0"/>
          <w:bCs w:val="0"/>
        </w:rPr>
      </w:r>
      <w:r>
        <w:rPr>
          <w:rFonts w:ascii="Times New Roman" w:hAnsi="Times New Roman" w:cs="Times New Roman" w:eastAsia="Times New Roman" w:hint="default"/>
        </w:rPr>
        <w:t>3</w:t>
      </w:r>
      <w:r>
        <w:rPr/>
        <w:t>、共同对外投资的关联交易</w:t>
      </w:r>
      <w:r>
        <w:rPr>
          <w:b w:val="0"/>
          <w:bCs w:val="0"/>
        </w:rPr>
      </w:r>
    </w:p>
    <w:p>
      <w:pPr>
        <w:spacing w:line="240" w:lineRule="auto" w:before="9"/>
        <w:rPr>
          <w:rFonts w:ascii="宋体" w:hAnsi="宋体" w:cs="宋体" w:eastAsia="宋体" w:hint="default"/>
          <w:b/>
          <w:bCs/>
          <w:sz w:val="26"/>
          <w:szCs w:val="26"/>
        </w:rPr>
      </w:pPr>
    </w:p>
    <w:p>
      <w:pPr>
        <w:pStyle w:val="BodyText"/>
        <w:spacing w:line="412" w:lineRule="auto"/>
        <w:ind w:right="7152"/>
        <w:jc w:val="left"/>
      </w:pPr>
      <w:r>
        <w:rPr>
          <w:rFonts w:ascii="Times New Roman" w:hAnsi="Times New Roman" w:cs="Times New Roman" w:eastAsia="Times New Roman" w:hint="default"/>
        </w:rPr>
        <w:t>□ </w:t>
      </w:r>
      <w:r>
        <w:rPr/>
        <w:t>适用 </w:t>
      </w:r>
      <w:r>
        <w:rPr>
          <w:rFonts w:ascii="宋体" w:hAnsi="宋体" w:cs="宋体" w:eastAsia="宋体" w:hint="default"/>
          <w:b/>
          <w:bCs/>
        </w:rPr>
        <w:t>√</w:t>
      </w:r>
      <w:r>
        <w:rPr>
          <w:rFonts w:ascii="宋体" w:hAnsi="宋体" w:cs="宋体" w:eastAsia="宋体" w:hint="default"/>
          <w:b/>
          <w:bCs/>
          <w:spacing w:val="-1"/>
        </w:rPr>
        <w:t> </w:t>
      </w:r>
      <w:r>
        <w:rPr>
          <w:rFonts w:ascii="宋体" w:hAnsi="宋体" w:cs="宋体" w:eastAsia="宋体" w:hint="default"/>
          <w:b/>
          <w:bCs/>
        </w:rPr>
        <w:t>不适用</w:t>
      </w:r>
      <w:r>
        <w:rPr>
          <w:rFonts w:ascii="宋体" w:hAnsi="宋体" w:cs="宋体" w:eastAsia="宋体" w:hint="default"/>
          <w:b/>
          <w:bCs/>
          <w:w w:val="99"/>
        </w:rPr>
        <w:t> </w:t>
      </w:r>
      <w:r>
        <w:rPr/>
        <w:t>公司报告期未发生共同对外投资的关联交易。</w:t>
      </w:r>
    </w:p>
    <w:p>
      <w:pPr>
        <w:spacing w:line="240" w:lineRule="auto" w:before="10"/>
        <w:rPr>
          <w:rFonts w:ascii="宋体" w:hAnsi="宋体" w:cs="宋体" w:eastAsia="宋体" w:hint="default"/>
          <w:sz w:val="22"/>
          <w:szCs w:val="22"/>
        </w:rPr>
      </w:pPr>
    </w:p>
    <w:p>
      <w:pPr>
        <w:pStyle w:val="Heading3"/>
        <w:spacing w:line="240" w:lineRule="auto"/>
        <w:ind w:right="0"/>
        <w:jc w:val="left"/>
        <w:rPr>
          <w:b w:val="0"/>
          <w:bCs w:val="0"/>
        </w:rPr>
      </w:pPr>
      <w:bookmarkStart w:name="4、关联债权债务往来" w:id="92"/>
      <w:bookmarkEnd w:id="92"/>
      <w:r>
        <w:rPr>
          <w:b w:val="0"/>
          <w:bCs w:val="0"/>
        </w:rPr>
      </w:r>
      <w:r>
        <w:rPr>
          <w:rFonts w:ascii="Times New Roman" w:hAnsi="Times New Roman" w:cs="Times New Roman" w:eastAsia="Times New Roman" w:hint="default"/>
        </w:rPr>
        <w:t>4</w:t>
      </w:r>
      <w:r>
        <w:rPr/>
        <w:t>、关联债权债务往来</w:t>
      </w:r>
      <w:r>
        <w:rPr>
          <w:b w:val="0"/>
          <w:bCs w:val="0"/>
        </w:rPr>
      </w:r>
    </w:p>
    <w:p>
      <w:pPr>
        <w:spacing w:line="240" w:lineRule="auto" w:before="8"/>
        <w:rPr>
          <w:rFonts w:ascii="宋体" w:hAnsi="宋体" w:cs="宋体" w:eastAsia="宋体" w:hint="default"/>
          <w:b/>
          <w:bCs/>
          <w:sz w:val="32"/>
          <w:szCs w:val="32"/>
        </w:rPr>
      </w:pPr>
    </w:p>
    <w:p>
      <w:pPr>
        <w:pStyle w:val="BodyText"/>
        <w:spacing w:line="489" w:lineRule="auto"/>
        <w:ind w:right="7872"/>
        <w:jc w:val="left"/>
      </w:pPr>
      <w:r>
        <w:rPr>
          <w:rFonts w:ascii="宋体" w:hAnsi="宋体" w:cs="宋体" w:eastAsia="宋体" w:hint="default"/>
          <w:b/>
          <w:bCs/>
        </w:rPr>
        <w:t>√ 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是否存在非经营性关联债权债务往来</w:t>
      </w:r>
    </w:p>
    <w:p>
      <w:pPr>
        <w:spacing w:line="412" w:lineRule="auto" w:before="8"/>
        <w:ind w:left="154" w:right="9487" w:firstLine="0"/>
        <w:jc w:val="left"/>
        <w:rPr>
          <w:rFonts w:ascii="宋体" w:hAnsi="宋体" w:cs="宋体" w:eastAsia="宋体" w:hint="default"/>
          <w:sz w:val="18"/>
          <w:szCs w:val="18"/>
        </w:rPr>
      </w:pPr>
      <w:r>
        <w:rPr>
          <w:rFonts w:ascii="宋体" w:hAnsi="宋体" w:cs="宋体" w:eastAsia="宋体" w:hint="default"/>
          <w:b/>
          <w:bCs/>
          <w:sz w:val="18"/>
          <w:szCs w:val="18"/>
        </w:rPr>
        <w:t>√ 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w:t>
      </w:r>
      <w:r>
        <w:rPr>
          <w:rFonts w:ascii="宋体" w:hAnsi="宋体" w:cs="宋体" w:eastAsia="宋体" w:hint="default"/>
          <w:b/>
          <w:bCs/>
          <w:sz w:val="18"/>
          <w:szCs w:val="18"/>
        </w:rPr>
        <w:t>应收关联方债权</w:t>
      </w:r>
      <w:r>
        <w:rPr>
          <w:rFonts w:ascii="宋体" w:hAnsi="宋体" w:cs="宋体" w:eastAsia="宋体" w:hint="default"/>
          <w:sz w:val="18"/>
          <w:szCs w:val="18"/>
        </w:rPr>
      </w:r>
    </w:p>
    <w:p>
      <w:pPr>
        <w:spacing w:line="240" w:lineRule="auto" w:before="1"/>
        <w:rPr>
          <w:rFonts w:ascii="宋体" w:hAnsi="宋体" w:cs="宋体" w:eastAsia="宋体" w:hint="default"/>
          <w:b/>
          <w:bCs/>
          <w:sz w:val="4"/>
          <w:szCs w:val="4"/>
        </w:rPr>
      </w:pPr>
    </w:p>
    <w:tbl>
      <w:tblPr>
        <w:tblW w:w="0" w:type="auto"/>
        <w:jc w:val="left"/>
        <w:tblInd w:w="121" w:type="dxa"/>
        <w:tblLayout w:type="fixed"/>
        <w:tblCellMar>
          <w:top w:w="0" w:type="dxa"/>
          <w:left w:w="0" w:type="dxa"/>
          <w:bottom w:w="0" w:type="dxa"/>
          <w:right w:w="0" w:type="dxa"/>
        </w:tblCellMar>
        <w:tblLook w:val="01E0"/>
      </w:tblPr>
      <w:tblGrid>
        <w:gridCol w:w="947"/>
        <w:gridCol w:w="1211"/>
        <w:gridCol w:w="1004"/>
        <w:gridCol w:w="861"/>
        <w:gridCol w:w="1007"/>
        <w:gridCol w:w="1003"/>
        <w:gridCol w:w="1005"/>
        <w:gridCol w:w="682"/>
        <w:gridCol w:w="970"/>
        <w:gridCol w:w="1006"/>
      </w:tblGrid>
      <w:tr>
        <w:trPr>
          <w:trHeight w:val="1025" w:hRule="exact"/>
        </w:trPr>
        <w:tc>
          <w:tcPr>
            <w:tcW w:w="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98"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2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9" w:right="0"/>
              <w:jc w:val="left"/>
              <w:rPr>
                <w:rFonts w:ascii="宋体" w:hAnsi="宋体" w:cs="宋体" w:eastAsia="宋体" w:hint="default"/>
                <w:sz w:val="18"/>
                <w:szCs w:val="18"/>
              </w:rPr>
            </w:pPr>
            <w:r>
              <w:rPr>
                <w:rFonts w:ascii="宋体" w:hAnsi="宋体" w:cs="宋体" w:eastAsia="宋体" w:hint="default"/>
                <w:sz w:val="18"/>
                <w:szCs w:val="18"/>
              </w:rPr>
              <w:t>关联关系</w:t>
            </w:r>
          </w:p>
        </w:tc>
        <w:tc>
          <w:tcPr>
            <w:tcW w:w="10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37"/>
              <w:jc w:val="right"/>
              <w:rPr>
                <w:rFonts w:ascii="宋体" w:hAnsi="宋体" w:cs="宋体" w:eastAsia="宋体" w:hint="default"/>
                <w:sz w:val="18"/>
                <w:szCs w:val="18"/>
              </w:rPr>
            </w:pPr>
            <w:r>
              <w:rPr>
                <w:rFonts w:ascii="宋体" w:hAnsi="宋体" w:cs="宋体" w:eastAsia="宋体" w:hint="default"/>
                <w:sz w:val="18"/>
                <w:szCs w:val="18"/>
              </w:rPr>
              <w:t>形成原因</w:t>
            </w:r>
          </w:p>
        </w:tc>
        <w:tc>
          <w:tcPr>
            <w:tcW w:w="8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64" w:right="64"/>
              <w:jc w:val="both"/>
              <w:rPr>
                <w:rFonts w:ascii="宋体" w:hAnsi="宋体" w:cs="宋体" w:eastAsia="宋体" w:hint="default"/>
                <w:sz w:val="18"/>
                <w:szCs w:val="18"/>
              </w:rPr>
            </w:pPr>
            <w:r>
              <w:rPr>
                <w:rFonts w:ascii="宋体" w:hAnsi="宋体" w:cs="宋体" w:eastAsia="宋体" w:hint="default"/>
                <w:sz w:val="18"/>
                <w:szCs w:val="18"/>
              </w:rPr>
              <w:t>是否存在 非经营性 资金占用</w:t>
            </w:r>
          </w:p>
        </w:tc>
        <w:tc>
          <w:tcPr>
            <w:tcW w:w="10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期初余额</w:t>
            </w:r>
          </w:p>
          <w:p>
            <w:pPr>
              <w:pStyle w:val="TableParagraph"/>
              <w:spacing w:line="240" w:lineRule="auto" w:before="76"/>
              <w:ind w:left="137"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0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46" w:right="44"/>
              <w:jc w:val="left"/>
              <w:rPr>
                <w:rFonts w:ascii="宋体" w:hAnsi="宋体" w:cs="宋体" w:eastAsia="宋体" w:hint="default"/>
                <w:sz w:val="18"/>
                <w:szCs w:val="18"/>
              </w:rPr>
            </w:pPr>
            <w:r>
              <w:rPr>
                <w:rFonts w:ascii="宋体" w:hAnsi="宋体" w:cs="宋体" w:eastAsia="宋体" w:hint="default"/>
                <w:sz w:val="18"/>
                <w:szCs w:val="18"/>
              </w:rPr>
              <w:t>本期新增金 额（万元）</w:t>
            </w:r>
          </w:p>
        </w:tc>
        <w:tc>
          <w:tcPr>
            <w:tcW w:w="10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46" w:right="46"/>
              <w:jc w:val="left"/>
              <w:rPr>
                <w:rFonts w:ascii="宋体" w:hAnsi="宋体" w:cs="宋体" w:eastAsia="宋体" w:hint="default"/>
                <w:sz w:val="18"/>
                <w:szCs w:val="18"/>
              </w:rPr>
            </w:pPr>
            <w:r>
              <w:rPr>
                <w:rFonts w:ascii="宋体" w:hAnsi="宋体" w:cs="宋体" w:eastAsia="宋体" w:hint="default"/>
                <w:sz w:val="18"/>
                <w:szCs w:val="18"/>
              </w:rPr>
              <w:t>本期收回金 额（万元）</w:t>
            </w:r>
          </w:p>
        </w:tc>
        <w:tc>
          <w:tcPr>
            <w:tcW w:w="6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55" w:right="0"/>
              <w:jc w:val="left"/>
              <w:rPr>
                <w:rFonts w:ascii="宋体" w:hAnsi="宋体" w:cs="宋体" w:eastAsia="宋体" w:hint="default"/>
                <w:sz w:val="18"/>
                <w:szCs w:val="18"/>
              </w:rPr>
            </w:pPr>
            <w:r>
              <w:rPr>
                <w:rFonts w:ascii="宋体" w:hAnsi="宋体" w:cs="宋体" w:eastAsia="宋体" w:hint="default"/>
                <w:sz w:val="18"/>
                <w:szCs w:val="18"/>
              </w:rPr>
              <w:t>利率</w:t>
            </w:r>
          </w:p>
        </w:tc>
        <w:tc>
          <w:tcPr>
            <w:tcW w:w="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18" w:right="0"/>
              <w:jc w:val="left"/>
              <w:rPr>
                <w:rFonts w:ascii="宋体" w:hAnsi="宋体" w:cs="宋体" w:eastAsia="宋体" w:hint="default"/>
                <w:sz w:val="18"/>
                <w:szCs w:val="18"/>
              </w:rPr>
            </w:pPr>
            <w:r>
              <w:rPr>
                <w:rFonts w:ascii="宋体" w:hAnsi="宋体" w:cs="宋体" w:eastAsia="宋体" w:hint="default"/>
                <w:sz w:val="18"/>
                <w:szCs w:val="18"/>
              </w:rPr>
              <w:t>本期利息</w:t>
            </w:r>
          </w:p>
          <w:p>
            <w:pPr>
              <w:pStyle w:val="TableParagraph"/>
              <w:spacing w:line="240" w:lineRule="auto" w:before="76"/>
              <w:ind w:left="118"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0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before="76"/>
              <w:ind w:left="137" w:right="0"/>
              <w:jc w:val="left"/>
              <w:rPr>
                <w:rFonts w:ascii="宋体" w:hAnsi="宋体" w:cs="宋体" w:eastAsia="宋体" w:hint="default"/>
                <w:sz w:val="18"/>
                <w:szCs w:val="18"/>
              </w:rPr>
            </w:pPr>
            <w:r>
              <w:rPr>
                <w:rFonts w:ascii="宋体" w:hAnsi="宋体" w:cs="宋体" w:eastAsia="宋体" w:hint="default"/>
                <w:sz w:val="18"/>
                <w:szCs w:val="18"/>
              </w:rPr>
              <w:t>（万元）</w:t>
            </w:r>
          </w:p>
        </w:tc>
      </w:tr>
      <w:tr>
        <w:trPr>
          <w:trHeight w:val="1026" w:hRule="exact"/>
        </w:trPr>
        <w:tc>
          <w:tcPr>
            <w:tcW w:w="9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8" w:right="107"/>
              <w:jc w:val="both"/>
              <w:rPr>
                <w:rFonts w:ascii="宋体" w:hAnsi="宋体" w:cs="宋体" w:eastAsia="宋体" w:hint="default"/>
                <w:sz w:val="18"/>
                <w:szCs w:val="18"/>
              </w:rPr>
            </w:pPr>
            <w:r>
              <w:rPr>
                <w:rFonts w:ascii="宋体" w:hAnsi="宋体" w:cs="宋体" w:eastAsia="宋体" w:hint="default"/>
                <w:sz w:val="18"/>
                <w:szCs w:val="18"/>
              </w:rPr>
              <w:t>重庆泰岳 优才科技 有限公司</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59" w:right="59"/>
              <w:jc w:val="both"/>
              <w:rPr>
                <w:rFonts w:ascii="宋体" w:hAnsi="宋体" w:cs="宋体" w:eastAsia="宋体" w:hint="default"/>
                <w:sz w:val="18"/>
                <w:szCs w:val="18"/>
              </w:rPr>
            </w:pPr>
            <w:r>
              <w:rPr>
                <w:rFonts w:ascii="宋体" w:hAnsi="宋体" w:cs="宋体" w:eastAsia="宋体" w:hint="default"/>
                <w:sz w:val="18"/>
                <w:szCs w:val="18"/>
              </w:rPr>
              <w:t>公司高管担任 执行董事的公 司的子公司</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37"/>
              <w:jc w:val="right"/>
              <w:rPr>
                <w:rFonts w:ascii="宋体" w:hAnsi="宋体" w:cs="宋体" w:eastAsia="宋体" w:hint="default"/>
                <w:sz w:val="18"/>
                <w:szCs w:val="18"/>
              </w:rPr>
            </w:pPr>
            <w:r>
              <w:rPr>
                <w:rFonts w:ascii="宋体" w:hAnsi="宋体" w:cs="宋体" w:eastAsia="宋体" w:hint="default"/>
                <w:sz w:val="18"/>
                <w:szCs w:val="18"/>
              </w:rPr>
              <w:t>资金往来</w:t>
            </w:r>
          </w:p>
        </w:tc>
        <w:tc>
          <w:tcPr>
            <w:tcW w:w="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1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478" w:right="0"/>
              <w:jc w:val="left"/>
              <w:rPr>
                <w:rFonts w:ascii="Times New Roman" w:hAnsi="Times New Roman" w:cs="Times New Roman" w:eastAsia="Times New Roman" w:hint="default"/>
                <w:sz w:val="18"/>
                <w:szCs w:val="18"/>
              </w:rPr>
            </w:pPr>
            <w:r>
              <w:rPr>
                <w:rFonts w:ascii="Times New Roman"/>
                <w:sz w:val="18"/>
              </w:rPr>
              <w:t>540.59</w:t>
            </w:r>
          </w:p>
        </w:tc>
        <w:tc>
          <w:tcPr>
            <w:tcW w:w="1003" w:type="dxa"/>
            <w:tcBorders>
              <w:top w:val="single" w:sz="4" w:space="0" w:color="000000"/>
              <w:left w:val="single" w:sz="4" w:space="0" w:color="000000"/>
              <w:bottom w:val="single" w:sz="4" w:space="0" w:color="000000"/>
              <w:right w:val="single" w:sz="4" w:space="0" w:color="000000"/>
            </w:tcBorders>
          </w:tcPr>
          <w:p>
            <w:pPr/>
          </w:p>
        </w:tc>
        <w:tc>
          <w:tcPr>
            <w:tcW w:w="1005" w:type="dxa"/>
            <w:tcBorders>
              <w:top w:val="single" w:sz="4" w:space="0" w:color="000000"/>
              <w:left w:val="single" w:sz="4" w:space="0" w:color="000000"/>
              <w:bottom w:val="single" w:sz="4" w:space="0" w:color="000000"/>
              <w:right w:val="single" w:sz="4" w:space="0" w:color="000000"/>
            </w:tcBorders>
          </w:tcPr>
          <w:p>
            <w:pPr/>
          </w:p>
        </w:tc>
        <w:tc>
          <w:tcPr>
            <w:tcW w:w="682" w:type="dxa"/>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478" w:right="0"/>
              <w:jc w:val="left"/>
              <w:rPr>
                <w:rFonts w:ascii="Times New Roman" w:hAnsi="Times New Roman" w:cs="Times New Roman" w:eastAsia="Times New Roman" w:hint="default"/>
                <w:sz w:val="18"/>
                <w:szCs w:val="18"/>
              </w:rPr>
            </w:pPr>
            <w:r>
              <w:rPr>
                <w:rFonts w:ascii="Times New Roman"/>
                <w:sz w:val="18"/>
              </w:rPr>
              <w:t>540.59</w:t>
            </w:r>
          </w:p>
        </w:tc>
      </w:tr>
      <w:tr>
        <w:trPr>
          <w:trHeight w:val="715" w:hRule="exact"/>
        </w:trPr>
        <w:tc>
          <w:tcPr>
            <w:tcW w:w="215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143"/>
              <w:jc w:val="left"/>
              <w:rPr>
                <w:rFonts w:ascii="宋体" w:hAnsi="宋体" w:cs="宋体" w:eastAsia="宋体" w:hint="default"/>
                <w:sz w:val="18"/>
                <w:szCs w:val="18"/>
              </w:rPr>
            </w:pPr>
            <w:r>
              <w:rPr>
                <w:rFonts w:ascii="宋体" w:hAnsi="宋体" w:cs="宋体" w:eastAsia="宋体" w:hint="default"/>
                <w:sz w:val="18"/>
                <w:szCs w:val="18"/>
              </w:rPr>
              <w:t>关联债权对公司经营成果 及财务状况的影响</w:t>
            </w:r>
          </w:p>
        </w:tc>
        <w:tc>
          <w:tcPr>
            <w:tcW w:w="7537"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影响非常小</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5、其他重大关联交易" w:id="93"/>
      <w:bookmarkEnd w:id="93"/>
      <w:r>
        <w:rPr>
          <w:b w:val="0"/>
          <w:bCs w:val="0"/>
        </w:rPr>
      </w:r>
      <w:r>
        <w:rPr>
          <w:rFonts w:ascii="Times New Roman" w:hAnsi="Times New Roman" w:cs="Times New Roman" w:eastAsia="Times New Roman" w:hint="default"/>
        </w:rPr>
        <w:t>5</w:t>
      </w:r>
      <w:r>
        <w:rPr/>
        <w:t>、其他重大关联交易</w:t>
      </w:r>
      <w:r>
        <w:rPr>
          <w:b w:val="0"/>
          <w:bCs w:val="0"/>
        </w:rPr>
      </w:r>
    </w:p>
    <w:p>
      <w:pPr>
        <w:spacing w:line="500" w:lineRule="atLeast" w:before="175"/>
        <w:ind w:left="154" w:right="7688"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w:t>
      </w:r>
      <w:r>
        <w:rPr>
          <w:rFonts w:ascii="宋体" w:hAnsi="宋体" w:cs="宋体" w:eastAsia="宋体" w:hint="default"/>
          <w:b/>
          <w:bCs/>
          <w:sz w:val="18"/>
          <w:szCs w:val="18"/>
        </w:rPr>
        <w:t>关联租赁情况</w:t>
      </w:r>
      <w:r>
        <w:rPr>
          <w:rFonts w:ascii="Times New Roman" w:hAnsi="Times New Roman" w:cs="Times New Roman" w:eastAsia="Times New Roman" w:hint="default"/>
          <w:b/>
          <w:bCs/>
          <w:sz w:val="18"/>
          <w:szCs w:val="18"/>
        </w:rPr>
        <w:t>——</w:t>
      </w:r>
      <w:r>
        <w:rPr>
          <w:rFonts w:ascii="宋体" w:hAnsi="宋体" w:cs="宋体" w:eastAsia="宋体" w:hint="default"/>
          <w:sz w:val="18"/>
          <w:szCs w:val="18"/>
        </w:rPr>
        <w:t>本公司作为出租方：</w:t>
      </w:r>
    </w:p>
    <w:p>
      <w:pPr>
        <w:pStyle w:val="BodyText"/>
        <w:spacing w:line="240" w:lineRule="auto" w:before="141"/>
        <w:ind w:left="0" w:right="1130"/>
        <w:jc w:val="right"/>
      </w:pPr>
      <w:r>
        <w:rPr>
          <w:spacing w:val="-1"/>
        </w:rPr>
        <w:t>单位：元</w:t>
      </w:r>
    </w:p>
    <w:p>
      <w:pPr>
        <w:spacing w:line="240" w:lineRule="auto" w:before="6"/>
        <w:rPr>
          <w:rFonts w:ascii="宋体" w:hAnsi="宋体" w:cs="宋体" w:eastAsia="宋体" w:hint="default"/>
          <w:sz w:val="5"/>
          <w:szCs w:val="5"/>
        </w:rPr>
      </w:pPr>
    </w:p>
    <w:tbl>
      <w:tblPr>
        <w:tblW w:w="0" w:type="auto"/>
        <w:jc w:val="left"/>
        <w:tblInd w:w="137" w:type="dxa"/>
        <w:tblLayout w:type="fixed"/>
        <w:tblCellMar>
          <w:top w:w="0" w:type="dxa"/>
          <w:left w:w="0" w:type="dxa"/>
          <w:bottom w:w="0" w:type="dxa"/>
          <w:right w:w="0" w:type="dxa"/>
        </w:tblCellMar>
        <w:tblLook w:val="01E0"/>
      </w:tblPr>
      <w:tblGrid>
        <w:gridCol w:w="3749"/>
        <w:gridCol w:w="1587"/>
        <w:gridCol w:w="2163"/>
        <w:gridCol w:w="2160"/>
      </w:tblGrid>
      <w:tr>
        <w:trPr>
          <w:trHeight w:val="341" w:hRule="exact"/>
        </w:trPr>
        <w:tc>
          <w:tcPr>
            <w:tcW w:w="374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6"/>
              <w:ind w:right="1"/>
              <w:jc w:val="center"/>
              <w:rPr>
                <w:rFonts w:ascii="宋体" w:hAnsi="宋体" w:cs="宋体" w:eastAsia="宋体" w:hint="default"/>
                <w:sz w:val="18"/>
                <w:szCs w:val="18"/>
              </w:rPr>
            </w:pPr>
            <w:r>
              <w:rPr>
                <w:rFonts w:ascii="宋体" w:hAnsi="宋体" w:cs="宋体" w:eastAsia="宋体" w:hint="default"/>
                <w:sz w:val="18"/>
                <w:szCs w:val="18"/>
              </w:rPr>
              <w:t>承租方名称</w:t>
            </w:r>
          </w:p>
        </w:tc>
        <w:tc>
          <w:tcPr>
            <w:tcW w:w="158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6"/>
              <w:ind w:right="1"/>
              <w:jc w:val="center"/>
              <w:rPr>
                <w:rFonts w:ascii="宋体" w:hAnsi="宋体" w:cs="宋体" w:eastAsia="宋体" w:hint="default"/>
                <w:sz w:val="18"/>
                <w:szCs w:val="18"/>
              </w:rPr>
            </w:pPr>
            <w:r>
              <w:rPr>
                <w:rFonts w:ascii="宋体" w:hAnsi="宋体" w:cs="宋体" w:eastAsia="宋体" w:hint="default"/>
                <w:sz w:val="18"/>
                <w:szCs w:val="18"/>
              </w:rPr>
              <w:t>承租资产种类</w:t>
            </w:r>
          </w:p>
        </w:tc>
        <w:tc>
          <w:tcPr>
            <w:tcW w:w="216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6"/>
              <w:ind w:left="263" w:right="0"/>
              <w:jc w:val="left"/>
              <w:rPr>
                <w:rFonts w:ascii="宋体" w:hAnsi="宋体" w:cs="宋体" w:eastAsia="宋体" w:hint="default"/>
                <w:sz w:val="18"/>
                <w:szCs w:val="18"/>
              </w:rPr>
            </w:pPr>
            <w:r>
              <w:rPr>
                <w:rFonts w:ascii="宋体" w:hAnsi="宋体" w:cs="宋体" w:eastAsia="宋体" w:hint="default"/>
                <w:sz w:val="18"/>
                <w:szCs w:val="18"/>
              </w:rPr>
              <w:t>本期确认的租赁收入</w:t>
            </w:r>
          </w:p>
        </w:tc>
        <w:tc>
          <w:tcPr>
            <w:tcW w:w="216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6"/>
              <w:ind w:left="261" w:right="0"/>
              <w:jc w:val="left"/>
              <w:rPr>
                <w:rFonts w:ascii="宋体" w:hAnsi="宋体" w:cs="宋体" w:eastAsia="宋体" w:hint="default"/>
                <w:sz w:val="18"/>
                <w:szCs w:val="18"/>
              </w:rPr>
            </w:pPr>
            <w:r>
              <w:rPr>
                <w:rFonts w:ascii="宋体" w:hAnsi="宋体" w:cs="宋体" w:eastAsia="宋体" w:hint="default"/>
                <w:sz w:val="18"/>
                <w:szCs w:val="18"/>
              </w:rPr>
              <w:t>上期确认的租赁收入</w:t>
            </w:r>
          </w:p>
        </w:tc>
      </w:tr>
      <w:tr>
        <w:trPr>
          <w:trHeight w:val="347" w:hRule="exact"/>
        </w:trPr>
        <w:tc>
          <w:tcPr>
            <w:tcW w:w="374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中信网络科技股份有限公司</w:t>
            </w:r>
          </w:p>
        </w:tc>
        <w:tc>
          <w:tcPr>
            <w:tcW w:w="1587" w:type="dxa"/>
            <w:tcBorders>
              <w:top w:val="single" w:sz="10" w:space="0" w:color="000000"/>
              <w:left w:val="single" w:sz="7" w:space="0" w:color="000000"/>
              <w:bottom w:val="single" w:sz="6" w:space="0" w:color="000000"/>
              <w:right w:val="single" w:sz="6" w:space="0" w:color="000000"/>
            </w:tcBorders>
          </w:tcPr>
          <w:p>
            <w:pPr>
              <w:pStyle w:val="TableParagraph"/>
              <w:spacing w:line="240" w:lineRule="auto" w:before="16"/>
              <w:ind w:right="1"/>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2163"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55"/>
              <w:ind w:right="0"/>
              <w:jc w:val="right"/>
              <w:rPr>
                <w:rFonts w:ascii="Times New Roman" w:hAnsi="Times New Roman" w:cs="Times New Roman" w:eastAsia="Times New Roman" w:hint="default"/>
                <w:sz w:val="18"/>
                <w:szCs w:val="18"/>
              </w:rPr>
            </w:pPr>
            <w:r>
              <w:rPr>
                <w:rFonts w:ascii="Times New Roman"/>
                <w:spacing w:val="-1"/>
                <w:sz w:val="18"/>
              </w:rPr>
              <w:t>5,403,314.00</w:t>
            </w:r>
          </w:p>
        </w:tc>
        <w:tc>
          <w:tcPr>
            <w:tcW w:w="2160"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55"/>
              <w:ind w:right="1"/>
              <w:jc w:val="right"/>
              <w:rPr>
                <w:rFonts w:ascii="Times New Roman" w:hAnsi="Times New Roman" w:cs="Times New Roman" w:eastAsia="Times New Roman" w:hint="default"/>
                <w:sz w:val="18"/>
                <w:szCs w:val="18"/>
              </w:rPr>
            </w:pPr>
            <w:r>
              <w:rPr>
                <w:rFonts w:ascii="Times New Roman"/>
                <w:spacing w:val="-1"/>
                <w:sz w:val="18"/>
              </w:rPr>
              <w:t>3,409,057.60</w:t>
            </w:r>
          </w:p>
        </w:tc>
      </w:tr>
      <w:tr>
        <w:trPr>
          <w:trHeight w:val="348" w:hRule="exact"/>
        </w:trPr>
        <w:tc>
          <w:tcPr>
            <w:tcW w:w="374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宁波泰岳梧桐投资管理有限公司</w:t>
            </w:r>
          </w:p>
        </w:tc>
        <w:tc>
          <w:tcPr>
            <w:tcW w:w="1587"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2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225,952.38</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207,654.41</w:t>
            </w:r>
          </w:p>
        </w:tc>
      </w:tr>
      <w:tr>
        <w:trPr>
          <w:trHeight w:val="347" w:hRule="exact"/>
        </w:trPr>
        <w:tc>
          <w:tcPr>
            <w:tcW w:w="374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北京神州泰岳教育科技有限公司</w:t>
            </w:r>
          </w:p>
        </w:tc>
        <w:tc>
          <w:tcPr>
            <w:tcW w:w="1587"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2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z w:val="18"/>
              </w:rPr>
              <w:t>566,966.66</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z w:val="18"/>
              </w:rPr>
              <w:t>573,203.81</w:t>
            </w:r>
          </w:p>
        </w:tc>
      </w:tr>
      <w:tr>
        <w:trPr>
          <w:trHeight w:val="347" w:hRule="exact"/>
        </w:trPr>
        <w:tc>
          <w:tcPr>
            <w:tcW w:w="374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北京神州良品电子商务科技股份有限公司</w:t>
            </w:r>
          </w:p>
        </w:tc>
        <w:tc>
          <w:tcPr>
            <w:tcW w:w="1587"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2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896,063.79</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1,327,917.60</w:t>
            </w:r>
          </w:p>
        </w:tc>
      </w:tr>
      <w:tr>
        <w:trPr>
          <w:trHeight w:val="347" w:hRule="exact"/>
        </w:trPr>
        <w:tc>
          <w:tcPr>
            <w:tcW w:w="374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珠海泰岳梧桐投资管理有限公司</w:t>
            </w:r>
          </w:p>
        </w:tc>
        <w:tc>
          <w:tcPr>
            <w:tcW w:w="1587"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2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69,271.44</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112,468.99</w:t>
            </w:r>
          </w:p>
        </w:tc>
      </w:tr>
      <w:tr>
        <w:trPr>
          <w:trHeight w:val="347" w:hRule="exact"/>
        </w:trPr>
        <w:tc>
          <w:tcPr>
            <w:tcW w:w="374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珠海神州泰岳投资管理有限公司</w:t>
            </w:r>
          </w:p>
        </w:tc>
        <w:tc>
          <w:tcPr>
            <w:tcW w:w="1587"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2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137,057.14</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214,430.21</w:t>
            </w:r>
          </w:p>
        </w:tc>
      </w:tr>
      <w:tr>
        <w:trPr>
          <w:trHeight w:val="347" w:hRule="exact"/>
        </w:trPr>
        <w:tc>
          <w:tcPr>
            <w:tcW w:w="374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北京裂变科技有限公司</w:t>
            </w:r>
          </w:p>
        </w:tc>
        <w:tc>
          <w:tcPr>
            <w:tcW w:w="1587"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2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1,532,393.35</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1,245,775.23</w:t>
            </w:r>
          </w:p>
        </w:tc>
      </w:tr>
      <w:tr>
        <w:trPr>
          <w:trHeight w:val="348" w:hRule="exact"/>
        </w:trPr>
        <w:tc>
          <w:tcPr>
            <w:tcW w:w="374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北京云中融信网络科技有限公司</w:t>
            </w:r>
          </w:p>
        </w:tc>
        <w:tc>
          <w:tcPr>
            <w:tcW w:w="1587"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2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3,011,946.66</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1,864,784.76</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980" w:right="0"/>
        </w:sectPr>
      </w:pPr>
    </w:p>
    <w:p>
      <w:pPr>
        <w:spacing w:line="240" w:lineRule="auto" w:before="0"/>
        <w:rPr>
          <w:rFonts w:ascii="宋体" w:hAnsi="宋体" w:cs="宋体" w:eastAsia="宋体" w:hint="default"/>
          <w:sz w:val="3"/>
          <w:szCs w:val="3"/>
        </w:rPr>
      </w:pPr>
    </w:p>
    <w:tbl>
      <w:tblPr>
        <w:tblW w:w="0" w:type="auto"/>
        <w:jc w:val="left"/>
        <w:tblInd w:w="117" w:type="dxa"/>
        <w:tblLayout w:type="fixed"/>
        <w:tblCellMar>
          <w:top w:w="0" w:type="dxa"/>
          <w:left w:w="0" w:type="dxa"/>
          <w:bottom w:w="0" w:type="dxa"/>
          <w:right w:w="0" w:type="dxa"/>
        </w:tblCellMar>
        <w:tblLook w:val="01E0"/>
      </w:tblPr>
      <w:tblGrid>
        <w:gridCol w:w="3749"/>
        <w:gridCol w:w="1587"/>
        <w:gridCol w:w="2163"/>
        <w:gridCol w:w="2160"/>
      </w:tblGrid>
      <w:tr>
        <w:trPr>
          <w:trHeight w:val="361" w:hRule="exact"/>
        </w:trPr>
        <w:tc>
          <w:tcPr>
            <w:tcW w:w="3749" w:type="dxa"/>
            <w:tcBorders>
              <w:top w:val="single" w:sz="12"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8"/>
              <w:ind w:right="1"/>
              <w:jc w:val="center"/>
              <w:rPr>
                <w:rFonts w:ascii="宋体" w:hAnsi="宋体" w:cs="宋体" w:eastAsia="宋体" w:hint="default"/>
                <w:sz w:val="18"/>
                <w:szCs w:val="18"/>
              </w:rPr>
            </w:pPr>
            <w:r>
              <w:rPr>
                <w:rFonts w:ascii="宋体" w:hAnsi="宋体" w:cs="宋体" w:eastAsia="宋体" w:hint="default"/>
                <w:sz w:val="18"/>
                <w:szCs w:val="18"/>
              </w:rPr>
              <w:t>北京国信安石科技有限责任公司</w:t>
            </w:r>
          </w:p>
        </w:tc>
        <w:tc>
          <w:tcPr>
            <w:tcW w:w="158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8"/>
              <w:ind w:left="334"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16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8"/>
              <w:ind w:right="0"/>
              <w:jc w:val="right"/>
              <w:rPr>
                <w:rFonts w:ascii="Times New Roman" w:hAnsi="Times New Roman" w:cs="Times New Roman" w:eastAsia="Times New Roman" w:hint="default"/>
                <w:sz w:val="18"/>
                <w:szCs w:val="18"/>
              </w:rPr>
            </w:pPr>
            <w:r>
              <w:rPr>
                <w:rFonts w:ascii="Times New Roman"/>
                <w:sz w:val="18"/>
              </w:rPr>
              <w:t>749,466.67</w:t>
            </w:r>
          </w:p>
        </w:tc>
        <w:tc>
          <w:tcPr>
            <w:tcW w:w="216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8"/>
              <w:ind w:left="1331" w:right="0"/>
              <w:jc w:val="left"/>
              <w:rPr>
                <w:rFonts w:ascii="Times New Roman" w:hAnsi="Times New Roman" w:cs="Times New Roman" w:eastAsia="Times New Roman" w:hint="default"/>
                <w:sz w:val="18"/>
                <w:szCs w:val="18"/>
              </w:rPr>
            </w:pPr>
            <w:r>
              <w:rPr>
                <w:rFonts w:ascii="Times New Roman"/>
                <w:sz w:val="18"/>
              </w:rPr>
              <w:t>560,312.38</w:t>
            </w:r>
          </w:p>
        </w:tc>
      </w:tr>
      <w:tr>
        <w:trPr>
          <w:trHeight w:val="348" w:hRule="exact"/>
        </w:trPr>
        <w:tc>
          <w:tcPr>
            <w:tcW w:w="374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北京神州泰奇互动科技有限公司</w:t>
            </w:r>
          </w:p>
        </w:tc>
        <w:tc>
          <w:tcPr>
            <w:tcW w:w="15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34"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305,946.67</w:t>
            </w:r>
          </w:p>
        </w:tc>
        <w:tc>
          <w:tcPr>
            <w:tcW w:w="2160" w:type="dxa"/>
            <w:tcBorders>
              <w:top w:val="single" w:sz="6" w:space="0" w:color="000000"/>
              <w:left w:val="single" w:sz="6" w:space="0" w:color="000000"/>
              <w:bottom w:val="single" w:sz="6" w:space="0" w:color="000000"/>
              <w:right w:val="single" w:sz="6" w:space="0" w:color="000000"/>
            </w:tcBorders>
          </w:tcPr>
          <w:p>
            <w:pPr/>
          </w:p>
        </w:tc>
      </w:tr>
    </w:tbl>
    <w:p>
      <w:pPr>
        <w:spacing w:line="240" w:lineRule="auto" w:before="2"/>
        <w:rPr>
          <w:rFonts w:ascii="宋体" w:hAnsi="宋体" w:cs="宋体" w:eastAsia="宋体" w:hint="default"/>
          <w:sz w:val="18"/>
          <w:szCs w:val="18"/>
        </w:rPr>
      </w:pPr>
    </w:p>
    <w:p>
      <w:pPr>
        <w:pStyle w:val="Heading2"/>
        <w:spacing w:line="240" w:lineRule="auto" w:before="26"/>
        <w:ind w:left="134" w:right="1032"/>
        <w:jc w:val="left"/>
        <w:rPr>
          <w:b w:val="0"/>
          <w:bCs w:val="0"/>
        </w:rPr>
      </w:pPr>
      <w:bookmarkStart w:name="十六、重大合同及其履行情况" w:id="94"/>
      <w:bookmarkEnd w:id="94"/>
      <w:r>
        <w:rPr>
          <w:b w:val="0"/>
          <w:bCs w:val="0"/>
        </w:rPr>
      </w:r>
      <w:r>
        <w:rPr/>
        <w:t>十六、重大合同及其履行情况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34" w:right="7680"/>
        <w:jc w:val="left"/>
        <w:rPr>
          <w:b w:val="0"/>
          <w:bCs w:val="0"/>
        </w:rPr>
      </w:pPr>
      <w:bookmarkStart w:name="1、托管、承包、租赁事项情况" w:id="95"/>
      <w:bookmarkEnd w:id="95"/>
      <w:r>
        <w:rPr>
          <w:b w:val="0"/>
          <w:bCs w:val="0"/>
        </w:rPr>
      </w:r>
      <w:r>
        <w:rPr>
          <w:rFonts w:ascii="Times New Roman" w:hAnsi="Times New Roman" w:cs="Times New Roman" w:eastAsia="Times New Roman" w:hint="default"/>
        </w:rPr>
        <w:t>1</w:t>
      </w:r>
      <w:r>
        <w:rPr/>
        <w:t>、托管、承包、租赁事项情况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34" w:right="7680"/>
        <w:jc w:val="left"/>
        <w:rPr>
          <w:b w:val="0"/>
          <w:bCs w:val="0"/>
        </w:rPr>
      </w:pPr>
      <w:bookmarkStart w:name="（1）托管情况" w:id="96"/>
      <w:bookmarkEnd w:id="96"/>
      <w:r>
        <w:rPr>
          <w:b w:val="0"/>
          <w:bCs w:val="0"/>
        </w:rPr>
      </w:r>
      <w:r>
        <w:rPr/>
        <w:t>（</w:t>
      </w:r>
      <w:r>
        <w:rPr>
          <w:rFonts w:ascii="Times New Roman" w:hAnsi="Times New Roman" w:cs="Times New Roman" w:eastAsia="Times New Roman" w:hint="default"/>
        </w:rPr>
        <w:t>1</w:t>
      </w:r>
      <w:r>
        <w:rPr/>
        <w:t>）托管情况</w:t>
      </w:r>
      <w:r>
        <w:rPr>
          <w:b w:val="0"/>
          <w:bCs w:val="0"/>
        </w:rPr>
      </w:r>
    </w:p>
    <w:p>
      <w:pPr>
        <w:spacing w:line="240" w:lineRule="auto" w:before="8"/>
        <w:rPr>
          <w:rFonts w:ascii="宋体" w:hAnsi="宋体" w:cs="宋体" w:eastAsia="宋体" w:hint="default"/>
          <w:b/>
          <w:bCs/>
          <w:sz w:val="26"/>
          <w:szCs w:val="26"/>
        </w:rPr>
      </w:pPr>
    </w:p>
    <w:p>
      <w:pPr>
        <w:spacing w:line="415" w:lineRule="auto" w:before="0"/>
        <w:ind w:left="134" w:right="8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1"/>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公司报告期不存在托管情况。</w:t>
      </w:r>
    </w:p>
    <w:p>
      <w:pPr>
        <w:spacing w:line="240" w:lineRule="auto" w:before="9"/>
        <w:rPr>
          <w:rFonts w:ascii="宋体" w:hAnsi="宋体" w:cs="宋体" w:eastAsia="宋体" w:hint="default"/>
          <w:sz w:val="22"/>
          <w:szCs w:val="22"/>
        </w:rPr>
      </w:pPr>
    </w:p>
    <w:p>
      <w:pPr>
        <w:pStyle w:val="Heading3"/>
        <w:spacing w:line="240" w:lineRule="auto"/>
        <w:ind w:left="134" w:right="7680"/>
        <w:jc w:val="left"/>
        <w:rPr>
          <w:b w:val="0"/>
          <w:bCs w:val="0"/>
        </w:rPr>
      </w:pPr>
      <w:bookmarkStart w:name="（2）承包情况" w:id="97"/>
      <w:bookmarkEnd w:id="97"/>
      <w:r>
        <w:rPr>
          <w:b w:val="0"/>
          <w:bCs w:val="0"/>
        </w:rPr>
      </w:r>
      <w:r>
        <w:rPr/>
        <w:t>（</w:t>
      </w:r>
      <w:r>
        <w:rPr>
          <w:rFonts w:ascii="Times New Roman" w:hAnsi="Times New Roman" w:cs="Times New Roman" w:eastAsia="Times New Roman" w:hint="default"/>
        </w:rPr>
        <w:t>2</w:t>
      </w:r>
      <w:r>
        <w:rPr/>
        <w:t>）承包情况</w:t>
      </w:r>
      <w:r>
        <w:rPr>
          <w:b w:val="0"/>
          <w:bCs w:val="0"/>
        </w:rPr>
      </w:r>
    </w:p>
    <w:p>
      <w:pPr>
        <w:spacing w:line="240" w:lineRule="auto" w:before="9"/>
        <w:rPr>
          <w:rFonts w:ascii="宋体" w:hAnsi="宋体" w:cs="宋体" w:eastAsia="宋体" w:hint="default"/>
          <w:b/>
          <w:bCs/>
          <w:sz w:val="26"/>
          <w:szCs w:val="26"/>
        </w:rPr>
      </w:pPr>
    </w:p>
    <w:p>
      <w:pPr>
        <w:spacing w:line="412" w:lineRule="auto" w:before="0"/>
        <w:ind w:left="134" w:right="8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1"/>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公司报告期不存在承包情况。</w:t>
      </w:r>
    </w:p>
    <w:p>
      <w:pPr>
        <w:spacing w:line="240" w:lineRule="auto" w:before="10"/>
        <w:rPr>
          <w:rFonts w:ascii="宋体" w:hAnsi="宋体" w:cs="宋体" w:eastAsia="宋体" w:hint="default"/>
          <w:sz w:val="22"/>
          <w:szCs w:val="22"/>
        </w:rPr>
      </w:pPr>
    </w:p>
    <w:p>
      <w:pPr>
        <w:pStyle w:val="Heading3"/>
        <w:spacing w:line="240" w:lineRule="auto"/>
        <w:ind w:left="134" w:right="7680"/>
        <w:jc w:val="left"/>
        <w:rPr>
          <w:b w:val="0"/>
          <w:bCs w:val="0"/>
        </w:rPr>
      </w:pPr>
      <w:bookmarkStart w:name="（3）租赁情况" w:id="98"/>
      <w:bookmarkEnd w:id="98"/>
      <w:r>
        <w:rPr>
          <w:b w:val="0"/>
          <w:bCs w:val="0"/>
        </w:rPr>
      </w:r>
      <w:r>
        <w:rPr/>
        <w:t>（</w:t>
      </w:r>
      <w:r>
        <w:rPr>
          <w:rFonts w:ascii="Times New Roman" w:hAnsi="Times New Roman" w:cs="Times New Roman" w:eastAsia="Times New Roman" w:hint="default"/>
        </w:rPr>
        <w:t>3</w:t>
      </w:r>
      <w:r>
        <w:rPr/>
        <w:t>）租赁情况</w:t>
      </w:r>
      <w:r>
        <w:rPr>
          <w:b w:val="0"/>
          <w:bCs w:val="0"/>
        </w:rPr>
      </w:r>
    </w:p>
    <w:p>
      <w:pPr>
        <w:spacing w:line="240" w:lineRule="auto" w:before="7"/>
        <w:rPr>
          <w:rFonts w:ascii="宋体" w:hAnsi="宋体" w:cs="宋体" w:eastAsia="宋体" w:hint="default"/>
          <w:b/>
          <w:bCs/>
          <w:sz w:val="32"/>
          <w:szCs w:val="32"/>
        </w:rPr>
      </w:pPr>
    </w:p>
    <w:p>
      <w:pPr>
        <w:spacing w:line="451" w:lineRule="auto" w:before="0"/>
        <w:ind w:left="134" w:right="9293"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不适用 </w:t>
      </w:r>
      <w:r>
        <w:rPr>
          <w:rFonts w:ascii="宋体" w:hAnsi="宋体" w:cs="宋体" w:eastAsia="宋体" w:hint="default"/>
          <w:b/>
          <w:bCs/>
          <w:sz w:val="18"/>
          <w:szCs w:val="18"/>
        </w:rPr>
        <w:t>租赁情况说明</w:t>
      </w:r>
      <w:r>
        <w:rPr>
          <w:rFonts w:ascii="宋体" w:hAnsi="宋体" w:cs="宋体" w:eastAsia="宋体" w:hint="default"/>
          <w:sz w:val="18"/>
          <w:szCs w:val="18"/>
        </w:rPr>
      </w:r>
    </w:p>
    <w:p>
      <w:pPr>
        <w:spacing w:line="451" w:lineRule="auto" w:before="74"/>
        <w:ind w:left="134" w:right="3282" w:firstLine="0"/>
        <w:jc w:val="left"/>
        <w:rPr>
          <w:rFonts w:ascii="宋体" w:hAnsi="宋体" w:cs="宋体" w:eastAsia="宋体" w:hint="default"/>
          <w:sz w:val="18"/>
          <w:szCs w:val="18"/>
        </w:rPr>
      </w:pPr>
      <w:r>
        <w:rPr>
          <w:rFonts w:ascii="宋体" w:hAnsi="宋体" w:cs="宋体" w:eastAsia="宋体" w:hint="default"/>
          <w:sz w:val="18"/>
          <w:szCs w:val="18"/>
        </w:rPr>
        <w:t>公司将北辰泰岳大厦部分楼层及停车位用于经营租赁租出，本年共取得租赁收入</w:t>
      </w:r>
      <w:r>
        <w:rPr>
          <w:rFonts w:ascii="Times New Roman" w:hAnsi="Times New Roman" w:cs="Times New Roman" w:eastAsia="Times New Roman" w:hint="default"/>
          <w:sz w:val="18"/>
          <w:szCs w:val="18"/>
        </w:rPr>
        <w:t>3,533.89</w:t>
      </w:r>
      <w:r>
        <w:rPr>
          <w:rFonts w:ascii="宋体" w:hAnsi="宋体" w:cs="宋体" w:eastAsia="宋体" w:hint="default"/>
          <w:sz w:val="18"/>
          <w:szCs w:val="18"/>
        </w:rPr>
        <w:t>万元。 </w:t>
      </w:r>
      <w:r>
        <w:rPr>
          <w:rFonts w:ascii="宋体" w:hAnsi="宋体" w:cs="宋体" w:eastAsia="宋体" w:hint="default"/>
          <w:b/>
          <w:bCs/>
          <w:sz w:val="18"/>
          <w:szCs w:val="18"/>
        </w:rPr>
        <w:t>为公司带来的损益达到公司报告期利润总额</w:t>
      </w:r>
      <w:r>
        <w:rPr>
          <w:rFonts w:ascii="宋体" w:hAnsi="宋体" w:cs="宋体" w:eastAsia="宋体" w:hint="default"/>
          <w:b/>
          <w:bCs/>
          <w:spacing w:val="-49"/>
          <w:sz w:val="18"/>
          <w:szCs w:val="18"/>
        </w:rPr>
        <w:t> </w:t>
      </w:r>
      <w:r>
        <w:rPr>
          <w:rFonts w:ascii="Times New Roman" w:hAnsi="Times New Roman" w:cs="Times New Roman" w:eastAsia="Times New Roman" w:hint="default"/>
          <w:b/>
          <w:bCs/>
          <w:sz w:val="18"/>
          <w:szCs w:val="18"/>
        </w:rPr>
        <w:t>10%</w:t>
      </w:r>
      <w:r>
        <w:rPr>
          <w:rFonts w:ascii="宋体" w:hAnsi="宋体" w:cs="宋体" w:eastAsia="宋体" w:hint="default"/>
          <w:b/>
          <w:bCs/>
          <w:sz w:val="18"/>
          <w:szCs w:val="18"/>
        </w:rPr>
        <w:t>以上的项目</w:t>
      </w:r>
      <w:r>
        <w:rPr>
          <w:rFonts w:ascii="宋体" w:hAnsi="宋体" w:cs="宋体" w:eastAsia="宋体" w:hint="default"/>
          <w:sz w:val="18"/>
          <w:szCs w:val="18"/>
        </w:rPr>
      </w:r>
    </w:p>
    <w:p>
      <w:pPr>
        <w:spacing w:before="6"/>
        <w:ind w:left="134" w:right="768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0"/>
        <w:rPr>
          <w:rFonts w:ascii="宋体" w:hAnsi="宋体" w:cs="宋体" w:eastAsia="宋体" w:hint="default"/>
          <w:b/>
          <w:bCs/>
          <w:sz w:val="13"/>
          <w:szCs w:val="13"/>
        </w:rPr>
      </w:pPr>
    </w:p>
    <w:p>
      <w:pPr>
        <w:pStyle w:val="BodyText"/>
        <w:spacing w:line="240" w:lineRule="auto"/>
        <w:ind w:left="134" w:right="1032"/>
        <w:jc w:val="left"/>
      </w:pPr>
      <w:r>
        <w:rPr/>
        <w:t>公司报告期不存在为公司带来的损益达到公司报告期利润总额</w:t>
      </w:r>
      <w:r>
        <w:rPr>
          <w:spacing w:val="-45"/>
        </w:rPr>
        <w:t> </w:t>
      </w:r>
      <w:r>
        <w:rPr>
          <w:rFonts w:ascii="Times New Roman" w:hAnsi="Times New Roman" w:cs="Times New Roman" w:eastAsia="Times New Roman" w:hint="default"/>
        </w:rPr>
        <w:t>10%</w:t>
      </w:r>
      <w:r>
        <w:rPr/>
        <w:t>以上的租赁项目。</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3"/>
          <w:szCs w:val="13"/>
        </w:rPr>
      </w:pPr>
    </w:p>
    <w:p>
      <w:pPr>
        <w:pStyle w:val="Heading3"/>
        <w:spacing w:line="240" w:lineRule="auto"/>
        <w:ind w:left="134" w:right="7680"/>
        <w:jc w:val="left"/>
        <w:rPr>
          <w:b w:val="0"/>
          <w:bCs w:val="0"/>
        </w:rPr>
      </w:pPr>
      <w:bookmarkStart w:name="2、重大担保" w:id="99"/>
      <w:bookmarkEnd w:id="99"/>
      <w:r>
        <w:rPr>
          <w:b w:val="0"/>
          <w:bCs w:val="0"/>
        </w:rPr>
      </w:r>
      <w:r>
        <w:rPr>
          <w:rFonts w:ascii="Times New Roman" w:hAnsi="Times New Roman" w:cs="Times New Roman" w:eastAsia="Times New Roman" w:hint="default"/>
        </w:rPr>
        <w:t>2</w:t>
      </w:r>
      <w:r>
        <w:rPr/>
        <w:t>、重大担保</w:t>
      </w:r>
      <w:r>
        <w:rPr>
          <w:b w:val="0"/>
          <w:bCs w:val="0"/>
        </w:rPr>
      </w:r>
    </w:p>
    <w:p>
      <w:pPr>
        <w:spacing w:line="240" w:lineRule="auto" w:before="8"/>
        <w:rPr>
          <w:rFonts w:ascii="宋体" w:hAnsi="宋体" w:cs="宋体" w:eastAsia="宋体" w:hint="default"/>
          <w:b/>
          <w:bCs/>
          <w:sz w:val="26"/>
          <w:szCs w:val="26"/>
        </w:rPr>
      </w:pPr>
    </w:p>
    <w:p>
      <w:pPr>
        <w:spacing w:before="0"/>
        <w:ind w:left="134" w:right="7680"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25"/>
          <w:szCs w:val="25"/>
        </w:rPr>
      </w:pPr>
    </w:p>
    <w:p>
      <w:pPr>
        <w:pStyle w:val="Heading3"/>
        <w:spacing w:line="240" w:lineRule="auto"/>
        <w:ind w:left="134" w:right="7680"/>
        <w:jc w:val="left"/>
        <w:rPr>
          <w:b w:val="0"/>
          <w:bCs w:val="0"/>
        </w:rPr>
      </w:pPr>
      <w:bookmarkStart w:name="（1）担保情况" w:id="100"/>
      <w:bookmarkEnd w:id="100"/>
      <w:r>
        <w:rPr>
          <w:b w:val="0"/>
          <w:bCs w:val="0"/>
        </w:rPr>
      </w:r>
      <w:r>
        <w:rPr/>
        <w:t>（</w:t>
      </w:r>
      <w:r>
        <w:rPr>
          <w:rFonts w:ascii="Times New Roman" w:hAnsi="Times New Roman" w:cs="Times New Roman" w:eastAsia="Times New Roman" w:hint="default"/>
        </w:rPr>
        <w:t>1</w:t>
      </w:r>
      <w:r>
        <w:rPr/>
        <w:t>）担保情况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单位：万元</w:t>
      </w:r>
    </w:p>
    <w:p>
      <w:pPr>
        <w:spacing w:line="240" w:lineRule="auto" w:before="0"/>
        <w:rPr>
          <w:rFonts w:ascii="宋体" w:hAnsi="宋体" w:cs="宋体" w:eastAsia="宋体" w:hint="default"/>
          <w:sz w:val="8"/>
          <w:szCs w:val="8"/>
        </w:rPr>
      </w:pPr>
    </w:p>
    <w:tbl>
      <w:tblPr>
        <w:tblW w:w="0" w:type="auto"/>
        <w:jc w:val="left"/>
        <w:tblInd w:w="101" w:type="dxa"/>
        <w:tblLayout w:type="fixed"/>
        <w:tblCellMar>
          <w:top w:w="0" w:type="dxa"/>
          <w:left w:w="0" w:type="dxa"/>
          <w:bottom w:w="0" w:type="dxa"/>
          <w:right w:w="0" w:type="dxa"/>
        </w:tblCellMar>
        <w:tblLook w:val="01E0"/>
      </w:tblPr>
      <w:tblGrid>
        <w:gridCol w:w="1626"/>
        <w:gridCol w:w="955"/>
        <w:gridCol w:w="942"/>
        <w:gridCol w:w="1228"/>
        <w:gridCol w:w="1194"/>
        <w:gridCol w:w="1109"/>
        <w:gridCol w:w="1032"/>
        <w:gridCol w:w="809"/>
        <w:gridCol w:w="799"/>
      </w:tblGrid>
      <w:tr>
        <w:trPr>
          <w:trHeight w:val="402" w:hRule="exact"/>
        </w:trPr>
        <w:tc>
          <w:tcPr>
            <w:tcW w:w="969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92" w:right="0"/>
              <w:jc w:val="left"/>
              <w:rPr>
                <w:rFonts w:ascii="宋体" w:hAnsi="宋体" w:cs="宋体" w:eastAsia="宋体" w:hint="default"/>
                <w:sz w:val="18"/>
                <w:szCs w:val="18"/>
              </w:rPr>
            </w:pPr>
            <w:r>
              <w:rPr>
                <w:rFonts w:ascii="宋体" w:hAnsi="宋体" w:cs="宋体" w:eastAsia="宋体" w:hint="default"/>
                <w:sz w:val="18"/>
                <w:szCs w:val="18"/>
              </w:rPr>
              <w:t>公司及其子公司对外担保情况（不包括对子公司的担保）</w:t>
            </w:r>
          </w:p>
        </w:tc>
      </w:tr>
      <w:tr>
        <w:trPr>
          <w:trHeight w:val="1026" w:hRule="exact"/>
        </w:trPr>
        <w:tc>
          <w:tcPr>
            <w:tcW w:w="16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67"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955" w:type="dxa"/>
            <w:tcBorders>
              <w:top w:val="single" w:sz="4" w:space="0" w:color="000000"/>
              <w:left w:val="single" w:sz="4" w:space="0" w:color="000000"/>
              <w:bottom w:val="single" w:sz="4" w:space="0" w:color="000000"/>
              <w:right w:val="single" w:sz="5" w:space="0" w:color="000000"/>
            </w:tcBorders>
            <w:shd w:val="clear" w:color="auto" w:fill="D2D2D2"/>
          </w:tcPr>
          <w:p>
            <w:pPr>
              <w:pStyle w:val="TableParagraph"/>
              <w:spacing w:line="319" w:lineRule="auto" w:before="52"/>
              <w:ind w:left="111" w:right="110"/>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42" w:type="dxa"/>
            <w:tcBorders>
              <w:top w:val="single" w:sz="4" w:space="0" w:color="000000"/>
              <w:left w:val="single" w:sz="5"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68"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51" w:right="0"/>
              <w:jc w:val="left"/>
              <w:rPr>
                <w:rFonts w:ascii="宋体" w:hAnsi="宋体" w:cs="宋体" w:eastAsia="宋体" w:hint="default"/>
                <w:sz w:val="18"/>
                <w:szCs w:val="18"/>
              </w:rPr>
            </w:pPr>
            <w:r>
              <w:rPr>
                <w:rFonts w:ascii="宋体" w:hAnsi="宋体" w:cs="宋体" w:eastAsia="宋体" w:hint="default"/>
                <w:sz w:val="18"/>
                <w:szCs w:val="18"/>
              </w:rPr>
              <w:t>实际担保金额</w:t>
            </w:r>
          </w:p>
        </w:tc>
        <w:tc>
          <w:tcPr>
            <w:tcW w:w="11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88"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9"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8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9" w:lineRule="auto"/>
              <w:ind w:left="218" w:right="38"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9" w:lineRule="auto"/>
              <w:ind w:left="33" w:right="35"/>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402" w:hRule="exact"/>
        </w:trPr>
        <w:tc>
          <w:tcPr>
            <w:tcW w:w="1626" w:type="dxa"/>
            <w:tcBorders>
              <w:top w:val="single" w:sz="4" w:space="0" w:color="000000"/>
              <w:left w:val="single" w:sz="4" w:space="0" w:color="000000"/>
              <w:bottom w:val="single" w:sz="12" w:space="0" w:color="D2D2D2"/>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955" w:type="dxa"/>
            <w:tcBorders>
              <w:top w:val="single" w:sz="4" w:space="0" w:color="000000"/>
              <w:left w:val="single" w:sz="4" w:space="0" w:color="000000"/>
              <w:bottom w:val="single" w:sz="12" w:space="0" w:color="D2D2D2"/>
              <w:right w:val="single" w:sz="5" w:space="0" w:color="000000"/>
            </w:tcBorders>
          </w:tcPr>
          <w:p>
            <w:pPr/>
          </w:p>
        </w:tc>
        <w:tc>
          <w:tcPr>
            <w:tcW w:w="942" w:type="dxa"/>
            <w:tcBorders>
              <w:top w:val="single" w:sz="4" w:space="0" w:color="000000"/>
              <w:left w:val="single" w:sz="5" w:space="0" w:color="000000"/>
              <w:bottom w:val="single" w:sz="4" w:space="0" w:color="000000"/>
              <w:right w:val="single" w:sz="4" w:space="0" w:color="000000"/>
            </w:tcBorders>
          </w:tcPr>
          <w:p>
            <w:pPr/>
          </w:p>
        </w:tc>
        <w:tc>
          <w:tcPr>
            <w:tcW w:w="1228" w:type="dxa"/>
            <w:tcBorders>
              <w:top w:val="single" w:sz="4" w:space="0" w:color="000000"/>
              <w:left w:val="single" w:sz="4" w:space="0" w:color="000000"/>
              <w:bottom w:val="single" w:sz="4" w:space="0" w:color="000000"/>
              <w:right w:val="single" w:sz="4" w:space="0" w:color="000000"/>
            </w:tcBorders>
          </w:tcPr>
          <w:p>
            <w:pPr/>
          </w:p>
        </w:tc>
        <w:tc>
          <w:tcPr>
            <w:tcW w:w="1194" w:type="dxa"/>
            <w:tcBorders>
              <w:top w:val="single" w:sz="4" w:space="0" w:color="000000"/>
              <w:left w:val="single" w:sz="4" w:space="0" w:color="000000"/>
              <w:bottom w:val="single" w:sz="12" w:space="0" w:color="D2D2D2"/>
              <w:right w:val="single" w:sz="4" w:space="0" w:color="000000"/>
            </w:tcBorders>
          </w:tcPr>
          <w:p>
            <w:pPr/>
          </w:p>
        </w:tc>
        <w:tc>
          <w:tcPr>
            <w:tcW w:w="1109" w:type="dxa"/>
            <w:tcBorders>
              <w:top w:val="single" w:sz="4" w:space="0" w:color="000000"/>
              <w:left w:val="single" w:sz="4" w:space="0" w:color="000000"/>
              <w:bottom w:val="single" w:sz="12" w:space="0" w:color="D2D2D2"/>
              <w:right w:val="single" w:sz="4" w:space="0" w:color="000000"/>
            </w:tcBorders>
          </w:tcPr>
          <w:p>
            <w:pPr/>
          </w:p>
        </w:tc>
        <w:tc>
          <w:tcPr>
            <w:tcW w:w="1032" w:type="dxa"/>
            <w:tcBorders>
              <w:top w:val="single" w:sz="4" w:space="0" w:color="000000"/>
              <w:left w:val="single" w:sz="4" w:space="0" w:color="000000"/>
              <w:bottom w:val="single" w:sz="4" w:space="0" w:color="000000"/>
              <w:right w:val="single" w:sz="4" w:space="0" w:color="000000"/>
            </w:tcBorders>
          </w:tcPr>
          <w:p>
            <w:pPr/>
          </w:p>
        </w:tc>
        <w:tc>
          <w:tcPr>
            <w:tcW w:w="809"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58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报告期内审批的对外担保额度</w:t>
            </w:r>
          </w:p>
        </w:tc>
        <w:tc>
          <w:tcPr>
            <w:tcW w:w="21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0</w:t>
            </w:r>
          </w:p>
        </w:tc>
        <w:tc>
          <w:tcPr>
            <w:tcW w:w="230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报告期内对外担保实际发生</w:t>
            </w:r>
          </w:p>
        </w:tc>
        <w:tc>
          <w:tcPr>
            <w:tcW w:w="2640"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1000" w:right="0"/>
        </w:sectPr>
      </w:pPr>
    </w:p>
    <w:p>
      <w:pPr>
        <w:spacing w:line="240" w:lineRule="auto" w:before="5"/>
        <w:rPr>
          <w:rFonts w:ascii="Times New Roman" w:hAnsi="Times New Roman" w:cs="Times New Roman" w:eastAsia="Times New Roman" w:hint="default"/>
          <w:sz w:val="17"/>
          <w:szCs w:val="17"/>
        </w:rPr>
      </w:pPr>
      <w:r>
        <w:rPr/>
        <w:pict>
          <v:shape style="position:absolute;margin-left:55.080002pt;margin-top:72.179985pt;width:485.5pt;height:688.95pt;mso-position-horizontal-relative:page;mso-position-vertical-relative:page;z-index:24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28"/>
                    <w:gridCol w:w="936"/>
                    <w:gridCol w:w="948"/>
                    <w:gridCol w:w="1243"/>
                    <w:gridCol w:w="1178"/>
                    <w:gridCol w:w="1108"/>
                    <w:gridCol w:w="1038"/>
                    <w:gridCol w:w="812"/>
                    <w:gridCol w:w="804"/>
                  </w:tblGrid>
                  <w:tr>
                    <w:trPr>
                      <w:trHeight w:val="374" w:hRule="exact"/>
                    </w:trPr>
                    <w:tc>
                      <w:tcPr>
                        <w:tcW w:w="2563" w:type="dxa"/>
                        <w:gridSpan w:val="2"/>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22"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Times New Roman" w:hAnsi="Times New Roman" w:cs="Times New Roman" w:eastAsia="Times New Roman" w:hint="default"/>
                            <w:sz w:val="18"/>
                            <w:szCs w:val="18"/>
                          </w:rPr>
                          <w:t>A1</w:t>
                        </w:r>
                        <w:r>
                          <w:rPr>
                            <w:rFonts w:ascii="宋体" w:hAnsi="宋体" w:cs="宋体" w:eastAsia="宋体" w:hint="default"/>
                            <w:sz w:val="18"/>
                            <w:szCs w:val="18"/>
                          </w:rPr>
                          <w:t>）</w:t>
                        </w:r>
                      </w:p>
                    </w:tc>
                    <w:tc>
                      <w:tcPr>
                        <w:tcW w:w="2192" w:type="dxa"/>
                        <w:gridSpan w:val="2"/>
                        <w:tcBorders>
                          <w:top w:val="single" w:sz="10" w:space="0" w:color="000000"/>
                          <w:left w:val="single" w:sz="13" w:space="0" w:color="D2D2D2"/>
                          <w:bottom w:val="single" w:sz="4" w:space="0" w:color="000000"/>
                          <w:right w:val="single" w:sz="13" w:space="0" w:color="D2D2D2"/>
                        </w:tcBorders>
                      </w:tcPr>
                      <w:p>
                        <w:pPr/>
                      </w:p>
                    </w:tc>
                    <w:tc>
                      <w:tcPr>
                        <w:tcW w:w="2286" w:type="dxa"/>
                        <w:gridSpan w:val="2"/>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19" w:right="0"/>
                          <w:jc w:val="left"/>
                          <w:rPr>
                            <w:rFonts w:ascii="宋体" w:hAnsi="宋体" w:cs="宋体" w:eastAsia="宋体" w:hint="default"/>
                            <w:sz w:val="18"/>
                            <w:szCs w:val="18"/>
                          </w:rPr>
                        </w:pPr>
                        <w:r>
                          <w:rPr>
                            <w:rFonts w:ascii="宋体" w:hAnsi="宋体" w:cs="宋体" w:eastAsia="宋体" w:hint="default"/>
                            <w:sz w:val="18"/>
                            <w:szCs w:val="18"/>
                          </w:rPr>
                          <w:t>额合计（</w:t>
                        </w:r>
                        <w:r>
                          <w:rPr>
                            <w:rFonts w:ascii="Times New Roman" w:hAnsi="Times New Roman" w:cs="Times New Roman" w:eastAsia="Times New Roman" w:hint="default"/>
                            <w:sz w:val="18"/>
                            <w:szCs w:val="18"/>
                          </w:rPr>
                          <w:t>A2</w:t>
                        </w:r>
                        <w:r>
                          <w:rPr>
                            <w:rFonts w:ascii="宋体" w:hAnsi="宋体" w:cs="宋体" w:eastAsia="宋体" w:hint="default"/>
                            <w:sz w:val="18"/>
                            <w:szCs w:val="18"/>
                          </w:rPr>
                          <w:t>）</w:t>
                        </w:r>
                      </w:p>
                    </w:tc>
                    <w:tc>
                      <w:tcPr>
                        <w:tcW w:w="2654" w:type="dxa"/>
                        <w:gridSpan w:val="3"/>
                        <w:tcBorders>
                          <w:top w:val="single" w:sz="10" w:space="0" w:color="000000"/>
                          <w:left w:val="single" w:sz="13" w:space="0" w:color="D2D2D2"/>
                          <w:bottom w:val="single" w:sz="4" w:space="0" w:color="000000"/>
                          <w:right w:val="single" w:sz="4" w:space="0" w:color="000000"/>
                        </w:tcBorders>
                      </w:tcPr>
                      <w:p>
                        <w:pPr/>
                      </w:p>
                    </w:tc>
                  </w:tr>
                  <w:tr>
                    <w:trPr>
                      <w:trHeight w:val="719" w:hRule="exact"/>
                    </w:trPr>
                    <w:tc>
                      <w:tcPr>
                        <w:tcW w:w="256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89"/>
                          <w:jc w:val="left"/>
                          <w:rPr>
                            <w:rFonts w:ascii="宋体" w:hAnsi="宋体" w:cs="宋体" w:eastAsia="宋体" w:hint="default"/>
                            <w:sz w:val="18"/>
                            <w:szCs w:val="18"/>
                          </w:rPr>
                        </w:pPr>
                        <w:r>
                          <w:rPr>
                            <w:rFonts w:ascii="宋体" w:hAnsi="宋体" w:cs="宋体" w:eastAsia="宋体" w:hint="default"/>
                            <w:sz w:val="18"/>
                            <w:szCs w:val="18"/>
                          </w:rPr>
                          <w:t>报告期末已审批的对外担保额 度合计（</w:t>
                        </w:r>
                        <w:r>
                          <w:rPr>
                            <w:rFonts w:ascii="Times New Roman" w:hAnsi="Times New Roman" w:cs="Times New Roman" w:eastAsia="Times New Roman" w:hint="default"/>
                            <w:sz w:val="18"/>
                            <w:szCs w:val="18"/>
                          </w:rPr>
                          <w:t>A3</w:t>
                        </w:r>
                        <w:r>
                          <w:rPr>
                            <w:rFonts w:ascii="宋体" w:hAnsi="宋体" w:cs="宋体" w:eastAsia="宋体" w:hint="default"/>
                            <w:sz w:val="18"/>
                            <w:szCs w:val="18"/>
                          </w:rPr>
                          <w:t>）</w:t>
                        </w:r>
                      </w:p>
                    </w:tc>
                    <w:tc>
                      <w:tcPr>
                        <w:tcW w:w="2192"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0</w:t>
                        </w:r>
                      </w:p>
                    </w:tc>
                    <w:tc>
                      <w:tcPr>
                        <w:tcW w:w="228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9" w:right="94"/>
                          <w:jc w:val="left"/>
                          <w:rPr>
                            <w:rFonts w:ascii="宋体" w:hAnsi="宋体" w:cs="宋体" w:eastAsia="宋体" w:hint="default"/>
                            <w:sz w:val="18"/>
                            <w:szCs w:val="18"/>
                          </w:rPr>
                        </w:pPr>
                        <w:r>
                          <w:rPr>
                            <w:rFonts w:ascii="宋体" w:hAnsi="宋体" w:cs="宋体" w:eastAsia="宋体" w:hint="default"/>
                            <w:sz w:val="18"/>
                            <w:szCs w:val="18"/>
                          </w:rPr>
                          <w:t>报告期末实际对外担保余额 合计（</w:t>
                        </w:r>
                        <w:r>
                          <w:rPr>
                            <w:rFonts w:ascii="Times New Roman" w:hAnsi="Times New Roman" w:cs="Times New Roman" w:eastAsia="Times New Roman" w:hint="default"/>
                            <w:sz w:val="18"/>
                            <w:szCs w:val="18"/>
                          </w:rPr>
                          <w:t>A4</w:t>
                        </w:r>
                        <w:r>
                          <w:rPr>
                            <w:rFonts w:ascii="宋体" w:hAnsi="宋体" w:cs="宋体" w:eastAsia="宋体" w:hint="default"/>
                            <w:sz w:val="18"/>
                            <w:szCs w:val="18"/>
                          </w:rPr>
                          <w:t>）</w:t>
                        </w:r>
                      </w:p>
                    </w:tc>
                    <w:tc>
                      <w:tcPr>
                        <w:tcW w:w="2654"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393" w:hRule="exact"/>
                    </w:trPr>
                    <w:tc>
                      <w:tcPr>
                        <w:tcW w:w="969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right="0"/>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166" w:hRule="exact"/>
                    </w:trPr>
                    <w:tc>
                      <w:tcPr>
                        <w:tcW w:w="1628" w:type="dxa"/>
                        <w:vMerge w:val="restart"/>
                        <w:tcBorders>
                          <w:top w:val="single" w:sz="4" w:space="0" w:color="000000"/>
                          <w:left w:val="single" w:sz="4" w:space="0" w:color="000000"/>
                          <w:right w:val="single" w:sz="4" w:space="0" w:color="000000"/>
                        </w:tcBorders>
                        <w:shd w:val="clear" w:color="auto" w:fill="D2D2D2"/>
                      </w:tcPr>
                      <w:p>
                        <w:pPr/>
                      </w:p>
                    </w:tc>
                    <w:tc>
                      <w:tcPr>
                        <w:tcW w:w="93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6"/>
                          <w:ind w:left="106" w:right="97"/>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48" w:type="dxa"/>
                        <w:vMerge w:val="restart"/>
                        <w:tcBorders>
                          <w:top w:val="single" w:sz="4" w:space="0" w:color="000000"/>
                          <w:left w:val="single" w:sz="4" w:space="0" w:color="000000"/>
                          <w:right w:val="single" w:sz="4" w:space="0" w:color="000000"/>
                        </w:tcBorders>
                        <w:shd w:val="clear" w:color="auto" w:fill="D2D2D2"/>
                      </w:tcPr>
                      <w:p>
                        <w:pPr/>
                      </w:p>
                    </w:tc>
                    <w:tc>
                      <w:tcPr>
                        <w:tcW w:w="1243" w:type="dxa"/>
                        <w:vMerge w:val="restart"/>
                        <w:tcBorders>
                          <w:top w:val="single" w:sz="4" w:space="0" w:color="000000"/>
                          <w:left w:val="single" w:sz="4" w:space="0" w:color="000000"/>
                          <w:right w:val="single" w:sz="4" w:space="0" w:color="000000"/>
                        </w:tcBorders>
                        <w:shd w:val="clear" w:color="auto" w:fill="D2D2D2"/>
                      </w:tcPr>
                      <w:p>
                        <w:pPr/>
                      </w:p>
                    </w:tc>
                    <w:tc>
                      <w:tcPr>
                        <w:tcW w:w="1178" w:type="dxa"/>
                        <w:vMerge w:val="restart"/>
                        <w:tcBorders>
                          <w:top w:val="single" w:sz="4" w:space="0" w:color="000000"/>
                          <w:left w:val="single" w:sz="4" w:space="0" w:color="000000"/>
                          <w:right w:val="single" w:sz="4" w:space="0" w:color="000000"/>
                        </w:tcBorders>
                        <w:shd w:val="clear" w:color="auto" w:fill="D2D2D2"/>
                      </w:tcPr>
                      <w:p>
                        <w:pPr/>
                      </w:p>
                    </w:tc>
                    <w:tc>
                      <w:tcPr>
                        <w:tcW w:w="1108" w:type="dxa"/>
                        <w:vMerge w:val="restart"/>
                        <w:tcBorders>
                          <w:top w:val="single" w:sz="4" w:space="0" w:color="000000"/>
                          <w:left w:val="single" w:sz="4" w:space="0" w:color="000000"/>
                          <w:right w:val="single" w:sz="4" w:space="0" w:color="000000"/>
                        </w:tcBorders>
                        <w:shd w:val="clear" w:color="auto" w:fill="D2D2D2"/>
                      </w:tcPr>
                      <w:p>
                        <w:pPr/>
                      </w:p>
                    </w:tc>
                    <w:tc>
                      <w:tcPr>
                        <w:tcW w:w="1038" w:type="dxa"/>
                        <w:vMerge w:val="restart"/>
                        <w:tcBorders>
                          <w:top w:val="single" w:sz="4" w:space="0" w:color="000000"/>
                          <w:left w:val="single" w:sz="4" w:space="0" w:color="000000"/>
                          <w:right w:val="single" w:sz="4" w:space="0" w:color="000000"/>
                        </w:tcBorders>
                        <w:shd w:val="clear" w:color="auto" w:fill="D2D2D2"/>
                      </w:tcPr>
                      <w:p>
                        <w:pPr/>
                      </w:p>
                    </w:tc>
                    <w:tc>
                      <w:tcPr>
                        <w:tcW w:w="812" w:type="dxa"/>
                        <w:tcBorders>
                          <w:top w:val="single" w:sz="4" w:space="0" w:color="000000"/>
                          <w:left w:val="single" w:sz="4" w:space="0" w:color="000000"/>
                          <w:bottom w:val="nil" w:sz="6" w:space="0" w:color="auto"/>
                          <w:right w:val="single" w:sz="4" w:space="0" w:color="000000"/>
                        </w:tcBorders>
                        <w:shd w:val="clear" w:color="auto" w:fill="D2D2D2"/>
                      </w:tcPr>
                      <w:p>
                        <w:pPr/>
                      </w:p>
                    </w:tc>
                    <w:tc>
                      <w:tcPr>
                        <w:tcW w:w="80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6" w:hRule="exact"/>
                    </w:trPr>
                    <w:tc>
                      <w:tcPr>
                        <w:tcW w:w="1628" w:type="dxa"/>
                        <w:vMerge/>
                        <w:tcBorders>
                          <w:left w:val="single" w:sz="4" w:space="0" w:color="000000"/>
                          <w:bottom w:val="nil" w:sz="6" w:space="0" w:color="auto"/>
                          <w:right w:val="single" w:sz="4" w:space="0" w:color="000000"/>
                        </w:tcBorders>
                        <w:shd w:val="clear" w:color="auto" w:fill="D2D2D2"/>
                      </w:tcPr>
                      <w:p>
                        <w:pPr/>
                      </w:p>
                    </w:tc>
                    <w:tc>
                      <w:tcPr>
                        <w:tcW w:w="936" w:type="dxa"/>
                        <w:vMerge/>
                        <w:tcBorders>
                          <w:left w:val="single" w:sz="4" w:space="0" w:color="000000"/>
                          <w:right w:val="single" w:sz="4" w:space="0" w:color="000000"/>
                        </w:tcBorders>
                        <w:shd w:val="clear" w:color="auto" w:fill="D2D2D2"/>
                      </w:tcPr>
                      <w:p>
                        <w:pPr/>
                      </w:p>
                    </w:tc>
                    <w:tc>
                      <w:tcPr>
                        <w:tcW w:w="948" w:type="dxa"/>
                        <w:vMerge/>
                        <w:tcBorders>
                          <w:left w:val="single" w:sz="4" w:space="0" w:color="000000"/>
                          <w:bottom w:val="nil" w:sz="6" w:space="0" w:color="auto"/>
                          <w:right w:val="single" w:sz="4" w:space="0" w:color="000000"/>
                        </w:tcBorders>
                        <w:shd w:val="clear" w:color="auto" w:fill="D2D2D2"/>
                      </w:tcPr>
                      <w:p>
                        <w:pPr/>
                      </w:p>
                    </w:tc>
                    <w:tc>
                      <w:tcPr>
                        <w:tcW w:w="1243" w:type="dxa"/>
                        <w:vMerge/>
                        <w:tcBorders>
                          <w:left w:val="single" w:sz="4" w:space="0" w:color="000000"/>
                          <w:bottom w:val="nil" w:sz="6" w:space="0" w:color="auto"/>
                          <w:right w:val="single" w:sz="4" w:space="0" w:color="000000"/>
                        </w:tcBorders>
                        <w:shd w:val="clear" w:color="auto" w:fill="D2D2D2"/>
                      </w:tcPr>
                      <w:p>
                        <w:pPr/>
                      </w:p>
                    </w:tc>
                    <w:tc>
                      <w:tcPr>
                        <w:tcW w:w="1178" w:type="dxa"/>
                        <w:vMerge/>
                        <w:tcBorders>
                          <w:left w:val="single" w:sz="4" w:space="0" w:color="000000"/>
                          <w:bottom w:val="nil" w:sz="6" w:space="0" w:color="auto"/>
                          <w:right w:val="single" w:sz="4" w:space="0" w:color="000000"/>
                        </w:tcBorders>
                        <w:shd w:val="clear" w:color="auto" w:fill="D2D2D2"/>
                      </w:tcPr>
                      <w:p>
                        <w:pPr/>
                      </w:p>
                    </w:tc>
                    <w:tc>
                      <w:tcPr>
                        <w:tcW w:w="1108" w:type="dxa"/>
                        <w:vMerge/>
                        <w:tcBorders>
                          <w:left w:val="single" w:sz="4" w:space="0" w:color="000000"/>
                          <w:bottom w:val="nil" w:sz="6" w:space="0" w:color="auto"/>
                          <w:right w:val="single" w:sz="4" w:space="0" w:color="000000"/>
                        </w:tcBorders>
                        <w:shd w:val="clear" w:color="auto" w:fill="D2D2D2"/>
                      </w:tcPr>
                      <w:p>
                        <w:pPr/>
                      </w:p>
                    </w:tc>
                    <w:tc>
                      <w:tcPr>
                        <w:tcW w:w="1038" w:type="dxa"/>
                        <w:vMerge/>
                        <w:tcBorders>
                          <w:left w:val="single" w:sz="4" w:space="0" w:color="000000"/>
                          <w:bottom w:val="nil" w:sz="6" w:space="0" w:color="auto"/>
                          <w:right w:val="single" w:sz="4" w:space="0" w:color="000000"/>
                        </w:tcBorders>
                        <w:shd w:val="clear" w:color="auto" w:fill="D2D2D2"/>
                      </w:tcPr>
                      <w:p>
                        <w:pPr/>
                      </w:p>
                    </w:tc>
                    <w:tc>
                      <w:tcPr>
                        <w:tcW w:w="812"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24" w:right="36"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804"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38" w:right="35"/>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392" w:hRule="exact"/>
                    </w:trPr>
                    <w:tc>
                      <w:tcPr>
                        <w:tcW w:w="162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36" w:type="dxa"/>
                        <w:vMerge/>
                        <w:tcBorders>
                          <w:left w:val="single" w:sz="4" w:space="0" w:color="000000"/>
                          <w:right w:val="single" w:sz="4" w:space="0" w:color="000000"/>
                        </w:tcBorders>
                        <w:shd w:val="clear" w:color="auto" w:fill="D2D2D2"/>
                      </w:tcPr>
                      <w:p>
                        <w:pPr/>
                      </w:p>
                    </w:tc>
                    <w:tc>
                      <w:tcPr>
                        <w:tcW w:w="94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8"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4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80"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17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38"/>
                          <w:jc w:val="right"/>
                          <w:rPr>
                            <w:rFonts w:ascii="宋体" w:hAnsi="宋体" w:cs="宋体" w:eastAsia="宋体" w:hint="default"/>
                            <w:sz w:val="18"/>
                            <w:szCs w:val="18"/>
                          </w:rPr>
                        </w:pPr>
                        <w:r>
                          <w:rPr>
                            <w:rFonts w:ascii="宋体" w:hAnsi="宋体" w:cs="宋体" w:eastAsia="宋体" w:hint="default"/>
                            <w:sz w:val="18"/>
                            <w:szCs w:val="18"/>
                          </w:rPr>
                          <w:t>实际担保金额</w:t>
                        </w:r>
                      </w:p>
                    </w:tc>
                    <w:tc>
                      <w:tcPr>
                        <w:tcW w:w="110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00"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3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235"/>
                          <w:jc w:val="right"/>
                          <w:rPr>
                            <w:rFonts w:ascii="宋体" w:hAnsi="宋体" w:cs="宋体" w:eastAsia="宋体" w:hint="default"/>
                            <w:sz w:val="18"/>
                            <w:szCs w:val="18"/>
                          </w:rPr>
                        </w:pPr>
                        <w:r>
                          <w:rPr>
                            <w:rFonts w:ascii="宋体" w:hAnsi="宋体" w:cs="宋体" w:eastAsia="宋体" w:hint="default"/>
                            <w:sz w:val="18"/>
                            <w:szCs w:val="18"/>
                          </w:rPr>
                          <w:t>担保期</w:t>
                        </w:r>
                      </w:p>
                    </w:tc>
                    <w:tc>
                      <w:tcPr>
                        <w:tcW w:w="812" w:type="dxa"/>
                        <w:vMerge/>
                        <w:tcBorders>
                          <w:left w:val="single" w:sz="4" w:space="0" w:color="000000"/>
                          <w:right w:val="single" w:sz="4" w:space="0" w:color="000000"/>
                        </w:tcBorders>
                        <w:shd w:val="clear" w:color="auto" w:fill="D2D2D2"/>
                      </w:tcPr>
                      <w:p>
                        <w:pPr/>
                      </w:p>
                    </w:tc>
                    <w:tc>
                      <w:tcPr>
                        <w:tcW w:w="804" w:type="dxa"/>
                        <w:vMerge/>
                        <w:tcBorders>
                          <w:left w:val="single" w:sz="4" w:space="0" w:color="000000"/>
                          <w:right w:val="single" w:sz="4" w:space="0" w:color="000000"/>
                        </w:tcBorders>
                        <w:shd w:val="clear" w:color="auto" w:fill="D2D2D2"/>
                      </w:tcPr>
                      <w:p>
                        <w:pPr/>
                      </w:p>
                    </w:tc>
                  </w:tr>
                  <w:tr>
                    <w:trPr>
                      <w:trHeight w:val="156" w:hRule="exact"/>
                    </w:trPr>
                    <w:tc>
                      <w:tcPr>
                        <w:tcW w:w="1628" w:type="dxa"/>
                        <w:vMerge w:val="restart"/>
                        <w:tcBorders>
                          <w:top w:val="nil" w:sz="6" w:space="0" w:color="auto"/>
                          <w:left w:val="single" w:sz="4" w:space="0" w:color="000000"/>
                          <w:right w:val="single" w:sz="4" w:space="0" w:color="000000"/>
                        </w:tcBorders>
                        <w:shd w:val="clear" w:color="auto" w:fill="D2D2D2"/>
                      </w:tcPr>
                      <w:p>
                        <w:pPr/>
                      </w:p>
                    </w:tc>
                    <w:tc>
                      <w:tcPr>
                        <w:tcW w:w="936" w:type="dxa"/>
                        <w:vMerge/>
                        <w:tcBorders>
                          <w:left w:val="single" w:sz="4" w:space="0" w:color="000000"/>
                          <w:right w:val="single" w:sz="4" w:space="0" w:color="000000"/>
                        </w:tcBorders>
                        <w:shd w:val="clear" w:color="auto" w:fill="D2D2D2"/>
                      </w:tcPr>
                      <w:p>
                        <w:pPr/>
                      </w:p>
                    </w:tc>
                    <w:tc>
                      <w:tcPr>
                        <w:tcW w:w="948" w:type="dxa"/>
                        <w:vMerge w:val="restart"/>
                        <w:tcBorders>
                          <w:top w:val="nil" w:sz="6" w:space="0" w:color="auto"/>
                          <w:left w:val="single" w:sz="4" w:space="0" w:color="000000"/>
                          <w:right w:val="single" w:sz="4" w:space="0" w:color="000000"/>
                        </w:tcBorders>
                        <w:shd w:val="clear" w:color="auto" w:fill="D2D2D2"/>
                      </w:tcPr>
                      <w:p>
                        <w:pPr/>
                      </w:p>
                    </w:tc>
                    <w:tc>
                      <w:tcPr>
                        <w:tcW w:w="1243" w:type="dxa"/>
                        <w:vMerge w:val="restart"/>
                        <w:tcBorders>
                          <w:top w:val="nil" w:sz="6" w:space="0" w:color="auto"/>
                          <w:left w:val="single" w:sz="4" w:space="0" w:color="000000"/>
                          <w:right w:val="single" w:sz="4" w:space="0" w:color="000000"/>
                        </w:tcBorders>
                        <w:shd w:val="clear" w:color="auto" w:fill="D2D2D2"/>
                      </w:tcPr>
                      <w:p>
                        <w:pPr/>
                      </w:p>
                    </w:tc>
                    <w:tc>
                      <w:tcPr>
                        <w:tcW w:w="1178" w:type="dxa"/>
                        <w:vMerge w:val="restart"/>
                        <w:tcBorders>
                          <w:top w:val="nil" w:sz="6" w:space="0" w:color="auto"/>
                          <w:left w:val="single" w:sz="4" w:space="0" w:color="000000"/>
                          <w:right w:val="single" w:sz="4" w:space="0" w:color="000000"/>
                        </w:tcBorders>
                        <w:shd w:val="clear" w:color="auto" w:fill="D2D2D2"/>
                      </w:tcPr>
                      <w:p>
                        <w:pPr/>
                      </w:p>
                    </w:tc>
                    <w:tc>
                      <w:tcPr>
                        <w:tcW w:w="1108" w:type="dxa"/>
                        <w:vMerge w:val="restart"/>
                        <w:tcBorders>
                          <w:top w:val="nil" w:sz="6" w:space="0" w:color="auto"/>
                          <w:left w:val="single" w:sz="4" w:space="0" w:color="000000"/>
                          <w:right w:val="single" w:sz="4" w:space="0" w:color="000000"/>
                        </w:tcBorders>
                        <w:shd w:val="clear" w:color="auto" w:fill="D2D2D2"/>
                      </w:tcPr>
                      <w:p>
                        <w:pPr/>
                      </w:p>
                    </w:tc>
                    <w:tc>
                      <w:tcPr>
                        <w:tcW w:w="1038" w:type="dxa"/>
                        <w:vMerge w:val="restart"/>
                        <w:tcBorders>
                          <w:top w:val="nil" w:sz="6" w:space="0" w:color="auto"/>
                          <w:left w:val="single" w:sz="4" w:space="0" w:color="000000"/>
                          <w:right w:val="single" w:sz="4" w:space="0" w:color="000000"/>
                        </w:tcBorders>
                        <w:shd w:val="clear" w:color="auto" w:fill="D2D2D2"/>
                      </w:tcPr>
                      <w:p>
                        <w:pPr/>
                      </w:p>
                    </w:tc>
                    <w:tc>
                      <w:tcPr>
                        <w:tcW w:w="812" w:type="dxa"/>
                        <w:vMerge/>
                        <w:tcBorders>
                          <w:left w:val="single" w:sz="4" w:space="0" w:color="000000"/>
                          <w:bottom w:val="nil" w:sz="6" w:space="0" w:color="auto"/>
                          <w:right w:val="single" w:sz="4" w:space="0" w:color="000000"/>
                        </w:tcBorders>
                        <w:shd w:val="clear" w:color="auto" w:fill="D2D2D2"/>
                      </w:tcPr>
                      <w:p>
                        <w:pPr/>
                      </w:p>
                    </w:tc>
                    <w:tc>
                      <w:tcPr>
                        <w:tcW w:w="804" w:type="dxa"/>
                        <w:vMerge/>
                        <w:tcBorders>
                          <w:left w:val="single" w:sz="4" w:space="0" w:color="000000"/>
                          <w:bottom w:val="nil" w:sz="6" w:space="0" w:color="auto"/>
                          <w:right w:val="single" w:sz="4" w:space="0" w:color="000000"/>
                        </w:tcBorders>
                        <w:shd w:val="clear" w:color="auto" w:fill="D2D2D2"/>
                      </w:tcPr>
                      <w:p>
                        <w:pPr/>
                      </w:p>
                    </w:tc>
                  </w:tr>
                  <w:tr>
                    <w:trPr>
                      <w:trHeight w:val="161" w:hRule="exact"/>
                    </w:trPr>
                    <w:tc>
                      <w:tcPr>
                        <w:tcW w:w="1628" w:type="dxa"/>
                        <w:vMerge/>
                        <w:tcBorders>
                          <w:left w:val="single" w:sz="4" w:space="0" w:color="000000"/>
                          <w:bottom w:val="single" w:sz="4" w:space="0" w:color="000000"/>
                          <w:right w:val="single" w:sz="4" w:space="0" w:color="000000"/>
                        </w:tcBorders>
                        <w:shd w:val="clear" w:color="auto" w:fill="D2D2D2"/>
                      </w:tcPr>
                      <w:p>
                        <w:pPr/>
                      </w:p>
                    </w:tc>
                    <w:tc>
                      <w:tcPr>
                        <w:tcW w:w="936" w:type="dxa"/>
                        <w:vMerge/>
                        <w:tcBorders>
                          <w:left w:val="single" w:sz="4" w:space="0" w:color="000000"/>
                          <w:bottom w:val="single" w:sz="4" w:space="0" w:color="000000"/>
                          <w:right w:val="single" w:sz="4" w:space="0" w:color="000000"/>
                        </w:tcBorders>
                        <w:shd w:val="clear" w:color="auto" w:fill="D2D2D2"/>
                      </w:tcPr>
                      <w:p>
                        <w:pPr/>
                      </w:p>
                    </w:tc>
                    <w:tc>
                      <w:tcPr>
                        <w:tcW w:w="948" w:type="dxa"/>
                        <w:vMerge/>
                        <w:tcBorders>
                          <w:left w:val="single" w:sz="4" w:space="0" w:color="000000"/>
                          <w:bottom w:val="single" w:sz="4" w:space="0" w:color="000000"/>
                          <w:right w:val="single" w:sz="4" w:space="0" w:color="000000"/>
                        </w:tcBorders>
                        <w:shd w:val="clear" w:color="auto" w:fill="D2D2D2"/>
                      </w:tcPr>
                      <w:p>
                        <w:pPr/>
                      </w:p>
                    </w:tc>
                    <w:tc>
                      <w:tcPr>
                        <w:tcW w:w="1243" w:type="dxa"/>
                        <w:vMerge/>
                        <w:tcBorders>
                          <w:left w:val="single" w:sz="4" w:space="0" w:color="000000"/>
                          <w:bottom w:val="single" w:sz="4" w:space="0" w:color="000000"/>
                          <w:right w:val="single" w:sz="4" w:space="0" w:color="000000"/>
                        </w:tcBorders>
                        <w:shd w:val="clear" w:color="auto" w:fill="D2D2D2"/>
                      </w:tcPr>
                      <w:p>
                        <w:pPr/>
                      </w:p>
                    </w:tc>
                    <w:tc>
                      <w:tcPr>
                        <w:tcW w:w="1178" w:type="dxa"/>
                        <w:vMerge/>
                        <w:tcBorders>
                          <w:left w:val="single" w:sz="4" w:space="0" w:color="000000"/>
                          <w:bottom w:val="single" w:sz="4" w:space="0" w:color="000000"/>
                          <w:right w:val="single" w:sz="4" w:space="0" w:color="000000"/>
                        </w:tcBorders>
                        <w:shd w:val="clear" w:color="auto" w:fill="D2D2D2"/>
                      </w:tcPr>
                      <w:p>
                        <w:pPr/>
                      </w:p>
                    </w:tc>
                    <w:tc>
                      <w:tcPr>
                        <w:tcW w:w="1108" w:type="dxa"/>
                        <w:vMerge/>
                        <w:tcBorders>
                          <w:left w:val="single" w:sz="4" w:space="0" w:color="000000"/>
                          <w:bottom w:val="single" w:sz="4" w:space="0" w:color="000000"/>
                          <w:right w:val="single" w:sz="4" w:space="0" w:color="000000"/>
                        </w:tcBorders>
                        <w:shd w:val="clear" w:color="auto" w:fill="D2D2D2"/>
                      </w:tcPr>
                      <w:p>
                        <w:pPr/>
                      </w:p>
                    </w:tc>
                    <w:tc>
                      <w:tcPr>
                        <w:tcW w:w="1038" w:type="dxa"/>
                        <w:vMerge/>
                        <w:tcBorders>
                          <w:left w:val="single" w:sz="4" w:space="0" w:color="000000"/>
                          <w:bottom w:val="single" w:sz="4" w:space="0" w:color="000000"/>
                          <w:right w:val="single" w:sz="4" w:space="0" w:color="000000"/>
                        </w:tcBorders>
                        <w:shd w:val="clear" w:color="auto" w:fill="D2D2D2"/>
                      </w:tcPr>
                      <w:p>
                        <w:pPr/>
                      </w:p>
                    </w:tc>
                    <w:tc>
                      <w:tcPr>
                        <w:tcW w:w="812" w:type="dxa"/>
                        <w:tcBorders>
                          <w:top w:val="nil" w:sz="6" w:space="0" w:color="auto"/>
                          <w:left w:val="single" w:sz="4" w:space="0" w:color="000000"/>
                          <w:bottom w:val="single" w:sz="4" w:space="0" w:color="000000"/>
                          <w:right w:val="single" w:sz="4" w:space="0" w:color="000000"/>
                        </w:tcBorders>
                        <w:shd w:val="clear" w:color="auto" w:fill="D2D2D2"/>
                      </w:tcPr>
                      <w:p>
                        <w:pPr/>
                      </w:p>
                    </w:tc>
                    <w:tc>
                      <w:tcPr>
                        <w:tcW w:w="80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714" w:hRule="exact"/>
                    </w:trPr>
                    <w:tc>
                      <w:tcPr>
                        <w:tcW w:w="16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北京新媒传信科技 有限公司</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04</w:t>
                        </w:r>
                      </w:p>
                      <w:p>
                        <w:pPr>
                          <w:pStyle w:val="TableParagraph"/>
                          <w:spacing w:line="240" w:lineRule="auto" w:before="64"/>
                          <w:ind w:left="15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1,000</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7"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7"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z w:val="18"/>
                          </w:rPr>
                          <w:t>1,000</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470" w:right="85" w:hanging="360"/>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325"/>
                          <w:jc w:val="right"/>
                          <w:rPr>
                            <w:rFonts w:ascii="宋体" w:hAnsi="宋体" w:cs="宋体" w:eastAsia="宋体" w:hint="default"/>
                            <w:sz w:val="18"/>
                            <w:szCs w:val="18"/>
                          </w:rPr>
                        </w:pPr>
                        <w:r>
                          <w:rPr>
                            <w:rFonts w:ascii="宋体" w:hAnsi="宋体" w:cs="宋体" w:eastAsia="宋体" w:hint="default"/>
                            <w:sz w:val="18"/>
                            <w:szCs w:val="18"/>
                          </w:rPr>
                          <w:t>两年</w:t>
                        </w:r>
                      </w:p>
                    </w:tc>
                    <w:tc>
                      <w:tcPr>
                        <w:tcW w:w="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6"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6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北京神州泰岳系统 集成有限公司</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04</w:t>
                        </w:r>
                      </w:p>
                      <w:p>
                        <w:pPr>
                          <w:pStyle w:val="TableParagraph"/>
                          <w:spacing w:line="240" w:lineRule="auto" w:before="64"/>
                          <w:ind w:left="15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30,000</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7"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23</w:t>
                        </w:r>
                      </w:p>
                      <w:p>
                        <w:pPr>
                          <w:pStyle w:val="TableParagraph"/>
                          <w:spacing w:line="240" w:lineRule="auto" w:before="64"/>
                          <w:ind w:left="7"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sz w:val="18"/>
                          </w:rPr>
                          <w:t>28,000</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470" w:right="85" w:hanging="360"/>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325"/>
                          <w:jc w:val="right"/>
                          <w:rPr>
                            <w:rFonts w:ascii="宋体" w:hAnsi="宋体" w:cs="宋体" w:eastAsia="宋体" w:hint="default"/>
                            <w:sz w:val="18"/>
                            <w:szCs w:val="18"/>
                          </w:rPr>
                        </w:pPr>
                        <w:r>
                          <w:rPr>
                            <w:rFonts w:ascii="宋体" w:hAnsi="宋体" w:cs="宋体" w:eastAsia="宋体" w:hint="default"/>
                            <w:sz w:val="18"/>
                            <w:szCs w:val="18"/>
                          </w:rPr>
                          <w:t>两年</w:t>
                        </w:r>
                      </w:p>
                    </w:tc>
                    <w:tc>
                      <w:tcPr>
                        <w:tcW w:w="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6"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1338" w:hRule="exact"/>
                    </w:trPr>
                    <w:tc>
                      <w:tcPr>
                        <w:tcW w:w="16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153"/>
                          <w:jc w:val="left"/>
                          <w:rPr>
                            <w:rFonts w:ascii="宋体" w:hAnsi="宋体" w:cs="宋体" w:eastAsia="宋体" w:hint="default"/>
                            <w:sz w:val="18"/>
                            <w:szCs w:val="18"/>
                          </w:rPr>
                        </w:pPr>
                        <w:r>
                          <w:rPr>
                            <w:rFonts w:ascii="宋体" w:hAnsi="宋体" w:cs="宋体" w:eastAsia="宋体" w:hint="default"/>
                            <w:sz w:val="18"/>
                            <w:szCs w:val="18"/>
                          </w:rPr>
                          <w:t>北京新媒传信科技 有限公司</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6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15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4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432" w:right="0"/>
                          <w:jc w:val="left"/>
                          <w:rPr>
                            <w:rFonts w:ascii="Times New Roman" w:hAnsi="Times New Roman" w:cs="Times New Roman" w:eastAsia="Times New Roman" w:hint="default"/>
                            <w:sz w:val="18"/>
                            <w:szCs w:val="18"/>
                          </w:rPr>
                        </w:pPr>
                        <w:r>
                          <w:rPr>
                            <w:rFonts w:ascii="Times New Roman"/>
                            <w:sz w:val="18"/>
                          </w:rPr>
                          <w:t>10,000</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9"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22</w:t>
                        </w:r>
                      </w:p>
                      <w:p>
                        <w:pPr>
                          <w:pStyle w:val="TableParagraph"/>
                          <w:spacing w:line="240" w:lineRule="auto" w:before="63"/>
                          <w:ind w:left="7"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9"/>
                          <w:jc w:val="right"/>
                          <w:rPr>
                            <w:rFonts w:ascii="Times New Roman" w:hAnsi="Times New Roman" w:cs="Times New Roman" w:eastAsia="Times New Roman" w:hint="default"/>
                            <w:sz w:val="18"/>
                            <w:szCs w:val="18"/>
                          </w:rPr>
                        </w:pPr>
                        <w:r>
                          <w:rPr>
                            <w:rFonts w:ascii="Times New Roman"/>
                            <w:sz w:val="18"/>
                          </w:rPr>
                          <w:t>0</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35" w:right="8" w:hanging="2"/>
                          <w:jc w:val="center"/>
                          <w:rPr>
                            <w:rFonts w:ascii="宋体" w:hAnsi="宋体" w:cs="宋体" w:eastAsia="宋体" w:hint="default"/>
                            <w:sz w:val="18"/>
                            <w:szCs w:val="18"/>
                          </w:rPr>
                        </w:pPr>
                        <w:r>
                          <w:rPr>
                            <w:rFonts w:ascii="宋体" w:hAnsi="宋体" w:cs="宋体" w:eastAsia="宋体" w:hint="default"/>
                            <w:sz w:val="18"/>
                            <w:szCs w:val="18"/>
                          </w:rPr>
                          <w:t>连带责任保 </w:t>
                        </w:r>
                        <w:r>
                          <w:rPr>
                            <w:rFonts w:ascii="宋体" w:hAnsi="宋体" w:cs="宋体" w:eastAsia="宋体" w:hint="default"/>
                            <w:spacing w:val="-5"/>
                            <w:sz w:val="18"/>
                            <w:szCs w:val="18"/>
                          </w:rPr>
                          <w:t>证，与母公司</w:t>
                        </w:r>
                        <w:r>
                          <w:rPr>
                            <w:rFonts w:ascii="宋体" w:hAnsi="宋体" w:cs="宋体" w:eastAsia="宋体" w:hint="default"/>
                            <w:sz w:val="18"/>
                            <w:szCs w:val="18"/>
                          </w:rPr>
                          <w:t> 共用授信额 度</w:t>
                        </w:r>
                      </w:p>
                    </w:tc>
                    <w:tc>
                      <w:tcPr>
                        <w:tcW w:w="1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right="325"/>
                          <w:jc w:val="right"/>
                          <w:rPr>
                            <w:rFonts w:ascii="宋体" w:hAnsi="宋体" w:cs="宋体" w:eastAsia="宋体" w:hint="default"/>
                            <w:sz w:val="18"/>
                            <w:szCs w:val="18"/>
                          </w:rPr>
                        </w:pPr>
                        <w:r>
                          <w:rPr>
                            <w:rFonts w:ascii="宋体" w:hAnsi="宋体" w:cs="宋体" w:eastAsia="宋体" w:hint="default"/>
                            <w:sz w:val="18"/>
                            <w:szCs w:val="18"/>
                          </w:rPr>
                          <w:t>一年</w:t>
                        </w:r>
                      </w:p>
                    </w:tc>
                    <w:tc>
                      <w:tcPr>
                        <w:tcW w:w="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6"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1338" w:hRule="exact"/>
                    </w:trPr>
                    <w:tc>
                      <w:tcPr>
                        <w:tcW w:w="16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153"/>
                          <w:jc w:val="left"/>
                          <w:rPr>
                            <w:rFonts w:ascii="宋体" w:hAnsi="宋体" w:cs="宋体" w:eastAsia="宋体" w:hint="default"/>
                            <w:sz w:val="18"/>
                            <w:szCs w:val="18"/>
                          </w:rPr>
                        </w:pPr>
                        <w:r>
                          <w:rPr>
                            <w:rFonts w:ascii="宋体" w:hAnsi="宋体" w:cs="宋体" w:eastAsia="宋体" w:hint="default"/>
                            <w:sz w:val="18"/>
                            <w:szCs w:val="18"/>
                          </w:rPr>
                          <w:t>北京神州泰岳系统 集成有限公司</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6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15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48" w:type="dxa"/>
                        <w:vMerge/>
                        <w:tcBorders>
                          <w:left w:val="single" w:sz="4" w:space="0" w:color="000000"/>
                          <w:right w:val="single" w:sz="4" w:space="0" w:color="000000"/>
                        </w:tcBorders>
                      </w:tcPr>
                      <w:p>
                        <w:pP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9"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22</w:t>
                        </w:r>
                      </w:p>
                      <w:p>
                        <w:pPr>
                          <w:pStyle w:val="TableParagraph"/>
                          <w:spacing w:line="240" w:lineRule="auto" w:before="63"/>
                          <w:ind w:left="7"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9"/>
                          <w:jc w:val="right"/>
                          <w:rPr>
                            <w:rFonts w:ascii="Times New Roman" w:hAnsi="Times New Roman" w:cs="Times New Roman" w:eastAsia="Times New Roman" w:hint="default"/>
                            <w:sz w:val="18"/>
                            <w:szCs w:val="18"/>
                          </w:rPr>
                        </w:pPr>
                        <w:r>
                          <w:rPr>
                            <w:rFonts w:ascii="Times New Roman"/>
                            <w:sz w:val="18"/>
                          </w:rPr>
                          <w:t>0</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35" w:right="8" w:hanging="2"/>
                          <w:jc w:val="center"/>
                          <w:rPr>
                            <w:rFonts w:ascii="宋体" w:hAnsi="宋体" w:cs="宋体" w:eastAsia="宋体" w:hint="default"/>
                            <w:sz w:val="18"/>
                            <w:szCs w:val="18"/>
                          </w:rPr>
                        </w:pPr>
                        <w:r>
                          <w:rPr>
                            <w:rFonts w:ascii="宋体" w:hAnsi="宋体" w:cs="宋体" w:eastAsia="宋体" w:hint="default"/>
                            <w:sz w:val="18"/>
                            <w:szCs w:val="18"/>
                          </w:rPr>
                          <w:t>连带责任保 </w:t>
                        </w:r>
                        <w:r>
                          <w:rPr>
                            <w:rFonts w:ascii="宋体" w:hAnsi="宋体" w:cs="宋体" w:eastAsia="宋体" w:hint="default"/>
                            <w:spacing w:val="-5"/>
                            <w:sz w:val="18"/>
                            <w:szCs w:val="18"/>
                          </w:rPr>
                          <w:t>证，与母公司</w:t>
                        </w:r>
                        <w:r>
                          <w:rPr>
                            <w:rFonts w:ascii="宋体" w:hAnsi="宋体" w:cs="宋体" w:eastAsia="宋体" w:hint="default"/>
                            <w:sz w:val="18"/>
                            <w:szCs w:val="18"/>
                          </w:rPr>
                          <w:t> 共用授信额 度</w:t>
                        </w:r>
                      </w:p>
                    </w:tc>
                    <w:tc>
                      <w:tcPr>
                        <w:tcW w:w="1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right="325"/>
                          <w:jc w:val="right"/>
                          <w:rPr>
                            <w:rFonts w:ascii="宋体" w:hAnsi="宋体" w:cs="宋体" w:eastAsia="宋体" w:hint="default"/>
                            <w:sz w:val="18"/>
                            <w:szCs w:val="18"/>
                          </w:rPr>
                        </w:pPr>
                        <w:r>
                          <w:rPr>
                            <w:rFonts w:ascii="宋体" w:hAnsi="宋体" w:cs="宋体" w:eastAsia="宋体" w:hint="default"/>
                            <w:sz w:val="18"/>
                            <w:szCs w:val="18"/>
                          </w:rPr>
                          <w:t>一年</w:t>
                        </w:r>
                      </w:p>
                    </w:tc>
                    <w:tc>
                      <w:tcPr>
                        <w:tcW w:w="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6"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1338" w:hRule="exact"/>
                    </w:trPr>
                    <w:tc>
                      <w:tcPr>
                        <w:tcW w:w="16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23"/>
                          <w:jc w:val="left"/>
                          <w:rPr>
                            <w:rFonts w:ascii="宋体" w:hAnsi="宋体" w:cs="宋体" w:eastAsia="宋体" w:hint="default"/>
                            <w:sz w:val="18"/>
                            <w:szCs w:val="18"/>
                          </w:rPr>
                        </w:pPr>
                        <w:r>
                          <w:rPr>
                            <w:rFonts w:ascii="宋体" w:hAnsi="宋体" w:cs="宋体" w:eastAsia="宋体" w:hint="default"/>
                            <w:spacing w:val="-6"/>
                            <w:sz w:val="18"/>
                            <w:szCs w:val="18"/>
                          </w:rPr>
                          <w:t>中科鼎富（北京）科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技发展有限公司</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6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15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48" w:type="dxa"/>
                        <w:vMerge/>
                        <w:tcBorders>
                          <w:left w:val="single" w:sz="4" w:space="0" w:color="000000"/>
                          <w:bottom w:val="single" w:sz="4" w:space="0" w:color="000000"/>
                          <w:right w:val="single" w:sz="4" w:space="0" w:color="000000"/>
                        </w:tcBorders>
                      </w:tcPr>
                      <w:p>
                        <w:pP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9"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22</w:t>
                        </w:r>
                      </w:p>
                      <w:p>
                        <w:pPr>
                          <w:pStyle w:val="TableParagraph"/>
                          <w:spacing w:line="240" w:lineRule="auto" w:before="63"/>
                          <w:ind w:left="7"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9"/>
                          <w:jc w:val="right"/>
                          <w:rPr>
                            <w:rFonts w:ascii="Times New Roman" w:hAnsi="Times New Roman" w:cs="Times New Roman" w:eastAsia="Times New Roman" w:hint="default"/>
                            <w:sz w:val="18"/>
                            <w:szCs w:val="18"/>
                          </w:rPr>
                        </w:pPr>
                        <w:r>
                          <w:rPr>
                            <w:rFonts w:ascii="Times New Roman"/>
                            <w:sz w:val="18"/>
                          </w:rPr>
                          <w:t>0</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35" w:right="8" w:hanging="2"/>
                          <w:jc w:val="center"/>
                          <w:rPr>
                            <w:rFonts w:ascii="宋体" w:hAnsi="宋体" w:cs="宋体" w:eastAsia="宋体" w:hint="default"/>
                            <w:sz w:val="18"/>
                            <w:szCs w:val="18"/>
                          </w:rPr>
                        </w:pPr>
                        <w:r>
                          <w:rPr>
                            <w:rFonts w:ascii="宋体" w:hAnsi="宋体" w:cs="宋体" w:eastAsia="宋体" w:hint="default"/>
                            <w:sz w:val="18"/>
                            <w:szCs w:val="18"/>
                          </w:rPr>
                          <w:t>连带责任保 </w:t>
                        </w:r>
                        <w:r>
                          <w:rPr>
                            <w:rFonts w:ascii="宋体" w:hAnsi="宋体" w:cs="宋体" w:eastAsia="宋体" w:hint="default"/>
                            <w:spacing w:val="-5"/>
                            <w:sz w:val="18"/>
                            <w:szCs w:val="18"/>
                          </w:rPr>
                          <w:t>证，与母公司</w:t>
                        </w:r>
                        <w:r>
                          <w:rPr>
                            <w:rFonts w:ascii="宋体" w:hAnsi="宋体" w:cs="宋体" w:eastAsia="宋体" w:hint="default"/>
                            <w:sz w:val="18"/>
                            <w:szCs w:val="18"/>
                          </w:rPr>
                          <w:t> 共用授信额 度</w:t>
                        </w:r>
                      </w:p>
                    </w:tc>
                    <w:tc>
                      <w:tcPr>
                        <w:tcW w:w="1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right="325"/>
                          <w:jc w:val="right"/>
                          <w:rPr>
                            <w:rFonts w:ascii="宋体" w:hAnsi="宋体" w:cs="宋体" w:eastAsia="宋体" w:hint="default"/>
                            <w:sz w:val="18"/>
                            <w:szCs w:val="18"/>
                          </w:rPr>
                        </w:pPr>
                        <w:r>
                          <w:rPr>
                            <w:rFonts w:ascii="宋体" w:hAnsi="宋体" w:cs="宋体" w:eastAsia="宋体" w:hint="default"/>
                            <w:sz w:val="18"/>
                            <w:szCs w:val="18"/>
                          </w:rPr>
                          <w:t>一年</w:t>
                        </w:r>
                      </w:p>
                    </w:tc>
                    <w:tc>
                      <w:tcPr>
                        <w:tcW w:w="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6"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8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256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89"/>
                          <w:jc w:val="left"/>
                          <w:rPr>
                            <w:rFonts w:ascii="宋体" w:hAnsi="宋体" w:cs="宋体" w:eastAsia="宋体" w:hint="default"/>
                            <w:sz w:val="18"/>
                            <w:szCs w:val="18"/>
                          </w:rPr>
                        </w:pPr>
                        <w:r>
                          <w:rPr>
                            <w:rFonts w:ascii="宋体" w:hAnsi="宋体" w:cs="宋体" w:eastAsia="宋体" w:hint="default"/>
                            <w:sz w:val="18"/>
                            <w:szCs w:val="18"/>
                          </w:rPr>
                          <w:t>报告期内审批对子公司担保额 度合计（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2192"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0</w:t>
                        </w:r>
                      </w:p>
                    </w:tc>
                    <w:tc>
                      <w:tcPr>
                        <w:tcW w:w="228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9" w:right="94"/>
                          <w:jc w:val="left"/>
                          <w:rPr>
                            <w:rFonts w:ascii="宋体" w:hAnsi="宋体" w:cs="宋体" w:eastAsia="宋体" w:hint="default"/>
                            <w:sz w:val="18"/>
                            <w:szCs w:val="18"/>
                          </w:rPr>
                        </w:pPr>
                        <w:r>
                          <w:rPr>
                            <w:rFonts w:ascii="宋体" w:hAnsi="宋体" w:cs="宋体" w:eastAsia="宋体" w:hint="default"/>
                            <w:sz w:val="18"/>
                            <w:szCs w:val="18"/>
                          </w:rPr>
                          <w:t>报告期内对子公司担保实际 发生额合计（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2654"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29,000</w:t>
                        </w:r>
                      </w:p>
                    </w:tc>
                  </w:tr>
                  <w:tr>
                    <w:trPr>
                      <w:trHeight w:val="719" w:hRule="exact"/>
                    </w:trPr>
                    <w:tc>
                      <w:tcPr>
                        <w:tcW w:w="256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89"/>
                          <w:jc w:val="left"/>
                          <w:rPr>
                            <w:rFonts w:ascii="宋体" w:hAnsi="宋体" w:cs="宋体" w:eastAsia="宋体" w:hint="default"/>
                            <w:sz w:val="18"/>
                            <w:szCs w:val="18"/>
                          </w:rPr>
                        </w:pPr>
                        <w:r>
                          <w:rPr>
                            <w:rFonts w:ascii="宋体" w:hAnsi="宋体" w:cs="宋体" w:eastAsia="宋体" w:hint="default"/>
                            <w:sz w:val="18"/>
                            <w:szCs w:val="18"/>
                          </w:rPr>
                          <w:t>报告期末已审批的对子公司担 保额度合计（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192"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0</w:t>
                        </w:r>
                      </w:p>
                    </w:tc>
                    <w:tc>
                      <w:tcPr>
                        <w:tcW w:w="228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9" w:right="94"/>
                          <w:jc w:val="left"/>
                          <w:rPr>
                            <w:rFonts w:ascii="宋体" w:hAnsi="宋体" w:cs="宋体" w:eastAsia="宋体" w:hint="default"/>
                            <w:sz w:val="18"/>
                            <w:szCs w:val="18"/>
                          </w:rPr>
                        </w:pPr>
                        <w:r>
                          <w:rPr>
                            <w:rFonts w:ascii="宋体" w:hAnsi="宋体" w:cs="宋体" w:eastAsia="宋体" w:hint="default"/>
                            <w:sz w:val="18"/>
                            <w:szCs w:val="18"/>
                          </w:rPr>
                          <w:t>报告期末对子公司实际担保 余额合计（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654"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24,000</w:t>
                        </w:r>
                      </w:p>
                    </w:tc>
                  </w:tr>
                  <w:tr>
                    <w:trPr>
                      <w:trHeight w:val="392" w:hRule="exact"/>
                    </w:trPr>
                    <w:tc>
                      <w:tcPr>
                        <w:tcW w:w="969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子公司对子公司的担保情况</w:t>
                        </w:r>
                      </w:p>
                    </w:tc>
                  </w:tr>
                  <w:tr>
                    <w:trPr>
                      <w:trHeight w:val="166" w:hRule="exact"/>
                    </w:trPr>
                    <w:tc>
                      <w:tcPr>
                        <w:tcW w:w="1628" w:type="dxa"/>
                        <w:vMerge w:val="restart"/>
                        <w:tcBorders>
                          <w:top w:val="single" w:sz="4" w:space="0" w:color="000000"/>
                          <w:left w:val="single" w:sz="4" w:space="0" w:color="000000"/>
                          <w:right w:val="single" w:sz="4" w:space="0" w:color="000000"/>
                        </w:tcBorders>
                        <w:shd w:val="clear" w:color="auto" w:fill="D2D2D2"/>
                      </w:tcPr>
                      <w:p>
                        <w:pPr/>
                      </w:p>
                    </w:tc>
                    <w:tc>
                      <w:tcPr>
                        <w:tcW w:w="93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95" w:right="108"/>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48" w:type="dxa"/>
                        <w:vMerge w:val="restart"/>
                        <w:tcBorders>
                          <w:top w:val="single" w:sz="4" w:space="0" w:color="000000"/>
                          <w:left w:val="single" w:sz="4" w:space="0" w:color="000000"/>
                          <w:right w:val="single" w:sz="4" w:space="0" w:color="000000"/>
                        </w:tcBorders>
                        <w:shd w:val="clear" w:color="auto" w:fill="D2D2D2"/>
                      </w:tcPr>
                      <w:p>
                        <w:pPr/>
                      </w:p>
                    </w:tc>
                    <w:tc>
                      <w:tcPr>
                        <w:tcW w:w="1243" w:type="dxa"/>
                        <w:vMerge w:val="restart"/>
                        <w:tcBorders>
                          <w:top w:val="single" w:sz="4" w:space="0" w:color="000000"/>
                          <w:left w:val="single" w:sz="4" w:space="0" w:color="000000"/>
                          <w:right w:val="single" w:sz="4" w:space="0" w:color="000000"/>
                        </w:tcBorders>
                        <w:shd w:val="clear" w:color="auto" w:fill="D2D2D2"/>
                      </w:tcPr>
                      <w:p>
                        <w:pPr/>
                      </w:p>
                    </w:tc>
                    <w:tc>
                      <w:tcPr>
                        <w:tcW w:w="1178" w:type="dxa"/>
                        <w:vMerge w:val="restart"/>
                        <w:tcBorders>
                          <w:top w:val="single" w:sz="4" w:space="0" w:color="000000"/>
                          <w:left w:val="single" w:sz="4" w:space="0" w:color="000000"/>
                          <w:right w:val="single" w:sz="4" w:space="0" w:color="000000"/>
                        </w:tcBorders>
                        <w:shd w:val="clear" w:color="auto" w:fill="D2D2D2"/>
                      </w:tcPr>
                      <w:p>
                        <w:pPr/>
                      </w:p>
                    </w:tc>
                    <w:tc>
                      <w:tcPr>
                        <w:tcW w:w="1108" w:type="dxa"/>
                        <w:vMerge w:val="restart"/>
                        <w:tcBorders>
                          <w:top w:val="single" w:sz="4" w:space="0" w:color="000000"/>
                          <w:left w:val="single" w:sz="4" w:space="0" w:color="000000"/>
                          <w:right w:val="single" w:sz="4" w:space="0" w:color="000000"/>
                        </w:tcBorders>
                        <w:shd w:val="clear" w:color="auto" w:fill="D2D2D2"/>
                      </w:tcPr>
                      <w:p>
                        <w:pPr/>
                      </w:p>
                    </w:tc>
                    <w:tc>
                      <w:tcPr>
                        <w:tcW w:w="1038" w:type="dxa"/>
                        <w:vMerge w:val="restart"/>
                        <w:tcBorders>
                          <w:top w:val="single" w:sz="4" w:space="0" w:color="000000"/>
                          <w:left w:val="single" w:sz="4" w:space="0" w:color="000000"/>
                          <w:right w:val="single" w:sz="4" w:space="0" w:color="000000"/>
                        </w:tcBorders>
                        <w:shd w:val="clear" w:color="auto" w:fill="D2D2D2"/>
                      </w:tcPr>
                      <w:p>
                        <w:pPr/>
                      </w:p>
                    </w:tc>
                    <w:tc>
                      <w:tcPr>
                        <w:tcW w:w="812" w:type="dxa"/>
                        <w:tcBorders>
                          <w:top w:val="single" w:sz="4" w:space="0" w:color="000000"/>
                          <w:left w:val="single" w:sz="4" w:space="0" w:color="000000"/>
                          <w:bottom w:val="nil" w:sz="6" w:space="0" w:color="auto"/>
                          <w:right w:val="single" w:sz="4" w:space="0" w:color="000000"/>
                        </w:tcBorders>
                        <w:shd w:val="clear" w:color="auto" w:fill="D2D2D2"/>
                      </w:tcPr>
                      <w:p>
                        <w:pPr/>
                      </w:p>
                    </w:tc>
                    <w:tc>
                      <w:tcPr>
                        <w:tcW w:w="80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6" w:hRule="exact"/>
                    </w:trPr>
                    <w:tc>
                      <w:tcPr>
                        <w:tcW w:w="1628" w:type="dxa"/>
                        <w:vMerge/>
                        <w:tcBorders>
                          <w:left w:val="single" w:sz="4" w:space="0" w:color="000000"/>
                          <w:bottom w:val="nil" w:sz="6" w:space="0" w:color="auto"/>
                          <w:right w:val="single" w:sz="4" w:space="0" w:color="000000"/>
                        </w:tcBorders>
                        <w:shd w:val="clear" w:color="auto" w:fill="D2D2D2"/>
                      </w:tcPr>
                      <w:p>
                        <w:pPr/>
                      </w:p>
                    </w:tc>
                    <w:tc>
                      <w:tcPr>
                        <w:tcW w:w="936" w:type="dxa"/>
                        <w:vMerge/>
                        <w:tcBorders>
                          <w:left w:val="single" w:sz="4" w:space="0" w:color="000000"/>
                          <w:right w:val="single" w:sz="4" w:space="0" w:color="000000"/>
                        </w:tcBorders>
                        <w:shd w:val="clear" w:color="auto" w:fill="D2D2D2"/>
                      </w:tcPr>
                      <w:p>
                        <w:pPr/>
                      </w:p>
                    </w:tc>
                    <w:tc>
                      <w:tcPr>
                        <w:tcW w:w="948" w:type="dxa"/>
                        <w:vMerge/>
                        <w:tcBorders>
                          <w:left w:val="single" w:sz="4" w:space="0" w:color="000000"/>
                          <w:bottom w:val="nil" w:sz="6" w:space="0" w:color="auto"/>
                          <w:right w:val="single" w:sz="4" w:space="0" w:color="000000"/>
                        </w:tcBorders>
                        <w:shd w:val="clear" w:color="auto" w:fill="D2D2D2"/>
                      </w:tcPr>
                      <w:p>
                        <w:pPr/>
                      </w:p>
                    </w:tc>
                    <w:tc>
                      <w:tcPr>
                        <w:tcW w:w="1243" w:type="dxa"/>
                        <w:vMerge/>
                        <w:tcBorders>
                          <w:left w:val="single" w:sz="4" w:space="0" w:color="000000"/>
                          <w:bottom w:val="nil" w:sz="6" w:space="0" w:color="auto"/>
                          <w:right w:val="single" w:sz="4" w:space="0" w:color="000000"/>
                        </w:tcBorders>
                        <w:shd w:val="clear" w:color="auto" w:fill="D2D2D2"/>
                      </w:tcPr>
                      <w:p>
                        <w:pPr/>
                      </w:p>
                    </w:tc>
                    <w:tc>
                      <w:tcPr>
                        <w:tcW w:w="1178" w:type="dxa"/>
                        <w:vMerge/>
                        <w:tcBorders>
                          <w:left w:val="single" w:sz="4" w:space="0" w:color="000000"/>
                          <w:bottom w:val="nil" w:sz="6" w:space="0" w:color="auto"/>
                          <w:right w:val="single" w:sz="4" w:space="0" w:color="000000"/>
                        </w:tcBorders>
                        <w:shd w:val="clear" w:color="auto" w:fill="D2D2D2"/>
                      </w:tcPr>
                      <w:p>
                        <w:pPr/>
                      </w:p>
                    </w:tc>
                    <w:tc>
                      <w:tcPr>
                        <w:tcW w:w="1108" w:type="dxa"/>
                        <w:vMerge/>
                        <w:tcBorders>
                          <w:left w:val="single" w:sz="4" w:space="0" w:color="000000"/>
                          <w:bottom w:val="nil" w:sz="6" w:space="0" w:color="auto"/>
                          <w:right w:val="single" w:sz="4" w:space="0" w:color="000000"/>
                        </w:tcBorders>
                        <w:shd w:val="clear" w:color="auto" w:fill="D2D2D2"/>
                      </w:tcPr>
                      <w:p>
                        <w:pPr/>
                      </w:p>
                    </w:tc>
                    <w:tc>
                      <w:tcPr>
                        <w:tcW w:w="1038" w:type="dxa"/>
                        <w:vMerge/>
                        <w:tcBorders>
                          <w:left w:val="single" w:sz="4" w:space="0" w:color="000000"/>
                          <w:bottom w:val="nil" w:sz="6" w:space="0" w:color="auto"/>
                          <w:right w:val="single" w:sz="4" w:space="0" w:color="000000"/>
                        </w:tcBorders>
                        <w:shd w:val="clear" w:color="auto" w:fill="D2D2D2"/>
                      </w:tcPr>
                      <w:p>
                        <w:pPr/>
                      </w:p>
                    </w:tc>
                    <w:tc>
                      <w:tcPr>
                        <w:tcW w:w="812"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19" w:right="41"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80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33" w:right="38"/>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392" w:hRule="exact"/>
                    </w:trPr>
                    <w:tc>
                      <w:tcPr>
                        <w:tcW w:w="162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8"/>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36" w:type="dxa"/>
                        <w:vMerge/>
                        <w:tcBorders>
                          <w:left w:val="single" w:sz="4" w:space="0" w:color="000000"/>
                          <w:right w:val="single" w:sz="4" w:space="0" w:color="000000"/>
                        </w:tcBorders>
                        <w:shd w:val="clear" w:color="auto" w:fill="D2D2D2"/>
                      </w:tcPr>
                      <w:p>
                        <w:pPr/>
                      </w:p>
                    </w:tc>
                    <w:tc>
                      <w:tcPr>
                        <w:tcW w:w="94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00"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4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49"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17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70"/>
                          <w:jc w:val="right"/>
                          <w:rPr>
                            <w:rFonts w:ascii="宋体" w:hAnsi="宋体" w:cs="宋体" w:eastAsia="宋体" w:hint="default"/>
                            <w:sz w:val="18"/>
                            <w:szCs w:val="18"/>
                          </w:rPr>
                        </w:pPr>
                        <w:r>
                          <w:rPr>
                            <w:rFonts w:ascii="宋体" w:hAnsi="宋体" w:cs="宋体" w:eastAsia="宋体" w:hint="default"/>
                            <w:sz w:val="18"/>
                            <w:szCs w:val="18"/>
                          </w:rPr>
                          <w:t>实际担保金额</w:t>
                        </w:r>
                      </w:p>
                    </w:tc>
                    <w:tc>
                      <w:tcPr>
                        <w:tcW w:w="110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60"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3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264"/>
                          <w:jc w:val="right"/>
                          <w:rPr>
                            <w:rFonts w:ascii="宋体" w:hAnsi="宋体" w:cs="宋体" w:eastAsia="宋体" w:hint="default"/>
                            <w:sz w:val="18"/>
                            <w:szCs w:val="18"/>
                          </w:rPr>
                        </w:pPr>
                        <w:r>
                          <w:rPr>
                            <w:rFonts w:ascii="宋体" w:hAnsi="宋体" w:cs="宋体" w:eastAsia="宋体" w:hint="default"/>
                            <w:sz w:val="18"/>
                            <w:szCs w:val="18"/>
                          </w:rPr>
                          <w:t>担保期</w:t>
                        </w:r>
                      </w:p>
                    </w:tc>
                    <w:tc>
                      <w:tcPr>
                        <w:tcW w:w="812" w:type="dxa"/>
                        <w:vMerge/>
                        <w:tcBorders>
                          <w:left w:val="single" w:sz="4" w:space="0" w:color="000000"/>
                          <w:right w:val="single" w:sz="4" w:space="0" w:color="000000"/>
                        </w:tcBorders>
                        <w:shd w:val="clear" w:color="auto" w:fill="D2D2D2"/>
                      </w:tcPr>
                      <w:p>
                        <w:pPr/>
                      </w:p>
                    </w:tc>
                    <w:tc>
                      <w:tcPr>
                        <w:tcW w:w="804" w:type="dxa"/>
                        <w:vMerge/>
                        <w:tcBorders>
                          <w:left w:val="single" w:sz="4" w:space="0" w:color="000000"/>
                          <w:right w:val="single" w:sz="4" w:space="0" w:color="000000"/>
                        </w:tcBorders>
                        <w:shd w:val="clear" w:color="auto" w:fill="D2D2D2"/>
                      </w:tcPr>
                      <w:p>
                        <w:pPr/>
                      </w:p>
                    </w:tc>
                  </w:tr>
                  <w:tr>
                    <w:trPr>
                      <w:trHeight w:val="156" w:hRule="exact"/>
                    </w:trPr>
                    <w:tc>
                      <w:tcPr>
                        <w:tcW w:w="1628" w:type="dxa"/>
                        <w:vMerge w:val="restart"/>
                        <w:tcBorders>
                          <w:top w:val="nil" w:sz="6" w:space="0" w:color="auto"/>
                          <w:left w:val="single" w:sz="4" w:space="0" w:color="000000"/>
                          <w:right w:val="single" w:sz="4" w:space="0" w:color="000000"/>
                        </w:tcBorders>
                        <w:shd w:val="clear" w:color="auto" w:fill="D2D2D2"/>
                      </w:tcPr>
                      <w:p>
                        <w:pPr/>
                      </w:p>
                    </w:tc>
                    <w:tc>
                      <w:tcPr>
                        <w:tcW w:w="936" w:type="dxa"/>
                        <w:vMerge/>
                        <w:tcBorders>
                          <w:left w:val="single" w:sz="4" w:space="0" w:color="000000"/>
                          <w:right w:val="single" w:sz="4" w:space="0" w:color="000000"/>
                        </w:tcBorders>
                        <w:shd w:val="clear" w:color="auto" w:fill="D2D2D2"/>
                      </w:tcPr>
                      <w:p>
                        <w:pPr/>
                      </w:p>
                    </w:tc>
                    <w:tc>
                      <w:tcPr>
                        <w:tcW w:w="948" w:type="dxa"/>
                        <w:vMerge w:val="restart"/>
                        <w:tcBorders>
                          <w:top w:val="nil" w:sz="6" w:space="0" w:color="auto"/>
                          <w:left w:val="single" w:sz="4" w:space="0" w:color="000000"/>
                          <w:right w:val="single" w:sz="4" w:space="0" w:color="000000"/>
                        </w:tcBorders>
                        <w:shd w:val="clear" w:color="auto" w:fill="D2D2D2"/>
                      </w:tcPr>
                      <w:p>
                        <w:pPr/>
                      </w:p>
                    </w:tc>
                    <w:tc>
                      <w:tcPr>
                        <w:tcW w:w="1243" w:type="dxa"/>
                        <w:vMerge w:val="restart"/>
                        <w:tcBorders>
                          <w:top w:val="nil" w:sz="6" w:space="0" w:color="auto"/>
                          <w:left w:val="single" w:sz="4" w:space="0" w:color="000000"/>
                          <w:right w:val="single" w:sz="4" w:space="0" w:color="000000"/>
                        </w:tcBorders>
                        <w:shd w:val="clear" w:color="auto" w:fill="D2D2D2"/>
                      </w:tcPr>
                      <w:p>
                        <w:pPr/>
                      </w:p>
                    </w:tc>
                    <w:tc>
                      <w:tcPr>
                        <w:tcW w:w="1178" w:type="dxa"/>
                        <w:vMerge w:val="restart"/>
                        <w:tcBorders>
                          <w:top w:val="nil" w:sz="6" w:space="0" w:color="auto"/>
                          <w:left w:val="single" w:sz="4" w:space="0" w:color="000000"/>
                          <w:right w:val="single" w:sz="4" w:space="0" w:color="000000"/>
                        </w:tcBorders>
                        <w:shd w:val="clear" w:color="auto" w:fill="D2D2D2"/>
                      </w:tcPr>
                      <w:p>
                        <w:pPr/>
                      </w:p>
                    </w:tc>
                    <w:tc>
                      <w:tcPr>
                        <w:tcW w:w="1108" w:type="dxa"/>
                        <w:vMerge w:val="restart"/>
                        <w:tcBorders>
                          <w:top w:val="nil" w:sz="6" w:space="0" w:color="auto"/>
                          <w:left w:val="single" w:sz="4" w:space="0" w:color="000000"/>
                          <w:right w:val="single" w:sz="4" w:space="0" w:color="000000"/>
                        </w:tcBorders>
                        <w:shd w:val="clear" w:color="auto" w:fill="D2D2D2"/>
                      </w:tcPr>
                      <w:p>
                        <w:pPr/>
                      </w:p>
                    </w:tc>
                    <w:tc>
                      <w:tcPr>
                        <w:tcW w:w="1038" w:type="dxa"/>
                        <w:vMerge w:val="restart"/>
                        <w:tcBorders>
                          <w:top w:val="nil" w:sz="6" w:space="0" w:color="auto"/>
                          <w:left w:val="single" w:sz="4" w:space="0" w:color="000000"/>
                          <w:right w:val="single" w:sz="4" w:space="0" w:color="000000"/>
                        </w:tcBorders>
                        <w:shd w:val="clear" w:color="auto" w:fill="D2D2D2"/>
                      </w:tcPr>
                      <w:p>
                        <w:pPr/>
                      </w:p>
                    </w:tc>
                    <w:tc>
                      <w:tcPr>
                        <w:tcW w:w="812" w:type="dxa"/>
                        <w:vMerge/>
                        <w:tcBorders>
                          <w:left w:val="single" w:sz="4" w:space="0" w:color="000000"/>
                          <w:bottom w:val="nil" w:sz="6" w:space="0" w:color="auto"/>
                          <w:right w:val="single" w:sz="4" w:space="0" w:color="000000"/>
                        </w:tcBorders>
                        <w:shd w:val="clear" w:color="auto" w:fill="D2D2D2"/>
                      </w:tcPr>
                      <w:p>
                        <w:pPr/>
                      </w:p>
                    </w:tc>
                    <w:tc>
                      <w:tcPr>
                        <w:tcW w:w="804" w:type="dxa"/>
                        <w:vMerge/>
                        <w:tcBorders>
                          <w:left w:val="single" w:sz="4" w:space="0" w:color="000000"/>
                          <w:bottom w:val="nil" w:sz="6" w:space="0" w:color="auto"/>
                          <w:right w:val="single" w:sz="4" w:space="0" w:color="000000"/>
                        </w:tcBorders>
                        <w:shd w:val="clear" w:color="auto" w:fill="D2D2D2"/>
                      </w:tcPr>
                      <w:p>
                        <w:pPr/>
                      </w:p>
                    </w:tc>
                  </w:tr>
                  <w:tr>
                    <w:trPr>
                      <w:trHeight w:val="161" w:hRule="exact"/>
                    </w:trPr>
                    <w:tc>
                      <w:tcPr>
                        <w:tcW w:w="1628" w:type="dxa"/>
                        <w:vMerge/>
                        <w:tcBorders>
                          <w:left w:val="single" w:sz="4" w:space="0" w:color="000000"/>
                          <w:bottom w:val="single" w:sz="4" w:space="0" w:color="000000"/>
                          <w:right w:val="single" w:sz="4" w:space="0" w:color="000000"/>
                        </w:tcBorders>
                        <w:shd w:val="clear" w:color="auto" w:fill="D2D2D2"/>
                      </w:tcPr>
                      <w:p>
                        <w:pPr/>
                      </w:p>
                    </w:tc>
                    <w:tc>
                      <w:tcPr>
                        <w:tcW w:w="936" w:type="dxa"/>
                        <w:vMerge/>
                        <w:tcBorders>
                          <w:left w:val="single" w:sz="4" w:space="0" w:color="000000"/>
                          <w:bottom w:val="single" w:sz="4" w:space="0" w:color="000000"/>
                          <w:right w:val="single" w:sz="4" w:space="0" w:color="000000"/>
                        </w:tcBorders>
                        <w:shd w:val="clear" w:color="auto" w:fill="D2D2D2"/>
                      </w:tcPr>
                      <w:p>
                        <w:pPr/>
                      </w:p>
                    </w:tc>
                    <w:tc>
                      <w:tcPr>
                        <w:tcW w:w="948" w:type="dxa"/>
                        <w:vMerge/>
                        <w:tcBorders>
                          <w:left w:val="single" w:sz="4" w:space="0" w:color="000000"/>
                          <w:bottom w:val="single" w:sz="4" w:space="0" w:color="000000"/>
                          <w:right w:val="single" w:sz="4" w:space="0" w:color="000000"/>
                        </w:tcBorders>
                        <w:shd w:val="clear" w:color="auto" w:fill="D2D2D2"/>
                      </w:tcPr>
                      <w:p>
                        <w:pPr/>
                      </w:p>
                    </w:tc>
                    <w:tc>
                      <w:tcPr>
                        <w:tcW w:w="1243" w:type="dxa"/>
                        <w:vMerge/>
                        <w:tcBorders>
                          <w:left w:val="single" w:sz="4" w:space="0" w:color="000000"/>
                          <w:bottom w:val="single" w:sz="4" w:space="0" w:color="000000"/>
                          <w:right w:val="single" w:sz="4" w:space="0" w:color="000000"/>
                        </w:tcBorders>
                        <w:shd w:val="clear" w:color="auto" w:fill="D2D2D2"/>
                      </w:tcPr>
                      <w:p>
                        <w:pPr/>
                      </w:p>
                    </w:tc>
                    <w:tc>
                      <w:tcPr>
                        <w:tcW w:w="1178" w:type="dxa"/>
                        <w:vMerge/>
                        <w:tcBorders>
                          <w:left w:val="single" w:sz="4" w:space="0" w:color="000000"/>
                          <w:bottom w:val="single" w:sz="4" w:space="0" w:color="000000"/>
                          <w:right w:val="single" w:sz="4" w:space="0" w:color="000000"/>
                        </w:tcBorders>
                        <w:shd w:val="clear" w:color="auto" w:fill="D2D2D2"/>
                      </w:tcPr>
                      <w:p>
                        <w:pPr/>
                      </w:p>
                    </w:tc>
                    <w:tc>
                      <w:tcPr>
                        <w:tcW w:w="1108" w:type="dxa"/>
                        <w:vMerge/>
                        <w:tcBorders>
                          <w:left w:val="single" w:sz="4" w:space="0" w:color="000000"/>
                          <w:bottom w:val="single" w:sz="4" w:space="0" w:color="000000"/>
                          <w:right w:val="single" w:sz="4" w:space="0" w:color="000000"/>
                        </w:tcBorders>
                        <w:shd w:val="clear" w:color="auto" w:fill="D2D2D2"/>
                      </w:tcPr>
                      <w:p>
                        <w:pPr/>
                      </w:p>
                    </w:tc>
                    <w:tc>
                      <w:tcPr>
                        <w:tcW w:w="1038" w:type="dxa"/>
                        <w:vMerge/>
                        <w:tcBorders>
                          <w:left w:val="single" w:sz="4" w:space="0" w:color="000000"/>
                          <w:bottom w:val="single" w:sz="4" w:space="0" w:color="000000"/>
                          <w:right w:val="single" w:sz="4" w:space="0" w:color="000000"/>
                        </w:tcBorders>
                        <w:shd w:val="clear" w:color="auto" w:fill="D2D2D2"/>
                      </w:tcPr>
                      <w:p>
                        <w:pPr/>
                      </w:p>
                    </w:tc>
                    <w:tc>
                      <w:tcPr>
                        <w:tcW w:w="812" w:type="dxa"/>
                        <w:tcBorders>
                          <w:top w:val="nil" w:sz="6" w:space="0" w:color="auto"/>
                          <w:left w:val="single" w:sz="4" w:space="0" w:color="000000"/>
                          <w:bottom w:val="single" w:sz="4" w:space="0" w:color="000000"/>
                          <w:right w:val="single" w:sz="4" w:space="0" w:color="000000"/>
                        </w:tcBorders>
                        <w:shd w:val="clear" w:color="auto" w:fill="D2D2D2"/>
                      </w:tcPr>
                      <w:p>
                        <w:pPr/>
                      </w:p>
                    </w:tc>
                    <w:tc>
                      <w:tcPr>
                        <w:tcW w:w="80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7"/>
                          <w:jc w:val="center"/>
                          <w:rPr>
                            <w:rFonts w:ascii="宋体" w:hAnsi="宋体" w:cs="宋体" w:eastAsia="宋体" w:hint="default"/>
                            <w:sz w:val="18"/>
                            <w:szCs w:val="18"/>
                          </w:rPr>
                        </w:pPr>
                        <w:r>
                          <w:rPr>
                            <w:rFonts w:ascii="宋体" w:hAnsi="宋体" w:cs="宋体" w:eastAsia="宋体" w:hint="default"/>
                            <w:sz w:val="18"/>
                            <w:szCs w:val="18"/>
                          </w:rPr>
                          <w:t>无</w:t>
                        </w:r>
                      </w:p>
                    </w:tc>
                    <w:tc>
                      <w:tcPr>
                        <w:tcW w:w="936" w:type="dxa"/>
                        <w:tcBorders>
                          <w:top w:val="single" w:sz="4" w:space="0" w:color="000000"/>
                          <w:left w:val="single" w:sz="4" w:space="0" w:color="000000"/>
                          <w:bottom w:val="single" w:sz="4" w:space="0" w:color="000000"/>
                          <w:right w:val="single" w:sz="4" w:space="0" w:color="000000"/>
                        </w:tcBorders>
                      </w:tcPr>
                      <w:p>
                        <w:pPr/>
                      </w:p>
                    </w:tc>
                    <w:tc>
                      <w:tcPr>
                        <w:tcW w:w="948" w:type="dxa"/>
                        <w:tcBorders>
                          <w:top w:val="single" w:sz="4" w:space="0" w:color="000000"/>
                          <w:left w:val="single" w:sz="4" w:space="0" w:color="000000"/>
                          <w:bottom w:val="single" w:sz="4" w:space="0" w:color="000000"/>
                          <w:right w:val="single" w:sz="4" w:space="0" w:color="000000"/>
                        </w:tcBorders>
                      </w:tcPr>
                      <w:p>
                        <w:pPr/>
                      </w:p>
                    </w:tc>
                    <w:tc>
                      <w:tcPr>
                        <w:tcW w:w="1243" w:type="dxa"/>
                        <w:tcBorders>
                          <w:top w:val="single" w:sz="4" w:space="0" w:color="000000"/>
                          <w:left w:val="single" w:sz="4" w:space="0" w:color="000000"/>
                          <w:bottom w:val="single" w:sz="4" w:space="0" w:color="000000"/>
                          <w:right w:val="single" w:sz="4" w:space="0" w:color="000000"/>
                        </w:tcBorders>
                      </w:tcPr>
                      <w:p>
                        <w:pPr/>
                      </w:p>
                    </w:tc>
                    <w:tc>
                      <w:tcPr>
                        <w:tcW w:w="1178"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c>
                      <w:tcPr>
                        <w:tcW w:w="1038" w:type="dxa"/>
                        <w:tcBorders>
                          <w:top w:val="single" w:sz="4" w:space="0" w:color="000000"/>
                          <w:left w:val="single" w:sz="4" w:space="0" w:color="000000"/>
                          <w:bottom w:val="single" w:sz="4" w:space="0" w:color="000000"/>
                          <w:right w:val="single" w:sz="4" w:space="0" w:color="000000"/>
                        </w:tcBorders>
                      </w:tcPr>
                      <w:p>
                        <w:pPr/>
                      </w:p>
                    </w:tc>
                    <w:tc>
                      <w:tcPr>
                        <w:tcW w:w="812" w:type="dxa"/>
                        <w:tcBorders>
                          <w:top w:val="single" w:sz="4" w:space="0" w:color="000000"/>
                          <w:left w:val="single" w:sz="4" w:space="0" w:color="000000"/>
                          <w:bottom w:val="single" w:sz="4" w:space="0" w:color="000000"/>
                          <w:right w:val="single" w:sz="4" w:space="0" w:color="000000"/>
                        </w:tcBorders>
                      </w:tcPr>
                      <w:p>
                        <w:pPr/>
                      </w:p>
                    </w:tc>
                    <w:tc>
                      <w:tcPr>
                        <w:tcW w:w="80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56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89"/>
                          <w:jc w:val="left"/>
                          <w:rPr>
                            <w:rFonts w:ascii="宋体" w:hAnsi="宋体" w:cs="宋体" w:eastAsia="宋体" w:hint="default"/>
                            <w:sz w:val="18"/>
                            <w:szCs w:val="18"/>
                          </w:rPr>
                        </w:pPr>
                        <w:r>
                          <w:rPr>
                            <w:rFonts w:ascii="宋体" w:hAnsi="宋体" w:cs="宋体" w:eastAsia="宋体" w:hint="default"/>
                            <w:sz w:val="18"/>
                            <w:szCs w:val="18"/>
                          </w:rPr>
                          <w:t>报告期内审批对子公司担保额 度合计（</w:t>
                        </w:r>
                        <w:r>
                          <w:rPr>
                            <w:rFonts w:ascii="Times New Roman" w:hAnsi="Times New Roman" w:cs="Times New Roman" w:eastAsia="Times New Roman" w:hint="default"/>
                            <w:sz w:val="18"/>
                            <w:szCs w:val="18"/>
                          </w:rPr>
                          <w:t>C1</w:t>
                        </w:r>
                        <w:r>
                          <w:rPr>
                            <w:rFonts w:ascii="宋体" w:hAnsi="宋体" w:cs="宋体" w:eastAsia="宋体" w:hint="default"/>
                            <w:sz w:val="18"/>
                            <w:szCs w:val="18"/>
                          </w:rPr>
                          <w:t>）</w:t>
                        </w:r>
                      </w:p>
                    </w:tc>
                    <w:tc>
                      <w:tcPr>
                        <w:tcW w:w="2192"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0</w:t>
                        </w:r>
                      </w:p>
                    </w:tc>
                    <w:tc>
                      <w:tcPr>
                        <w:tcW w:w="228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9" w:right="94"/>
                          <w:jc w:val="left"/>
                          <w:rPr>
                            <w:rFonts w:ascii="宋体" w:hAnsi="宋体" w:cs="宋体" w:eastAsia="宋体" w:hint="default"/>
                            <w:sz w:val="18"/>
                            <w:szCs w:val="18"/>
                          </w:rPr>
                        </w:pPr>
                        <w:r>
                          <w:rPr>
                            <w:rFonts w:ascii="宋体" w:hAnsi="宋体" w:cs="宋体" w:eastAsia="宋体" w:hint="default"/>
                            <w:sz w:val="18"/>
                            <w:szCs w:val="18"/>
                          </w:rPr>
                          <w:t>报告期内对子公司担保实际 发生额合计（</w:t>
                        </w:r>
                        <w:r>
                          <w:rPr>
                            <w:rFonts w:ascii="Times New Roman" w:hAnsi="Times New Roman" w:cs="Times New Roman" w:eastAsia="Times New Roman" w:hint="default"/>
                            <w:sz w:val="18"/>
                            <w:szCs w:val="18"/>
                          </w:rPr>
                          <w:t>C2</w:t>
                        </w:r>
                        <w:r>
                          <w:rPr>
                            <w:rFonts w:ascii="宋体" w:hAnsi="宋体" w:cs="宋体" w:eastAsia="宋体" w:hint="default"/>
                            <w:sz w:val="18"/>
                            <w:szCs w:val="18"/>
                          </w:rPr>
                          <w:t>）</w:t>
                        </w:r>
                      </w:p>
                    </w:tc>
                    <w:tc>
                      <w:tcPr>
                        <w:tcW w:w="2654"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719" w:hRule="exact"/>
                    </w:trPr>
                    <w:tc>
                      <w:tcPr>
                        <w:tcW w:w="256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89"/>
                          <w:jc w:val="left"/>
                          <w:rPr>
                            <w:rFonts w:ascii="宋体" w:hAnsi="宋体" w:cs="宋体" w:eastAsia="宋体" w:hint="default"/>
                            <w:sz w:val="18"/>
                            <w:szCs w:val="18"/>
                          </w:rPr>
                        </w:pPr>
                        <w:r>
                          <w:rPr>
                            <w:rFonts w:ascii="宋体" w:hAnsi="宋体" w:cs="宋体" w:eastAsia="宋体" w:hint="default"/>
                            <w:sz w:val="18"/>
                            <w:szCs w:val="18"/>
                          </w:rPr>
                          <w:t>报告期末已审批的对子公司担 保额度合计（</w:t>
                        </w:r>
                        <w:r>
                          <w:rPr>
                            <w:rFonts w:ascii="Times New Roman" w:hAnsi="Times New Roman" w:cs="Times New Roman" w:eastAsia="Times New Roman" w:hint="default"/>
                            <w:sz w:val="18"/>
                            <w:szCs w:val="18"/>
                          </w:rPr>
                          <w:t>C3</w:t>
                        </w:r>
                        <w:r>
                          <w:rPr>
                            <w:rFonts w:ascii="宋体" w:hAnsi="宋体" w:cs="宋体" w:eastAsia="宋体" w:hint="default"/>
                            <w:sz w:val="18"/>
                            <w:szCs w:val="18"/>
                          </w:rPr>
                          <w:t>）</w:t>
                        </w:r>
                      </w:p>
                    </w:tc>
                    <w:tc>
                      <w:tcPr>
                        <w:tcW w:w="2192"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0</w:t>
                        </w:r>
                      </w:p>
                    </w:tc>
                    <w:tc>
                      <w:tcPr>
                        <w:tcW w:w="228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9" w:right="94"/>
                          <w:jc w:val="left"/>
                          <w:rPr>
                            <w:rFonts w:ascii="宋体" w:hAnsi="宋体" w:cs="宋体" w:eastAsia="宋体" w:hint="default"/>
                            <w:sz w:val="18"/>
                            <w:szCs w:val="18"/>
                          </w:rPr>
                        </w:pPr>
                        <w:r>
                          <w:rPr>
                            <w:rFonts w:ascii="宋体" w:hAnsi="宋体" w:cs="宋体" w:eastAsia="宋体" w:hint="default"/>
                            <w:sz w:val="18"/>
                            <w:szCs w:val="18"/>
                          </w:rPr>
                          <w:t>报告期末对子公司实际担保 余额合计（</w:t>
                        </w:r>
                        <w:r>
                          <w:rPr>
                            <w:rFonts w:ascii="Times New Roman" w:hAnsi="Times New Roman" w:cs="Times New Roman" w:eastAsia="Times New Roman" w:hint="default"/>
                            <w:sz w:val="18"/>
                            <w:szCs w:val="18"/>
                          </w:rPr>
                          <w:t>C4</w:t>
                        </w:r>
                        <w:r>
                          <w:rPr>
                            <w:rFonts w:ascii="宋体" w:hAnsi="宋体" w:cs="宋体" w:eastAsia="宋体" w:hint="default"/>
                            <w:sz w:val="18"/>
                            <w:szCs w:val="18"/>
                          </w:rPr>
                          <w:t>）</w:t>
                        </w:r>
                      </w:p>
                    </w:tc>
                    <w:tc>
                      <w:tcPr>
                        <w:tcW w:w="2654"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392" w:hRule="exact"/>
                    </w:trPr>
                    <w:tc>
                      <w:tcPr>
                        <w:tcW w:w="969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公司担保总额（即前三大项的合计）</w:t>
                        </w:r>
                      </w:p>
                    </w:tc>
                  </w:tr>
                  <w:tr>
                    <w:trPr>
                      <w:trHeight w:val="719" w:hRule="exact"/>
                    </w:trPr>
                    <w:tc>
                      <w:tcPr>
                        <w:tcW w:w="256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A1+B1+C1</w:t>
                        </w:r>
                        <w:r>
                          <w:rPr>
                            <w:rFonts w:ascii="宋体" w:hAnsi="宋体" w:cs="宋体" w:eastAsia="宋体" w:hint="default"/>
                            <w:sz w:val="18"/>
                            <w:szCs w:val="18"/>
                          </w:rPr>
                          <w:t>）</w:t>
                        </w:r>
                      </w:p>
                    </w:tc>
                    <w:tc>
                      <w:tcPr>
                        <w:tcW w:w="2192"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0</w:t>
                        </w:r>
                      </w:p>
                    </w:tc>
                    <w:tc>
                      <w:tcPr>
                        <w:tcW w:w="228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6"/>
                          <w:ind w:left="19" w:right="94"/>
                          <w:jc w:val="left"/>
                          <w:rPr>
                            <w:rFonts w:ascii="宋体" w:hAnsi="宋体" w:cs="宋体" w:eastAsia="宋体" w:hint="default"/>
                            <w:sz w:val="18"/>
                            <w:szCs w:val="18"/>
                          </w:rPr>
                        </w:pPr>
                        <w:r>
                          <w:rPr>
                            <w:rFonts w:ascii="宋体" w:hAnsi="宋体" w:cs="宋体" w:eastAsia="宋体" w:hint="default"/>
                            <w:sz w:val="18"/>
                            <w:szCs w:val="18"/>
                          </w:rPr>
                          <w:t>报告期内担保实际发生额合 计（</w:t>
                        </w:r>
                        <w:r>
                          <w:rPr>
                            <w:rFonts w:ascii="Times New Roman" w:hAnsi="Times New Roman" w:cs="Times New Roman" w:eastAsia="Times New Roman" w:hint="default"/>
                            <w:sz w:val="18"/>
                            <w:szCs w:val="18"/>
                          </w:rPr>
                          <w:t>A2+B2+C2</w:t>
                        </w:r>
                        <w:r>
                          <w:rPr>
                            <w:rFonts w:ascii="宋体" w:hAnsi="宋体" w:cs="宋体" w:eastAsia="宋体" w:hint="default"/>
                            <w:sz w:val="18"/>
                            <w:szCs w:val="18"/>
                          </w:rPr>
                          <w:t>）</w:t>
                        </w:r>
                      </w:p>
                    </w:tc>
                    <w:tc>
                      <w:tcPr>
                        <w:tcW w:w="2654"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29,000</w:t>
                        </w:r>
                      </w:p>
                    </w:tc>
                  </w:tr>
                </w:tbl>
                <w:p>
                  <w:pPr/>
                </w:p>
              </w:txbxContent>
            </v:textbox>
            <w10:wrap type="none"/>
          </v:shape>
        </w:pict>
      </w:r>
    </w:p>
    <w:p>
      <w:pPr>
        <w:spacing w:after="0" w:line="240" w:lineRule="auto"/>
        <w:rPr>
          <w:rFonts w:ascii="Times New Roman" w:hAnsi="Times New Roman" w:cs="Times New Roman" w:eastAsia="Times New Roman" w:hint="default"/>
          <w:sz w:val="17"/>
          <w:szCs w:val="17"/>
        </w:rPr>
        <w:sectPr>
          <w:pgSz w:w="11910" w:h="16840"/>
          <w:pgMar w:header="851" w:footer="979" w:top="1460" w:bottom="1160" w:left="1000" w:right="0"/>
        </w:sectPr>
      </w:pPr>
    </w:p>
    <w:p>
      <w:pPr>
        <w:spacing w:line="240" w:lineRule="auto" w:before="7"/>
        <w:rPr>
          <w:rFonts w:ascii="Times New Roman" w:hAnsi="Times New Roman" w:cs="Times New Roman" w:eastAsia="Times New Roman" w:hint="default"/>
          <w:sz w:val="3"/>
          <w:szCs w:val="3"/>
        </w:rPr>
      </w:pPr>
    </w:p>
    <w:tbl>
      <w:tblPr>
        <w:tblW w:w="0" w:type="auto"/>
        <w:jc w:val="left"/>
        <w:tblInd w:w="113" w:type="dxa"/>
        <w:tblLayout w:type="fixed"/>
        <w:tblCellMar>
          <w:top w:w="0" w:type="dxa"/>
          <w:left w:w="0" w:type="dxa"/>
          <w:bottom w:w="0" w:type="dxa"/>
          <w:right w:w="0" w:type="dxa"/>
        </w:tblCellMar>
        <w:tblLook w:val="01E0"/>
      </w:tblPr>
      <w:tblGrid>
        <w:gridCol w:w="2550"/>
        <w:gridCol w:w="2189"/>
        <w:gridCol w:w="2292"/>
        <w:gridCol w:w="2651"/>
      </w:tblGrid>
      <w:tr>
        <w:trPr>
          <w:trHeight w:val="727" w:hRule="exact"/>
        </w:trPr>
        <w:tc>
          <w:tcPr>
            <w:tcW w:w="2550"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7"/>
              <w:ind w:left="11" w:right="187"/>
              <w:jc w:val="left"/>
              <w:rPr>
                <w:rFonts w:ascii="宋体" w:hAnsi="宋体" w:cs="宋体" w:eastAsia="宋体" w:hint="default"/>
                <w:sz w:val="18"/>
                <w:szCs w:val="18"/>
              </w:rPr>
            </w:pPr>
            <w:r>
              <w:rPr>
                <w:rFonts w:ascii="宋体" w:hAnsi="宋体" w:cs="宋体" w:eastAsia="宋体" w:hint="default"/>
                <w:sz w:val="18"/>
                <w:szCs w:val="18"/>
              </w:rPr>
              <w:t>报告期末已审批的担保额度合 计（</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2189" w:type="dxa"/>
            <w:tcBorders>
              <w:top w:val="single" w:sz="10" w:space="0" w:color="000000"/>
              <w:left w:val="single" w:sz="13" w:space="0" w:color="D2D2D2"/>
              <w:bottom w:val="single" w:sz="4" w:space="0" w:color="000000"/>
              <w:right w:val="single" w:sz="13" w:space="0" w:color="D2D2D2"/>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ind w:right="10"/>
              <w:jc w:val="right"/>
              <w:rPr>
                <w:rFonts w:ascii="Times New Roman" w:hAnsi="Times New Roman" w:cs="Times New Roman" w:eastAsia="Times New Roman" w:hint="default"/>
                <w:sz w:val="18"/>
                <w:szCs w:val="18"/>
              </w:rPr>
            </w:pPr>
            <w:r>
              <w:rPr>
                <w:rFonts w:ascii="Times New Roman"/>
                <w:sz w:val="18"/>
              </w:rPr>
              <w:t>0</w:t>
            </w:r>
          </w:p>
        </w:tc>
        <w:tc>
          <w:tcPr>
            <w:tcW w:w="229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3" w:right="0"/>
              <w:jc w:val="left"/>
              <w:rPr>
                <w:rFonts w:ascii="宋体" w:hAnsi="宋体" w:cs="宋体" w:eastAsia="宋体" w:hint="default"/>
                <w:sz w:val="18"/>
                <w:szCs w:val="18"/>
              </w:rPr>
            </w:pPr>
            <w:r>
              <w:rPr>
                <w:rFonts w:ascii="宋体" w:hAnsi="宋体" w:cs="宋体" w:eastAsia="宋体" w:hint="default"/>
                <w:sz w:val="18"/>
                <w:szCs w:val="18"/>
              </w:rPr>
              <w:t>报告期末实际担保余额合计</w:t>
            </w:r>
          </w:p>
          <w:p>
            <w:pPr>
              <w:pStyle w:val="TableParagraph"/>
              <w:spacing w:line="240" w:lineRule="auto" w:before="76"/>
              <w:ind w:left="2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2651" w:type="dxa"/>
            <w:tcBorders>
              <w:top w:val="single" w:sz="10"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24,000</w:t>
            </w:r>
          </w:p>
        </w:tc>
      </w:tr>
      <w:tr>
        <w:trPr>
          <w:trHeight w:val="407" w:hRule="exact"/>
        </w:trPr>
        <w:tc>
          <w:tcPr>
            <w:tcW w:w="474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A4+B4+C4</w:t>
            </w:r>
            <w:r>
              <w:rPr>
                <w:rFonts w:ascii="宋体" w:hAnsi="宋体" w:cs="宋体" w:eastAsia="宋体" w:hint="default"/>
                <w:sz w:val="18"/>
                <w:szCs w:val="18"/>
              </w:rPr>
              <w:t>）占公司净资产的比例</w:t>
            </w:r>
          </w:p>
        </w:tc>
        <w:tc>
          <w:tcPr>
            <w:tcW w:w="4943"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4.58%</w:t>
            </w:r>
          </w:p>
        </w:tc>
      </w:tr>
      <w:tr>
        <w:trPr>
          <w:trHeight w:val="392" w:hRule="exact"/>
        </w:trPr>
        <w:tc>
          <w:tcPr>
            <w:tcW w:w="9683"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11" w:right="0"/>
              <w:jc w:val="left"/>
              <w:rPr>
                <w:rFonts w:ascii="宋体" w:hAnsi="宋体" w:cs="宋体" w:eastAsia="宋体" w:hint="default"/>
                <w:sz w:val="18"/>
                <w:szCs w:val="18"/>
              </w:rPr>
            </w:pPr>
            <w:r>
              <w:rPr>
                <w:rFonts w:ascii="宋体" w:hAnsi="宋体" w:cs="宋体" w:eastAsia="宋体" w:hint="default"/>
                <w:sz w:val="18"/>
                <w:szCs w:val="18"/>
              </w:rPr>
              <w:t>其中：</w:t>
            </w:r>
          </w:p>
        </w:tc>
      </w:tr>
      <w:tr>
        <w:trPr>
          <w:trHeight w:val="407" w:hRule="exact"/>
        </w:trPr>
        <w:tc>
          <w:tcPr>
            <w:tcW w:w="474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11" w:right="0"/>
              <w:jc w:val="left"/>
              <w:rPr>
                <w:rFonts w:ascii="宋体" w:hAnsi="宋体" w:cs="宋体" w:eastAsia="宋体" w:hint="default"/>
                <w:sz w:val="18"/>
                <w:szCs w:val="18"/>
              </w:rPr>
            </w:pPr>
            <w:r>
              <w:rPr>
                <w:rFonts w:ascii="宋体" w:hAnsi="宋体" w:cs="宋体" w:eastAsia="宋体" w:hint="default"/>
                <w:sz w:val="18"/>
                <w:szCs w:val="18"/>
              </w:rPr>
              <w:t>为股东、实际控制人及其关联方提供担保的余额（</w:t>
            </w:r>
            <w:r>
              <w:rPr>
                <w:rFonts w:ascii="Times New Roman" w:hAnsi="Times New Roman" w:cs="Times New Roman" w:eastAsia="Times New Roman" w:hint="default"/>
                <w:sz w:val="18"/>
                <w:szCs w:val="18"/>
              </w:rPr>
              <w:t>D</w:t>
            </w:r>
            <w:r>
              <w:rPr>
                <w:rFonts w:ascii="宋体" w:hAnsi="宋体" w:cs="宋体" w:eastAsia="宋体" w:hint="default"/>
                <w:sz w:val="18"/>
                <w:szCs w:val="18"/>
              </w:rPr>
              <w:t>）</w:t>
            </w:r>
          </w:p>
        </w:tc>
        <w:tc>
          <w:tcPr>
            <w:tcW w:w="4943"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7"/>
              <w:ind w:right="20"/>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474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22"/>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w:t>
            </w:r>
            <w:r>
              <w:rPr>
                <w:rFonts w:ascii="宋体" w:hAnsi="宋体" w:cs="宋体" w:eastAsia="宋体" w:hint="default"/>
                <w:sz w:val="18"/>
                <w:szCs w:val="18"/>
              </w:rPr>
              <w:t>的被担保对象提供的债务 担保余额（</w:t>
            </w:r>
            <w:r>
              <w:rPr>
                <w:rFonts w:ascii="Times New Roman" w:hAnsi="Times New Roman" w:cs="Times New Roman" w:eastAsia="Times New Roman" w:hint="default"/>
                <w:sz w:val="18"/>
                <w:szCs w:val="18"/>
              </w:rPr>
              <w:t>E</w:t>
            </w:r>
            <w:r>
              <w:rPr>
                <w:rFonts w:ascii="宋体" w:hAnsi="宋体" w:cs="宋体" w:eastAsia="宋体" w:hint="default"/>
                <w:sz w:val="18"/>
                <w:szCs w:val="18"/>
              </w:rPr>
              <w:t>）</w:t>
            </w:r>
          </w:p>
        </w:tc>
        <w:tc>
          <w:tcPr>
            <w:tcW w:w="4943"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24,000</w:t>
            </w:r>
          </w:p>
        </w:tc>
      </w:tr>
      <w:tr>
        <w:trPr>
          <w:trHeight w:val="402" w:hRule="exact"/>
        </w:trPr>
        <w:tc>
          <w:tcPr>
            <w:tcW w:w="474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担保总额超过净资产</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部分的金额（</w:t>
            </w:r>
            <w:r>
              <w:rPr>
                <w:rFonts w:ascii="Times New Roman" w:hAnsi="Times New Roman" w:cs="Times New Roman" w:eastAsia="Times New Roman" w:hint="default"/>
                <w:sz w:val="18"/>
                <w:szCs w:val="18"/>
              </w:rPr>
              <w:t>F</w:t>
            </w:r>
            <w:r>
              <w:rPr>
                <w:rFonts w:ascii="宋体" w:hAnsi="宋体" w:cs="宋体" w:eastAsia="宋体" w:hint="default"/>
                <w:sz w:val="18"/>
                <w:szCs w:val="18"/>
              </w:rPr>
              <w:t>）</w:t>
            </w:r>
          </w:p>
        </w:tc>
        <w:tc>
          <w:tcPr>
            <w:tcW w:w="4943"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74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上述三项担保金额合计（</w:t>
            </w:r>
            <w:r>
              <w:rPr>
                <w:rFonts w:ascii="Times New Roman" w:hAnsi="Times New Roman" w:cs="Times New Roman" w:eastAsia="Times New Roman" w:hint="default"/>
                <w:sz w:val="18"/>
                <w:szCs w:val="18"/>
              </w:rPr>
              <w:t>D+E+F</w:t>
            </w:r>
            <w:r>
              <w:rPr>
                <w:rFonts w:ascii="宋体" w:hAnsi="宋体" w:cs="宋体" w:eastAsia="宋体" w:hint="default"/>
                <w:sz w:val="18"/>
                <w:szCs w:val="18"/>
              </w:rPr>
              <w:t>）</w:t>
            </w:r>
          </w:p>
        </w:tc>
        <w:tc>
          <w:tcPr>
            <w:tcW w:w="4943"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24,000</w:t>
            </w:r>
          </w:p>
        </w:tc>
      </w:tr>
      <w:tr>
        <w:trPr>
          <w:trHeight w:val="714" w:hRule="exact"/>
        </w:trPr>
        <w:tc>
          <w:tcPr>
            <w:tcW w:w="474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36"/>
              <w:jc w:val="left"/>
              <w:rPr>
                <w:rFonts w:ascii="宋体" w:hAnsi="宋体" w:cs="宋体" w:eastAsia="宋体" w:hint="default"/>
                <w:sz w:val="18"/>
                <w:szCs w:val="18"/>
              </w:rPr>
            </w:pPr>
            <w:r>
              <w:rPr>
                <w:rFonts w:ascii="宋体" w:hAnsi="宋体" w:cs="宋体" w:eastAsia="宋体" w:hint="default"/>
                <w:sz w:val="18"/>
                <w:szCs w:val="18"/>
              </w:rPr>
              <w:t>对未到期担保，报告期内已发生担保责任或可能承担连带清 偿责任的情况说明</w:t>
            </w:r>
          </w:p>
        </w:tc>
        <w:tc>
          <w:tcPr>
            <w:tcW w:w="4943"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1" w:hRule="exact"/>
        </w:trPr>
        <w:tc>
          <w:tcPr>
            <w:tcW w:w="474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违反规定程序对外提供担保的说明</w:t>
            </w:r>
          </w:p>
        </w:tc>
        <w:tc>
          <w:tcPr>
            <w:tcW w:w="4943"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4"/>
        <w:rPr>
          <w:rFonts w:ascii="Times New Roman" w:hAnsi="Times New Roman" w:cs="Times New Roman" w:eastAsia="Times New Roman" w:hint="default"/>
          <w:sz w:val="7"/>
          <w:szCs w:val="7"/>
        </w:rPr>
      </w:pPr>
    </w:p>
    <w:p>
      <w:pPr>
        <w:pStyle w:val="Heading5"/>
        <w:spacing w:line="518" w:lineRule="auto" w:before="44"/>
        <w:ind w:left="134" w:right="8041"/>
        <w:jc w:val="left"/>
        <w:rPr>
          <w:b w:val="0"/>
          <w:bCs w:val="0"/>
        </w:rPr>
      </w:pPr>
      <w:r>
        <w:rPr/>
        <w:t>采用复合方式担保的具体情况说明</w:t>
      </w:r>
      <w:r>
        <w:rPr>
          <w:w w:val="99"/>
        </w:rPr>
        <w:t> </w:t>
      </w:r>
      <w:r>
        <w:rPr/>
        <w:t>不适用</w:t>
      </w:r>
      <w:r>
        <w:rPr>
          <w:b w:val="0"/>
          <w:bCs w:val="0"/>
        </w:rPr>
      </w:r>
    </w:p>
    <w:p>
      <w:pPr>
        <w:spacing w:line="240" w:lineRule="auto" w:before="10"/>
        <w:rPr>
          <w:rFonts w:ascii="宋体" w:hAnsi="宋体" w:cs="宋体" w:eastAsia="宋体" w:hint="default"/>
          <w:b/>
          <w:bCs/>
          <w:sz w:val="16"/>
          <w:szCs w:val="16"/>
        </w:rPr>
      </w:pPr>
    </w:p>
    <w:p>
      <w:pPr>
        <w:pStyle w:val="Heading3"/>
        <w:spacing w:line="240" w:lineRule="auto"/>
        <w:ind w:left="134" w:right="7680"/>
        <w:jc w:val="left"/>
        <w:rPr>
          <w:b w:val="0"/>
          <w:bCs w:val="0"/>
        </w:rPr>
      </w:pPr>
      <w:bookmarkStart w:name="（2）违规对外担保情况" w:id="101"/>
      <w:bookmarkEnd w:id="101"/>
      <w:r>
        <w:rPr>
          <w:b w:val="0"/>
          <w:bCs w:val="0"/>
        </w:rPr>
      </w:r>
      <w:r>
        <w:rPr/>
        <w:t>（</w:t>
      </w:r>
      <w:r>
        <w:rPr>
          <w:rFonts w:ascii="Times New Roman" w:hAnsi="Times New Roman" w:cs="Times New Roman" w:eastAsia="Times New Roman" w:hint="default"/>
        </w:rPr>
        <w:t>2</w:t>
      </w:r>
      <w:r>
        <w:rPr/>
        <w:t>）违规对外担保情况</w:t>
      </w:r>
      <w:r>
        <w:rPr>
          <w:b w:val="0"/>
          <w:bCs w:val="0"/>
        </w:rPr>
      </w:r>
    </w:p>
    <w:p>
      <w:pPr>
        <w:spacing w:line="240" w:lineRule="auto" w:before="9"/>
        <w:rPr>
          <w:rFonts w:ascii="宋体" w:hAnsi="宋体" w:cs="宋体" w:eastAsia="宋体" w:hint="default"/>
          <w:b/>
          <w:bCs/>
          <w:sz w:val="26"/>
          <w:szCs w:val="26"/>
        </w:rPr>
      </w:pPr>
    </w:p>
    <w:p>
      <w:pPr>
        <w:spacing w:line="415" w:lineRule="auto" w:before="0"/>
        <w:ind w:left="134" w:right="768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1"/>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公司报告期无违规对外担保情况。</w:t>
      </w:r>
    </w:p>
    <w:p>
      <w:pPr>
        <w:spacing w:line="240" w:lineRule="auto" w:before="11"/>
        <w:rPr>
          <w:rFonts w:ascii="宋体" w:hAnsi="宋体" w:cs="宋体" w:eastAsia="宋体" w:hint="default"/>
          <w:sz w:val="22"/>
          <w:szCs w:val="22"/>
        </w:rPr>
      </w:pPr>
    </w:p>
    <w:p>
      <w:pPr>
        <w:pStyle w:val="Heading3"/>
        <w:spacing w:line="240" w:lineRule="auto"/>
        <w:ind w:left="134" w:right="1032"/>
        <w:jc w:val="left"/>
        <w:rPr>
          <w:b w:val="0"/>
          <w:bCs w:val="0"/>
        </w:rPr>
      </w:pPr>
      <w:bookmarkStart w:name="3、委托他人进行现金资产管理情况" w:id="102"/>
      <w:bookmarkEnd w:id="102"/>
      <w:r>
        <w:rPr>
          <w:b w:val="0"/>
          <w:bCs w:val="0"/>
        </w:rPr>
      </w:r>
      <w:r>
        <w:rPr>
          <w:rFonts w:ascii="Times New Roman" w:hAnsi="Times New Roman" w:cs="Times New Roman" w:eastAsia="Times New Roman" w:hint="default"/>
        </w:rPr>
        <w:t>3</w:t>
      </w:r>
      <w:r>
        <w:rPr/>
        <w:t>、委托他人进行现金资产管理情况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34" w:right="7680"/>
        <w:jc w:val="left"/>
        <w:rPr>
          <w:b w:val="0"/>
          <w:bCs w:val="0"/>
        </w:rPr>
      </w:pPr>
      <w:bookmarkStart w:name="（1）委托理财情况" w:id="103"/>
      <w:bookmarkEnd w:id="103"/>
      <w:r>
        <w:rPr>
          <w:b w:val="0"/>
          <w:bCs w:val="0"/>
        </w:rPr>
      </w:r>
      <w:r>
        <w:rPr/>
        <w:t>（</w:t>
      </w:r>
      <w:r>
        <w:rPr>
          <w:rFonts w:ascii="Times New Roman" w:hAnsi="Times New Roman" w:cs="Times New Roman" w:eastAsia="Times New Roman" w:hint="default"/>
        </w:rPr>
        <w:t>1</w:t>
      </w:r>
      <w:r>
        <w:rPr/>
        <w:t>）委托理财情况</w:t>
      </w:r>
      <w:r>
        <w:rPr>
          <w:b w:val="0"/>
          <w:bCs w:val="0"/>
        </w:rPr>
      </w:r>
    </w:p>
    <w:p>
      <w:pPr>
        <w:spacing w:line="240" w:lineRule="auto" w:before="7"/>
        <w:rPr>
          <w:rFonts w:ascii="宋体" w:hAnsi="宋体" w:cs="宋体" w:eastAsia="宋体" w:hint="default"/>
          <w:b/>
          <w:bCs/>
          <w:sz w:val="32"/>
          <w:szCs w:val="32"/>
        </w:rPr>
      </w:pPr>
    </w:p>
    <w:p>
      <w:pPr>
        <w:spacing w:line="489" w:lineRule="auto" w:before="0"/>
        <w:ind w:left="134" w:right="8945"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不适用 </w:t>
      </w:r>
      <w:r>
        <w:rPr>
          <w:rFonts w:ascii="宋体" w:hAnsi="宋体" w:cs="宋体" w:eastAsia="宋体" w:hint="default"/>
          <w:b/>
          <w:bCs/>
          <w:sz w:val="18"/>
          <w:szCs w:val="18"/>
        </w:rPr>
        <w:t>报告期内委托理财概况</w:t>
      </w:r>
      <w:r>
        <w:rPr>
          <w:rFonts w:ascii="宋体" w:hAnsi="宋体" w:cs="宋体" w:eastAsia="宋体" w:hint="default"/>
          <w:sz w:val="18"/>
          <w:szCs w:val="18"/>
        </w:rPr>
      </w:r>
    </w:p>
    <w:p>
      <w:pPr>
        <w:pStyle w:val="BodyText"/>
        <w:spacing w:line="240" w:lineRule="auto" w:before="7"/>
        <w:ind w:left="0" w:right="1130"/>
        <w:jc w:val="right"/>
      </w:pPr>
      <w:r>
        <w:rPr/>
        <w:t>单位：万元</w:t>
      </w:r>
    </w:p>
    <w:p>
      <w:pPr>
        <w:spacing w:line="240" w:lineRule="auto" w:before="1"/>
        <w:rPr>
          <w:rFonts w:ascii="宋体" w:hAnsi="宋体" w:cs="宋体" w:eastAsia="宋体" w:hint="default"/>
          <w:sz w:val="8"/>
          <w:szCs w:val="8"/>
        </w:rPr>
      </w:pPr>
    </w:p>
    <w:tbl>
      <w:tblPr>
        <w:tblW w:w="0" w:type="auto"/>
        <w:jc w:val="left"/>
        <w:tblInd w:w="101" w:type="dxa"/>
        <w:tblLayout w:type="fixed"/>
        <w:tblCellMar>
          <w:top w:w="0" w:type="dxa"/>
          <w:left w:w="0" w:type="dxa"/>
          <w:bottom w:w="0" w:type="dxa"/>
          <w:right w:w="0" w:type="dxa"/>
        </w:tblCellMar>
        <w:tblLook w:val="01E0"/>
      </w:tblPr>
      <w:tblGrid>
        <w:gridCol w:w="1892"/>
        <w:gridCol w:w="1990"/>
        <w:gridCol w:w="2006"/>
        <w:gridCol w:w="1936"/>
        <w:gridCol w:w="1871"/>
      </w:tblGrid>
      <w:tr>
        <w:trPr>
          <w:trHeight w:val="402" w:hRule="exact"/>
        </w:trPr>
        <w:tc>
          <w:tcPr>
            <w:tcW w:w="18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具体类型</w:t>
            </w:r>
          </w:p>
        </w:tc>
        <w:tc>
          <w:tcPr>
            <w:tcW w:w="19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委托理财的资金来源</w:t>
            </w:r>
          </w:p>
        </w:tc>
        <w:tc>
          <w:tcPr>
            <w:tcW w:w="20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委托理财发生额</w:t>
            </w:r>
          </w:p>
        </w:tc>
        <w:tc>
          <w:tcPr>
            <w:tcW w:w="1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未到期余额</w:t>
            </w:r>
          </w:p>
        </w:tc>
        <w:tc>
          <w:tcPr>
            <w:tcW w:w="1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402" w:hRule="exact"/>
        </w:trPr>
        <w:tc>
          <w:tcPr>
            <w:tcW w:w="18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银行理财产品</w:t>
            </w:r>
          </w:p>
        </w:tc>
        <w:tc>
          <w:tcPr>
            <w:tcW w:w="19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自有资金</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20,200</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14,860</w:t>
            </w:r>
          </w:p>
        </w:tc>
        <w:tc>
          <w:tcPr>
            <w:tcW w:w="1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882"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20,200</w:t>
            </w:r>
          </w:p>
        </w:tc>
        <w:tc>
          <w:tcPr>
            <w:tcW w:w="1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14,860</w:t>
            </w:r>
          </w:p>
        </w:tc>
        <w:tc>
          <w:tcPr>
            <w:tcW w:w="1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w:t>
            </w:r>
          </w:p>
        </w:tc>
      </w:tr>
    </w:tbl>
    <w:p>
      <w:pPr>
        <w:pStyle w:val="BodyText"/>
        <w:spacing w:line="240" w:lineRule="auto" w:before="88"/>
        <w:ind w:left="134" w:right="1032"/>
        <w:jc w:val="left"/>
      </w:pPr>
      <w:r>
        <w:rPr/>
        <w:t>单项金额重大或安全性较低、流动性较差、不保本的高风险委托理财具体情况</w:t>
      </w:r>
    </w:p>
    <w:p>
      <w:pPr>
        <w:spacing w:line="240" w:lineRule="auto" w:before="12"/>
        <w:rPr>
          <w:rFonts w:ascii="宋体" w:hAnsi="宋体" w:cs="宋体" w:eastAsia="宋体" w:hint="default"/>
          <w:sz w:val="14"/>
          <w:szCs w:val="14"/>
        </w:rPr>
      </w:pPr>
    </w:p>
    <w:p>
      <w:pPr>
        <w:pStyle w:val="BodyText"/>
        <w:spacing w:line="415" w:lineRule="auto"/>
        <w:ind w:left="134" w:right="5712"/>
        <w:jc w:val="left"/>
      </w:pPr>
      <w:r>
        <w:rPr>
          <w:rFonts w:ascii="Times New Roman" w:hAnsi="Times New Roman" w:cs="Times New Roman" w:eastAsia="Times New Roman" w:hint="default"/>
        </w:rPr>
        <w:t>□ </w:t>
      </w:r>
      <w:r>
        <w:rPr/>
        <w:t>适用 </w:t>
      </w:r>
      <w:r>
        <w:rPr>
          <w:rFonts w:ascii="宋体" w:hAnsi="宋体" w:cs="宋体" w:eastAsia="宋体" w:hint="default"/>
          <w:b/>
          <w:bCs/>
        </w:rPr>
        <w:t>√</w:t>
      </w:r>
      <w:r>
        <w:rPr>
          <w:rFonts w:ascii="宋体" w:hAnsi="宋体" w:cs="宋体" w:eastAsia="宋体" w:hint="default"/>
          <w:b/>
          <w:bCs/>
          <w:spacing w:val="-1"/>
        </w:rPr>
        <w:t> </w:t>
      </w:r>
      <w:r>
        <w:rPr>
          <w:rFonts w:ascii="宋体" w:hAnsi="宋体" w:cs="宋体" w:eastAsia="宋体" w:hint="default"/>
          <w:b/>
          <w:bCs/>
        </w:rPr>
        <w:t>不适用</w:t>
      </w:r>
      <w:r>
        <w:rPr>
          <w:rFonts w:ascii="宋体" w:hAnsi="宋体" w:cs="宋体" w:eastAsia="宋体" w:hint="default"/>
          <w:b/>
          <w:bCs/>
          <w:w w:val="99"/>
        </w:rPr>
        <w:t> </w:t>
      </w:r>
      <w:r>
        <w:rPr/>
        <w:t>委托理财出现预期无法收回本金或存在其他可能导致减值的情形</w:t>
      </w:r>
    </w:p>
    <w:p>
      <w:pPr>
        <w:spacing w:before="64"/>
        <w:ind w:left="134" w:right="768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51" w:footer="979" w:top="1400" w:bottom="1160" w:left="1000" w:right="0"/>
        </w:sectPr>
      </w:pPr>
    </w:p>
    <w:p>
      <w:pPr>
        <w:spacing w:line="240" w:lineRule="auto" w:before="7"/>
        <w:rPr>
          <w:rFonts w:ascii="宋体" w:hAnsi="宋体" w:cs="宋体" w:eastAsia="宋体" w:hint="default"/>
          <w:b/>
          <w:bCs/>
          <w:sz w:val="3"/>
          <w:szCs w:val="3"/>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2）委托贷款情况" w:id="104"/>
      <w:bookmarkEnd w:id="104"/>
      <w:r>
        <w:rPr>
          <w:b w:val="0"/>
          <w:bCs w:val="0"/>
        </w:rPr>
      </w:r>
      <w:r>
        <w:rPr/>
        <w:t>（</w:t>
      </w:r>
      <w:r>
        <w:rPr>
          <w:rFonts w:ascii="Times New Roman" w:hAnsi="Times New Roman" w:cs="Times New Roman" w:eastAsia="Times New Roman" w:hint="default"/>
        </w:rPr>
        <w:t>2</w:t>
      </w:r>
      <w:r>
        <w:rPr/>
        <w:t>）委托贷款情况</w:t>
      </w:r>
      <w:r>
        <w:rPr>
          <w:b w:val="0"/>
          <w:bCs w:val="0"/>
        </w:rPr>
      </w:r>
    </w:p>
    <w:p>
      <w:pPr>
        <w:spacing w:line="240" w:lineRule="auto" w:before="8"/>
        <w:rPr>
          <w:rFonts w:ascii="宋体" w:hAnsi="宋体" w:cs="宋体" w:eastAsia="宋体" w:hint="default"/>
          <w:b/>
          <w:bCs/>
          <w:sz w:val="26"/>
          <w:szCs w:val="26"/>
        </w:rPr>
      </w:pPr>
    </w:p>
    <w:p>
      <w:pPr>
        <w:spacing w:line="412" w:lineRule="auto" w:before="0"/>
        <w:ind w:left="154" w:right="8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1"/>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公司报告期不存在委托贷款。</w:t>
      </w:r>
    </w:p>
    <w:p>
      <w:pPr>
        <w:spacing w:line="240" w:lineRule="auto" w:before="0"/>
        <w:rPr>
          <w:rFonts w:ascii="宋体" w:hAnsi="宋体" w:cs="宋体" w:eastAsia="宋体" w:hint="default"/>
          <w:sz w:val="23"/>
          <w:szCs w:val="23"/>
        </w:rPr>
      </w:pPr>
    </w:p>
    <w:p>
      <w:pPr>
        <w:pStyle w:val="Heading3"/>
        <w:spacing w:line="240" w:lineRule="auto"/>
        <w:ind w:right="0"/>
        <w:jc w:val="left"/>
        <w:rPr>
          <w:b w:val="0"/>
          <w:bCs w:val="0"/>
        </w:rPr>
      </w:pPr>
      <w:bookmarkStart w:name="4、其他重大合同" w:id="105"/>
      <w:bookmarkEnd w:id="105"/>
      <w:r>
        <w:rPr>
          <w:b w:val="0"/>
          <w:bCs w:val="0"/>
        </w:rPr>
      </w:r>
      <w:r>
        <w:rPr>
          <w:rFonts w:ascii="Times New Roman" w:hAnsi="Times New Roman" w:cs="Times New Roman" w:eastAsia="Times New Roman" w:hint="default"/>
        </w:rPr>
        <w:t>4</w:t>
      </w:r>
      <w:r>
        <w:rPr/>
        <w:t>、其他重大合同</w:t>
      </w:r>
      <w:r>
        <w:rPr>
          <w:b w:val="0"/>
          <w:bCs w:val="0"/>
        </w:rPr>
      </w:r>
    </w:p>
    <w:p>
      <w:pPr>
        <w:spacing w:line="240" w:lineRule="auto" w:before="8"/>
        <w:rPr>
          <w:rFonts w:ascii="宋体" w:hAnsi="宋体" w:cs="宋体" w:eastAsia="宋体" w:hint="default"/>
          <w:b/>
          <w:bCs/>
          <w:sz w:val="26"/>
          <w:szCs w:val="26"/>
        </w:rPr>
      </w:pPr>
    </w:p>
    <w:p>
      <w:pPr>
        <w:spacing w:line="412" w:lineRule="auto" w:before="0"/>
        <w:ind w:left="154" w:right="805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1"/>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公司报告期不存在其他重大合同。</w:t>
      </w:r>
    </w:p>
    <w:p>
      <w:pPr>
        <w:spacing w:line="240" w:lineRule="auto" w:before="3"/>
        <w:rPr>
          <w:rFonts w:ascii="宋体" w:hAnsi="宋体" w:cs="宋体" w:eastAsia="宋体" w:hint="default"/>
          <w:sz w:val="21"/>
          <w:szCs w:val="21"/>
        </w:rPr>
      </w:pPr>
    </w:p>
    <w:p>
      <w:pPr>
        <w:pStyle w:val="Heading2"/>
        <w:spacing w:line="240" w:lineRule="auto"/>
        <w:ind w:right="0"/>
        <w:jc w:val="left"/>
        <w:rPr>
          <w:b w:val="0"/>
          <w:bCs w:val="0"/>
        </w:rPr>
      </w:pPr>
      <w:bookmarkStart w:name="十七、社会责任情况" w:id="106"/>
      <w:bookmarkEnd w:id="106"/>
      <w:r>
        <w:rPr>
          <w:b w:val="0"/>
          <w:bCs w:val="0"/>
        </w:rPr>
      </w:r>
      <w:r>
        <w:rPr/>
        <w:t>十七、社会责任情况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履行社会责任情况" w:id="107"/>
      <w:bookmarkEnd w:id="107"/>
      <w:r>
        <w:rPr>
          <w:b w:val="0"/>
          <w:bCs w:val="0"/>
        </w:rPr>
      </w:r>
      <w:r>
        <w:rPr>
          <w:rFonts w:ascii="Times New Roman" w:hAnsi="Times New Roman" w:cs="Times New Roman" w:eastAsia="Times New Roman" w:hint="default"/>
        </w:rPr>
        <w:t>1</w:t>
      </w:r>
      <w:r>
        <w:rPr/>
        <w:t>、履行社会责任情况</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right="0"/>
        <w:jc w:val="left"/>
      </w:pPr>
      <w:r>
        <w:rPr/>
        <w:t>具体事项详见披露于中国证监会指定的创业板信息披露网（</w:t>
      </w:r>
      <w:hyperlink r:id="rId42">
        <w:r>
          <w:rPr>
            <w:rFonts w:ascii="Times New Roman" w:hAnsi="Times New Roman" w:cs="Times New Roman" w:eastAsia="Times New Roman" w:hint="default"/>
          </w:rPr>
          <w:t>www.cninfo.com.cn</w:t>
        </w:r>
      </w:hyperlink>
      <w:r>
        <w:rPr/>
        <w:t>）相关公告。</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3"/>
          <w:szCs w:val="13"/>
        </w:rPr>
      </w:pPr>
    </w:p>
    <w:p>
      <w:pPr>
        <w:pStyle w:val="Heading3"/>
        <w:spacing w:line="240" w:lineRule="auto"/>
        <w:ind w:right="0"/>
        <w:jc w:val="left"/>
        <w:rPr>
          <w:b w:val="0"/>
          <w:bCs w:val="0"/>
        </w:rPr>
      </w:pPr>
      <w:bookmarkStart w:name="2、履行精准扶贫社会责任情况" w:id="108"/>
      <w:bookmarkEnd w:id="108"/>
      <w:r>
        <w:rPr>
          <w:b w:val="0"/>
          <w:bCs w:val="0"/>
        </w:rPr>
      </w:r>
      <w:r>
        <w:rPr>
          <w:rFonts w:ascii="Times New Roman" w:hAnsi="Times New Roman" w:cs="Times New Roman" w:eastAsia="Times New Roman" w:hint="default"/>
        </w:rPr>
        <w:t>2</w:t>
      </w:r>
      <w:r>
        <w:rPr/>
        <w:t>、履行精准扶贫社会责任情况</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right="0"/>
        <w:jc w:val="left"/>
      </w:pPr>
      <w:r>
        <w:rPr/>
        <w:t>公司报告年度暂未开展精准扶贫工作，也暂无后续精准扶贫计划。</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3"/>
        <w:spacing w:line="240" w:lineRule="auto"/>
        <w:ind w:right="0"/>
        <w:jc w:val="left"/>
        <w:rPr>
          <w:b w:val="0"/>
          <w:bCs w:val="0"/>
        </w:rPr>
      </w:pPr>
      <w:bookmarkStart w:name="3、环境保护相关的情况" w:id="109"/>
      <w:bookmarkEnd w:id="109"/>
      <w:r>
        <w:rPr>
          <w:b w:val="0"/>
          <w:bCs w:val="0"/>
        </w:rPr>
      </w:r>
      <w:r>
        <w:rPr>
          <w:rFonts w:ascii="Times New Roman" w:hAnsi="Times New Roman" w:cs="Times New Roman" w:eastAsia="Times New Roman" w:hint="default"/>
        </w:rPr>
        <w:t>3</w:t>
      </w:r>
      <w:r>
        <w:rPr/>
        <w:t>、环境保护相关的情况</w:t>
      </w:r>
      <w:r>
        <w:rPr>
          <w:b w:val="0"/>
          <w:bCs w:val="0"/>
        </w:rPr>
      </w:r>
    </w:p>
    <w:p>
      <w:pPr>
        <w:spacing w:line="240" w:lineRule="auto" w:before="6"/>
        <w:rPr>
          <w:rFonts w:ascii="宋体" w:hAnsi="宋体" w:cs="宋体" w:eastAsia="宋体" w:hint="default"/>
          <w:b/>
          <w:bCs/>
          <w:sz w:val="32"/>
          <w:szCs w:val="32"/>
        </w:rPr>
      </w:pPr>
    </w:p>
    <w:p>
      <w:pPr>
        <w:pStyle w:val="Heading5"/>
        <w:spacing w:line="477" w:lineRule="auto"/>
        <w:ind w:right="5785"/>
        <w:jc w:val="left"/>
        <w:rPr>
          <w:b w:val="0"/>
          <w:bCs w:val="0"/>
        </w:rPr>
      </w:pPr>
      <w:r>
        <w:rPr>
          <w:w w:val="95"/>
        </w:rPr>
        <w:t>上市公司及其子公司是否属于环境保护部门公布的重点排污单位 </w:t>
      </w:r>
      <w:r>
        <w:rPr>
          <w:spacing w:val="74"/>
          <w:w w:val="95"/>
        </w:rPr>
        <w:t> </w:t>
      </w:r>
      <w:r>
        <w:rPr>
          <w:spacing w:val="74"/>
          <w:w w:val="95"/>
        </w:rPr>
      </w:r>
      <w:r>
        <w:rPr/>
        <w:t>否</w:t>
      </w:r>
      <w:r>
        <w:rPr>
          <w:b w:val="0"/>
          <w:bCs w:val="0"/>
        </w:rPr>
      </w:r>
    </w:p>
    <w:p>
      <w:pPr>
        <w:pStyle w:val="BodyText"/>
        <w:spacing w:line="240" w:lineRule="auto" w:before="54"/>
        <w:ind w:right="0"/>
        <w:jc w:val="left"/>
      </w:pPr>
      <w:r>
        <w:rPr/>
        <w:t>本公司及子公司不属于环境保护部门公布的重点排污单位。</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Heading2"/>
        <w:spacing w:line="240" w:lineRule="auto"/>
        <w:ind w:right="0"/>
        <w:jc w:val="left"/>
        <w:rPr>
          <w:b w:val="0"/>
          <w:bCs w:val="0"/>
        </w:rPr>
      </w:pPr>
      <w:bookmarkStart w:name="十八、其他重大事项的说明" w:id="110"/>
      <w:bookmarkEnd w:id="110"/>
      <w:r>
        <w:rPr>
          <w:b w:val="0"/>
          <w:bCs w:val="0"/>
        </w:rPr>
      </w:r>
      <w:r>
        <w:rPr/>
        <w:t>十八、其他重大事项的说明</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13"/>
          <w:szCs w:val="13"/>
        </w:rPr>
      </w:pPr>
    </w:p>
    <w:p>
      <w:pPr>
        <w:pStyle w:val="BodyText"/>
        <w:spacing w:line="458" w:lineRule="auto"/>
        <w:ind w:right="1130" w:firstLine="360"/>
        <w:jc w:val="both"/>
      </w:pPr>
      <w:r>
        <w:rPr>
          <w:spacing w:val="-2"/>
        </w:rPr>
        <w:t>（</w:t>
      </w:r>
      <w:r>
        <w:rPr>
          <w:rFonts w:ascii="Times New Roman" w:hAnsi="Times New Roman" w:cs="Times New Roman" w:eastAsia="Times New Roman" w:hint="default"/>
          <w:spacing w:val="-2"/>
        </w:rPr>
        <w:t>1</w:t>
      </w:r>
      <w:r>
        <w:rPr>
          <w:spacing w:val="-2"/>
        </w:rPr>
        <w:t>）</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17</w:t>
      </w:r>
      <w:r>
        <w:rPr>
          <w:spacing w:val="-2"/>
        </w:rPr>
        <w:t>日，公司第六届董事会第二十次会议审议通过《关于对外投资设立全资子公司的议案》，公司以自有</w:t>
      </w:r>
      <w:r>
        <w:rPr/>
        <w:t> </w:t>
      </w:r>
      <w:r>
        <w:rPr>
          <w:spacing w:val="-2"/>
        </w:rPr>
        <w:t>资金出资在北京市房山区设立全资子公司，注册资本</w:t>
      </w:r>
      <w:r>
        <w:rPr>
          <w:rFonts w:ascii="Times New Roman" w:hAnsi="Times New Roman" w:cs="Times New Roman" w:eastAsia="Times New Roman" w:hint="default"/>
          <w:spacing w:val="-2"/>
        </w:rPr>
        <w:t>1,000</w:t>
      </w:r>
      <w:r>
        <w:rPr>
          <w:spacing w:val="-2"/>
        </w:rPr>
        <w:t>万元。设立完成后，公司向新子公司增资不超过</w:t>
      </w:r>
      <w:r>
        <w:rPr>
          <w:rFonts w:ascii="Times New Roman" w:hAnsi="Times New Roman" w:cs="Times New Roman" w:eastAsia="Times New Roman" w:hint="default"/>
          <w:spacing w:val="-2"/>
        </w:rPr>
        <w:t>40,000</w:t>
      </w:r>
      <w:r>
        <w:rPr>
          <w:spacing w:val="-2"/>
        </w:rPr>
        <w:t>万元，用于</w:t>
      </w:r>
      <w:r>
        <w:rPr>
          <w:spacing w:val="-58"/>
        </w:rPr>
        <w:t> </w:t>
      </w:r>
      <w:r>
        <w:rPr>
          <w:spacing w:val="-58"/>
        </w:rPr>
      </w:r>
      <w:r>
        <w:rPr>
          <w:spacing w:val="11"/>
        </w:rPr>
        <w:t>与北京市房山新城建设工程有限责任公司等单位共同组建项目公司，通过参与招拍挂方式竞买北京市房山区长阳镇</w:t>
      </w:r>
      <w:r>
        <w:rPr>
          <w:spacing w:val="-61"/>
        </w:rPr>
        <w:t> </w:t>
      </w:r>
      <w:r>
        <w:rPr>
          <w:spacing w:val="-61"/>
        </w:rPr>
      </w:r>
      <w:r>
        <w:rPr>
          <w:rFonts w:ascii="Times New Roman" w:hAnsi="Times New Roman" w:cs="Times New Roman" w:eastAsia="Times New Roman" w:hint="default"/>
          <w:spacing w:val="-1"/>
        </w:rPr>
        <w:t>FS00-LX10-0092</w:t>
      </w:r>
      <w:r>
        <w:rPr>
          <w:spacing w:val="-1"/>
        </w:rPr>
        <w:t>等地块，该目标地块未来建设完成后，公司预计将获得总建筑面积不超过</w:t>
      </w:r>
      <w:r>
        <w:rPr>
          <w:rFonts w:ascii="Times New Roman" w:hAnsi="Times New Roman" w:cs="Times New Roman" w:eastAsia="Times New Roman" w:hint="default"/>
          <w:spacing w:val="-1"/>
        </w:rPr>
        <w:t>4</w:t>
      </w:r>
      <w:r>
        <w:rPr>
          <w:spacing w:val="-1"/>
        </w:rPr>
        <w:t>万平方米的房产主要用于研发办</w:t>
      </w:r>
      <w:r>
        <w:rPr>
          <w:spacing w:val="-43"/>
        </w:rPr>
        <w:t> </w:t>
      </w:r>
      <w:r>
        <w:rPr/>
        <w:t>公。目前后续事项正在进行。</w:t>
      </w:r>
    </w:p>
    <w:p>
      <w:pPr>
        <w:pStyle w:val="BodyText"/>
        <w:spacing w:line="451" w:lineRule="auto" w:before="69"/>
        <w:ind w:right="1128" w:firstLine="360"/>
        <w:jc w:val="both"/>
      </w:pPr>
      <w:r>
        <w:rPr/>
        <w:t>（</w:t>
      </w:r>
      <w:r>
        <w:rPr>
          <w:rFonts w:ascii="Times New Roman" w:hAnsi="Times New Roman" w:cs="Times New Roman" w:eastAsia="Times New Roman" w:hint="default"/>
        </w:rPr>
        <w:t>2</w:t>
      </w:r>
      <w:r>
        <w:rPr/>
        <w:t>）为满足公司日常经营性开支需要，公司向北京银行上地支行申请经营性物业抵押贷款、单一授信，金额分别为人 民币</w:t>
      </w:r>
      <w:r>
        <w:rPr>
          <w:rFonts w:ascii="Times New Roman" w:hAnsi="Times New Roman" w:cs="Times New Roman" w:eastAsia="Times New Roman" w:hint="default"/>
        </w:rPr>
        <w:t>5</w:t>
      </w:r>
      <w:r>
        <w:rPr/>
        <w:t>亿元、</w:t>
      </w:r>
      <w:r>
        <w:rPr>
          <w:rFonts w:ascii="Times New Roman" w:hAnsi="Times New Roman" w:cs="Times New Roman" w:eastAsia="Times New Roman" w:hint="default"/>
        </w:rPr>
        <w:t>3</w:t>
      </w:r>
      <w:r>
        <w:rPr/>
        <w:t>亿元，有效期限为</w:t>
      </w:r>
      <w:r>
        <w:rPr>
          <w:rFonts w:ascii="Times New Roman" w:hAnsi="Times New Roman" w:cs="Times New Roman" w:eastAsia="Times New Roman" w:hint="default"/>
        </w:rPr>
        <w:t>10</w:t>
      </w:r>
      <w:r>
        <w:rPr/>
        <w:t>年、</w:t>
      </w:r>
      <w:r>
        <w:rPr>
          <w:rFonts w:ascii="Times New Roman" w:hAnsi="Times New Roman" w:cs="Times New Roman" w:eastAsia="Times New Roman" w:hint="default"/>
        </w:rPr>
        <w:t>2</w:t>
      </w:r>
      <w:r>
        <w:rPr/>
        <w:t>年，担保方式为以公司名下位于北京市朝阳区北苑路甲</w:t>
      </w:r>
      <w:r>
        <w:rPr>
          <w:rFonts w:ascii="Times New Roman" w:hAnsi="Times New Roman" w:cs="Times New Roman" w:eastAsia="Times New Roman" w:hint="default"/>
        </w:rPr>
        <w:t>13</w:t>
      </w:r>
      <w:r>
        <w:rPr/>
        <w:t>号院北辰泰岳大厦</w:t>
      </w:r>
      <w:r>
        <w:rPr>
          <w:rFonts w:ascii="Times New Roman" w:hAnsi="Times New Roman" w:cs="Times New Roman" w:eastAsia="Times New Roman" w:hint="default"/>
        </w:rPr>
        <w:t>7-14</w:t>
      </w:r>
      <w:r>
        <w:rPr/>
        <w:t>层</w:t>
      </w:r>
      <w:r>
        <w:rPr>
          <w:spacing w:val="-55"/>
        </w:rPr>
        <w:t> </w:t>
      </w:r>
      <w:r>
        <w:rPr/>
        <w:t>的房产抵押担保。</w:t>
      </w:r>
    </w:p>
    <w:p>
      <w:pPr>
        <w:spacing w:after="0" w:line="451" w:lineRule="auto"/>
        <w:jc w:val="both"/>
        <w:sectPr>
          <w:pgSz w:w="11910" w:h="16840"/>
          <w:pgMar w:header="851" w:footer="979" w:top="1400" w:bottom="1160" w:left="980" w:right="0"/>
        </w:sectPr>
      </w:pPr>
    </w:p>
    <w:p>
      <w:pPr>
        <w:spacing w:line="240" w:lineRule="auto" w:before="7"/>
        <w:rPr>
          <w:rFonts w:ascii="宋体" w:hAnsi="宋体" w:cs="宋体" w:eastAsia="宋体" w:hint="default"/>
          <w:sz w:val="3"/>
          <w:szCs w:val="3"/>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BodyText"/>
        <w:spacing w:line="451" w:lineRule="auto" w:before="83"/>
        <w:ind w:right="1129" w:firstLine="360"/>
        <w:jc w:val="both"/>
      </w:pPr>
      <w:r>
        <w:rPr>
          <w:spacing w:val="-4"/>
        </w:rPr>
        <w:t>（</w:t>
      </w:r>
      <w:r>
        <w:rPr>
          <w:rFonts w:ascii="Times New Roman" w:hAnsi="Times New Roman" w:cs="Times New Roman" w:eastAsia="Times New Roman" w:hint="default"/>
          <w:spacing w:val="-4"/>
        </w:rPr>
        <w:t>3</w:t>
      </w:r>
      <w:r>
        <w:rPr>
          <w:spacing w:val="-4"/>
        </w:rPr>
        <w:t>）</w:t>
      </w:r>
      <w:r>
        <w:rPr>
          <w:rFonts w:ascii="Times New Roman" w:hAnsi="Times New Roman" w:cs="Times New Roman" w:eastAsia="Times New Roman" w:hint="default"/>
          <w:spacing w:val="-4"/>
        </w:rPr>
        <w:t>2018</w:t>
      </w:r>
      <w:r>
        <w:rPr>
          <w:spacing w:val="-4"/>
        </w:rPr>
        <w:t>年</w:t>
      </w:r>
      <w:r>
        <w:rPr>
          <w:rFonts w:ascii="Times New Roman" w:hAnsi="Times New Roman" w:cs="Times New Roman" w:eastAsia="Times New Roman" w:hint="default"/>
          <w:spacing w:val="-4"/>
        </w:rPr>
        <w:t>12</w:t>
      </w:r>
      <w:r>
        <w:rPr>
          <w:spacing w:val="-4"/>
        </w:rPr>
        <w:t>月</w:t>
      </w:r>
      <w:r>
        <w:rPr>
          <w:rFonts w:ascii="Times New Roman" w:hAnsi="Times New Roman" w:cs="Times New Roman" w:eastAsia="Times New Roman" w:hint="default"/>
          <w:spacing w:val="-4"/>
        </w:rPr>
        <w:t>28</w:t>
      </w:r>
      <w:r>
        <w:rPr>
          <w:spacing w:val="-4"/>
        </w:rPr>
        <w:t>日，公司第六届董事会第四十八次会议审议通过《关于转让控股子公司</w:t>
      </w:r>
      <w:r>
        <w:rPr>
          <w:rFonts w:ascii="Times New Roman" w:hAnsi="Times New Roman" w:cs="Times New Roman" w:eastAsia="Times New Roman" w:hint="default"/>
          <w:spacing w:val="-4"/>
        </w:rPr>
        <w:t>——</w:t>
      </w:r>
      <w:r>
        <w:rPr>
          <w:spacing w:val="-4"/>
        </w:rPr>
        <w:t>融聚世界股权的议案》，</w:t>
      </w:r>
      <w:r>
        <w:rPr/>
        <w:t> 鉴于融聚世界净资产为负，且出于聚焦主营业务的考虑，公司计划将所持有的融聚世界相关股权以</w:t>
      </w:r>
      <w:r>
        <w:rPr>
          <w:rFonts w:ascii="Times New Roman" w:hAnsi="Times New Roman" w:cs="Times New Roman" w:eastAsia="Times New Roman" w:hint="default"/>
        </w:rPr>
        <w:t>0</w:t>
      </w:r>
      <w:r>
        <w:rPr/>
        <w:t>元的价格全部转让给霍</w:t>
      </w:r>
      <w:r>
        <w:rPr>
          <w:spacing w:val="-82"/>
        </w:rPr>
        <w:t> </w:t>
      </w:r>
      <w:r>
        <w:rPr>
          <w:spacing w:val="-82"/>
        </w:rPr>
      </w:r>
      <w:r>
        <w:rPr/>
        <w:t>尔果斯物联和诚股权投资管理合伙企业</w:t>
      </w:r>
      <w:r>
        <w:rPr>
          <w:rFonts w:ascii="Times New Roman" w:hAnsi="Times New Roman" w:cs="Times New Roman" w:eastAsia="Times New Roman" w:hint="default"/>
        </w:rPr>
        <w:t>(</w:t>
      </w:r>
      <w:r>
        <w:rPr/>
        <w:t>有限合伙</w:t>
      </w:r>
      <w:r>
        <w:rPr>
          <w:rFonts w:ascii="Times New Roman" w:hAnsi="Times New Roman" w:cs="Times New Roman" w:eastAsia="Times New Roman" w:hint="default"/>
        </w:rPr>
        <w:t>)</w:t>
      </w:r>
      <w:r>
        <w:rPr/>
        <w:t>。本次股权转让完成后，公司不再持有融聚世界股权。</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2"/>
          <w:szCs w:val="22"/>
        </w:rPr>
      </w:pPr>
    </w:p>
    <w:p>
      <w:pPr>
        <w:pStyle w:val="Heading2"/>
        <w:spacing w:line="240" w:lineRule="auto"/>
        <w:ind w:right="0"/>
        <w:jc w:val="left"/>
        <w:rPr>
          <w:b w:val="0"/>
          <w:bCs w:val="0"/>
        </w:rPr>
      </w:pPr>
      <w:bookmarkStart w:name="十九、公司子公司重大事项" w:id="111"/>
      <w:bookmarkEnd w:id="111"/>
      <w:r>
        <w:rPr>
          <w:b w:val="0"/>
          <w:bCs w:val="0"/>
        </w:rPr>
      </w:r>
      <w:r>
        <w:rPr/>
        <w:t>十九、公司子公司重大事项</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13"/>
          <w:szCs w:val="13"/>
        </w:rPr>
      </w:pPr>
    </w:p>
    <w:p>
      <w:pPr>
        <w:pStyle w:val="BodyText"/>
        <w:spacing w:line="463" w:lineRule="auto"/>
        <w:ind w:right="1131" w:firstLine="360"/>
        <w:jc w:val="both"/>
      </w:pPr>
      <w:r>
        <w:rPr/>
        <w:t>（</w:t>
      </w:r>
      <w:r>
        <w:rPr>
          <w:rFonts w:ascii="Times New Roman" w:hAnsi="Times New Roman" w:cs="Times New Roman" w:eastAsia="Times New Roman" w:hint="default"/>
        </w:rPr>
        <w:t>1</w:t>
      </w:r>
      <w:r>
        <w:rPr/>
        <w:t>）控股子公司奇点新源国际技术开发（北京）有限公司与中国广核集团签署了有关通信与物联网的战略合作协议， </w:t>
      </w:r>
      <w:r>
        <w:rPr>
          <w:spacing w:val="-2"/>
        </w:rPr>
        <w:t>合作成立通信与物联网应用实验室，研究针对核电通信与物联网相关技术、合作起草核电行业无线通信技术标准并申报与落</w:t>
      </w:r>
      <w:r>
        <w:rPr>
          <w:spacing w:val="-64"/>
        </w:rPr>
        <w:t> </w:t>
      </w:r>
      <w:r>
        <w:rPr>
          <w:spacing w:val="-64"/>
        </w:rPr>
      </w:r>
      <w:r>
        <w:rPr/>
        <w:t>地、开展核电无线通信及物联网相关智能化应用等方向的深度合作。</w:t>
      </w:r>
    </w:p>
    <w:p>
      <w:pPr>
        <w:pStyle w:val="BodyText"/>
        <w:spacing w:line="451" w:lineRule="auto" w:before="65"/>
        <w:ind w:right="1129" w:firstLine="360"/>
        <w:jc w:val="both"/>
      </w:pPr>
      <w:r>
        <w:rPr/>
        <w:t>（</w:t>
      </w:r>
      <w:r>
        <w:rPr>
          <w:rFonts w:ascii="Times New Roman" w:hAnsi="Times New Roman" w:cs="Times New Roman" w:eastAsia="Times New Roman" w:hint="default"/>
        </w:rPr>
        <w:t>2</w:t>
      </w:r>
      <w:r>
        <w:rPr/>
        <w:t>）为完善</w:t>
      </w:r>
      <w:r>
        <w:rPr>
          <w:rFonts w:ascii="Times New Roman" w:hAnsi="Times New Roman" w:cs="Times New Roman" w:eastAsia="Times New Roman" w:hint="default"/>
        </w:rPr>
        <w:t>Ultrapower 360 Pte.</w:t>
      </w:r>
      <w:r>
        <w:rPr>
          <w:rFonts w:ascii="Times New Roman" w:hAnsi="Times New Roman" w:cs="Times New Roman" w:eastAsia="Times New Roman" w:hint="default"/>
          <w:spacing w:val="-17"/>
        </w:rPr>
        <w:t> </w:t>
      </w:r>
      <w:r>
        <w:rPr>
          <w:rFonts w:ascii="Times New Roman" w:hAnsi="Times New Roman" w:cs="Times New Roman" w:eastAsia="Times New Roman" w:hint="default"/>
        </w:rPr>
        <w:t>Ltd</w:t>
      </w:r>
      <w:r>
        <w:rPr/>
        <w:t>（简称</w:t>
      </w:r>
      <w:r>
        <w:rPr>
          <w:rFonts w:ascii="Times New Roman" w:hAnsi="Times New Roman" w:cs="Times New Roman" w:eastAsia="Times New Roman" w:hint="default"/>
        </w:rPr>
        <w:t>“</w:t>
      </w:r>
      <w:r>
        <w:rPr/>
        <w:t>泰岳</w:t>
      </w:r>
      <w:r>
        <w:rPr>
          <w:rFonts w:ascii="Times New Roman" w:hAnsi="Times New Roman" w:cs="Times New Roman" w:eastAsia="Times New Roman" w:hint="default"/>
        </w:rPr>
        <w:t>360</w:t>
      </w:r>
      <w:r>
        <w:rPr/>
        <w:t>公司</w:t>
      </w:r>
      <w:r>
        <w:rPr>
          <w:rFonts w:ascii="Times New Roman" w:hAnsi="Times New Roman" w:cs="Times New Roman" w:eastAsia="Times New Roman" w:hint="default"/>
        </w:rPr>
        <w:t>”</w:t>
      </w:r>
      <w:r>
        <w:rPr/>
        <w:t>）股权激励机制，更好的调动核心员工的主动性、积极性和创 造性，经公司第六届董事会第三十八次会议、四十次会议、四十五次会议审议，泰岳</w:t>
      </w:r>
      <w:r>
        <w:rPr>
          <w:rFonts w:ascii="Times New Roman" w:hAnsi="Times New Roman" w:cs="Times New Roman" w:eastAsia="Times New Roman" w:hint="default"/>
        </w:rPr>
        <w:t>360</w:t>
      </w:r>
      <w:r>
        <w:rPr/>
        <w:t>公司原股东已将部分股权转让给泰</w:t>
      </w:r>
      <w:r>
        <w:rPr>
          <w:spacing w:val="-82"/>
        </w:rPr>
        <w:t> </w:t>
      </w:r>
      <w:r>
        <w:rPr>
          <w:spacing w:val="-82"/>
        </w:rPr>
      </w:r>
      <w:r>
        <w:rPr>
          <w:spacing w:val="-1"/>
        </w:rPr>
        <w:t>岳</w:t>
      </w:r>
      <w:r>
        <w:rPr>
          <w:rFonts w:ascii="Times New Roman" w:hAnsi="Times New Roman" w:cs="Times New Roman" w:eastAsia="Times New Roman" w:hint="default"/>
          <w:spacing w:val="-1"/>
        </w:rPr>
        <w:t>360</w:t>
      </w:r>
      <w:r>
        <w:rPr>
          <w:spacing w:val="-1"/>
        </w:rPr>
        <w:t>公司管理团队持股平台</w:t>
      </w:r>
      <w:r>
        <w:rPr>
          <w:rFonts w:ascii="Times New Roman" w:hAnsi="Times New Roman" w:cs="Times New Roman" w:eastAsia="Times New Roman" w:hint="default"/>
          <w:spacing w:val="-1"/>
        </w:rPr>
        <w:t>——</w:t>
      </w:r>
      <w:r>
        <w:rPr>
          <w:spacing w:val="-1"/>
        </w:rPr>
        <w:t>横琴聚众合力投资企业（有限合伙）。转让完成后，泰岳</w:t>
      </w:r>
      <w:r>
        <w:rPr>
          <w:rFonts w:ascii="Times New Roman" w:hAnsi="Times New Roman" w:cs="Times New Roman" w:eastAsia="Times New Roman" w:hint="default"/>
          <w:spacing w:val="-1"/>
        </w:rPr>
        <w:t>(</w:t>
      </w:r>
      <w:r>
        <w:rPr>
          <w:spacing w:val="-1"/>
        </w:rPr>
        <w:t>香港</w:t>
      </w:r>
      <w:r>
        <w:rPr>
          <w:rFonts w:ascii="Times New Roman" w:hAnsi="Times New Roman" w:cs="Times New Roman" w:eastAsia="Times New Roman" w:hint="default"/>
          <w:spacing w:val="-1"/>
        </w:rPr>
        <w:t>)</w:t>
      </w:r>
      <w:r>
        <w:rPr>
          <w:spacing w:val="-1"/>
        </w:rPr>
        <w:t>有限公司不再持有泰岳</w:t>
      </w:r>
      <w:r>
        <w:rPr>
          <w:rFonts w:ascii="Times New Roman" w:hAnsi="Times New Roman" w:cs="Times New Roman" w:eastAsia="Times New Roman" w:hint="default"/>
          <w:spacing w:val="-1"/>
        </w:rPr>
        <w:t>360</w:t>
      </w:r>
      <w:r>
        <w:rPr>
          <w:rFonts w:ascii="Times New Roman" w:hAnsi="Times New Roman" w:cs="Times New Roman" w:eastAsia="Times New Roman" w:hint="default"/>
          <w:spacing w:val="-10"/>
        </w:rPr>
        <w:t> </w:t>
      </w:r>
      <w:r>
        <w:rPr/>
        <w:t>公司的股权，</w:t>
      </w:r>
      <w:r>
        <w:rPr>
          <w:rFonts w:ascii="Times New Roman" w:hAnsi="Times New Roman" w:cs="Times New Roman" w:eastAsia="Times New Roman" w:hint="default"/>
        </w:rPr>
        <w:t>Bridge Minds Consulting Pte</w:t>
      </w:r>
      <w:r>
        <w:rPr>
          <w:rFonts w:ascii="Times New Roman" w:hAnsi="Times New Roman" w:cs="Times New Roman" w:eastAsia="Times New Roman" w:hint="default"/>
          <w:spacing w:val="-4"/>
        </w:rPr>
        <w:t> </w:t>
      </w:r>
      <w:r>
        <w:rPr>
          <w:rFonts w:ascii="Times New Roman" w:hAnsi="Times New Roman" w:cs="Times New Roman" w:eastAsia="Times New Roman" w:hint="default"/>
        </w:rPr>
        <w:t>Ltd</w:t>
      </w:r>
      <w:r>
        <w:rPr/>
        <w:t>持有泰岳</w:t>
      </w:r>
      <w:r>
        <w:rPr>
          <w:rFonts w:ascii="Times New Roman" w:hAnsi="Times New Roman" w:cs="Times New Roman" w:eastAsia="Times New Roman" w:hint="default"/>
        </w:rPr>
        <w:t>360</w:t>
      </w:r>
      <w:r>
        <w:rPr/>
        <w:t>公司的股权比例降至</w:t>
      </w:r>
      <w:r>
        <w:rPr>
          <w:rFonts w:ascii="Times New Roman" w:hAnsi="Times New Roman" w:cs="Times New Roman" w:eastAsia="Times New Roman" w:hint="default"/>
        </w:rPr>
        <w:t>19%</w:t>
      </w:r>
      <w:r>
        <w:rPr/>
        <w:t>。</w:t>
      </w:r>
    </w:p>
    <w:p>
      <w:pPr>
        <w:pStyle w:val="BodyText"/>
        <w:spacing w:line="451" w:lineRule="auto" w:before="43"/>
        <w:ind w:right="1130" w:firstLine="360"/>
        <w:jc w:val="both"/>
      </w:pPr>
      <w:r>
        <w:rPr/>
        <w:t>（</w:t>
      </w:r>
      <w:r>
        <w:rPr>
          <w:rFonts w:ascii="Times New Roman" w:hAnsi="Times New Roman" w:cs="Times New Roman" w:eastAsia="Times New Roman" w:hint="default"/>
        </w:rPr>
        <w:t>3</w:t>
      </w:r>
      <w:r>
        <w:rPr/>
        <w:t>）全资子公司北京神州泰岳系统集成有限公司（简称</w:t>
      </w:r>
      <w:r>
        <w:rPr>
          <w:rFonts w:ascii="Times New Roman" w:hAnsi="Times New Roman" w:cs="Times New Roman" w:eastAsia="Times New Roman" w:hint="default"/>
        </w:rPr>
        <w:t>“</w:t>
      </w:r>
      <w:r>
        <w:rPr/>
        <w:t>系统集成公司</w:t>
      </w:r>
      <w:r>
        <w:rPr>
          <w:rFonts w:ascii="Times New Roman" w:hAnsi="Times New Roman" w:cs="Times New Roman" w:eastAsia="Times New Roman" w:hint="default"/>
        </w:rPr>
        <w:t>”</w:t>
      </w:r>
      <w:r>
        <w:rPr/>
        <w:t>）起诉大唐电信科技股份有限公司旗下子公司 大唐半导体设计有限公司、大唐微电子技术有限公司，要求其支付合同款项并支付相应违约金，合计涉案金额约</w:t>
      </w:r>
      <w:r>
        <w:rPr>
          <w:rFonts w:ascii="Times New Roman" w:hAnsi="Times New Roman" w:cs="Times New Roman" w:eastAsia="Times New Roman" w:hint="default"/>
        </w:rPr>
        <w:t>42,480.37</w:t>
      </w:r>
      <w:r>
        <w:rPr>
          <w:rFonts w:ascii="Times New Roman" w:hAnsi="Times New Roman" w:cs="Times New Roman" w:eastAsia="Times New Roman" w:hint="default"/>
          <w:spacing w:val="2"/>
        </w:rPr>
        <w:t> </w:t>
      </w:r>
      <w:r>
        <w:rPr/>
        <w:t>万元，目前处于北京高级人民法院再审申请中。</w:t>
      </w:r>
    </w:p>
    <w:p>
      <w:pPr>
        <w:spacing w:after="0" w:line="451" w:lineRule="auto"/>
        <w:jc w:val="both"/>
        <w:sectPr>
          <w:pgSz w:w="11910" w:h="16840"/>
          <w:pgMar w:header="851" w:footer="979" w:top="1400" w:bottom="1160" w:left="980" w:right="0"/>
        </w:sectPr>
      </w:pPr>
    </w:p>
    <w:p>
      <w:pPr>
        <w:spacing w:line="240" w:lineRule="auto" w:before="6"/>
        <w:rPr>
          <w:rFonts w:ascii="宋体" w:hAnsi="宋体" w:cs="宋体" w:eastAsia="宋体" w:hint="default"/>
          <w:sz w:val="13"/>
          <w:szCs w:val="13"/>
        </w:rPr>
      </w:pPr>
    </w:p>
    <w:p>
      <w:pPr>
        <w:pStyle w:val="Heading1"/>
        <w:spacing w:line="240" w:lineRule="auto"/>
        <w:ind w:left="3046" w:right="0"/>
        <w:jc w:val="left"/>
        <w:rPr>
          <w:b w:val="0"/>
          <w:bCs w:val="0"/>
        </w:rPr>
      </w:pPr>
      <w:bookmarkStart w:name="第六节股份变动及股东情况" w:id="112"/>
      <w:bookmarkEnd w:id="112"/>
      <w:r>
        <w:rPr>
          <w:b w:val="0"/>
          <w:bCs w:val="0"/>
        </w:rPr>
      </w:r>
      <w:bookmarkStart w:name="_bookmark5" w:id="113"/>
      <w:bookmarkEnd w:id="113"/>
      <w:r>
        <w:rPr>
          <w:b w:val="0"/>
          <w:bCs w:val="0"/>
        </w:rPr>
      </w:r>
      <w:r>
        <w:rPr/>
        <w:t>第六节股份变动及股东情况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股份变动情况" w:id="114"/>
      <w:bookmarkEnd w:id="114"/>
      <w:r>
        <w:rPr>
          <w:b w:val="0"/>
          <w:bCs w:val="0"/>
        </w:rPr>
      </w:r>
      <w:r>
        <w:rPr/>
        <w:t>一、股份变动情况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股份变动情况" w:id="115"/>
      <w:bookmarkEnd w:id="115"/>
      <w:r>
        <w:rPr>
          <w:b w:val="0"/>
          <w:bCs w:val="0"/>
        </w:rPr>
      </w:r>
      <w:r>
        <w:rPr>
          <w:rFonts w:ascii="Times New Roman" w:hAnsi="Times New Roman" w:cs="Times New Roman" w:eastAsia="Times New Roman" w:hint="default"/>
        </w:rPr>
        <w:t>1</w:t>
      </w:r>
      <w:r>
        <w:rPr/>
        <w:t>、股份变动情况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单位：股</w:t>
      </w:r>
    </w:p>
    <w:p>
      <w:pPr>
        <w:spacing w:line="240" w:lineRule="auto" w:before="13"/>
        <w:rPr>
          <w:rFonts w:ascii="宋体" w:hAnsi="宋体" w:cs="宋体" w:eastAsia="宋体" w:hint="default"/>
          <w:sz w:val="7"/>
          <w:szCs w:val="7"/>
        </w:rPr>
      </w:pPr>
    </w:p>
    <w:tbl>
      <w:tblPr>
        <w:tblW w:w="0" w:type="auto"/>
        <w:jc w:val="left"/>
        <w:tblInd w:w="133" w:type="dxa"/>
        <w:tblLayout w:type="fixed"/>
        <w:tblCellMar>
          <w:top w:w="0" w:type="dxa"/>
          <w:left w:w="0" w:type="dxa"/>
          <w:bottom w:w="0" w:type="dxa"/>
          <w:right w:w="0" w:type="dxa"/>
        </w:tblCellMar>
        <w:tblLook w:val="01E0"/>
      </w:tblPr>
      <w:tblGrid>
        <w:gridCol w:w="1980"/>
        <w:gridCol w:w="1155"/>
        <w:gridCol w:w="713"/>
        <w:gridCol w:w="714"/>
        <w:gridCol w:w="559"/>
        <w:gridCol w:w="708"/>
        <w:gridCol w:w="997"/>
        <w:gridCol w:w="1049"/>
        <w:gridCol w:w="1099"/>
        <w:gridCol w:w="708"/>
      </w:tblGrid>
      <w:tr>
        <w:trPr>
          <w:trHeight w:val="402" w:hRule="exact"/>
        </w:trPr>
        <w:tc>
          <w:tcPr>
            <w:tcW w:w="1980" w:type="dxa"/>
            <w:tcBorders>
              <w:top w:val="single" w:sz="4" w:space="0" w:color="000000"/>
              <w:left w:val="single" w:sz="4" w:space="0" w:color="000000"/>
              <w:bottom w:val="nil" w:sz="6" w:space="0" w:color="auto"/>
              <w:right w:val="single" w:sz="4" w:space="0" w:color="000000"/>
            </w:tcBorders>
            <w:shd w:val="clear" w:color="auto" w:fill="D2D2D2"/>
          </w:tcPr>
          <w:p>
            <w:pPr/>
          </w:p>
        </w:tc>
        <w:tc>
          <w:tcPr>
            <w:tcW w:w="186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84"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028"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8"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80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47"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61" w:hRule="exact"/>
        </w:trPr>
        <w:tc>
          <w:tcPr>
            <w:tcW w:w="1980" w:type="dxa"/>
            <w:vMerge w:val="restart"/>
            <w:tcBorders>
              <w:top w:val="nil" w:sz="6" w:space="0" w:color="auto"/>
              <w:left w:val="single" w:sz="4" w:space="0" w:color="000000"/>
              <w:right w:val="single" w:sz="4" w:space="0" w:color="000000"/>
            </w:tcBorders>
            <w:shd w:val="clear" w:color="auto" w:fill="D2D2D2"/>
          </w:tcPr>
          <w:p>
            <w:pPr/>
          </w:p>
        </w:tc>
        <w:tc>
          <w:tcPr>
            <w:tcW w:w="1155" w:type="dxa"/>
            <w:tcBorders>
              <w:top w:val="single" w:sz="4" w:space="0" w:color="000000"/>
              <w:left w:val="single" w:sz="4" w:space="0" w:color="000000"/>
              <w:bottom w:val="nil" w:sz="6" w:space="0" w:color="auto"/>
              <w:right w:val="single" w:sz="4" w:space="0" w:color="000000"/>
            </w:tcBorders>
            <w:shd w:val="clear" w:color="auto" w:fill="D2D2D2"/>
          </w:tcPr>
          <w:p>
            <w:pPr/>
          </w:p>
        </w:tc>
        <w:tc>
          <w:tcPr>
            <w:tcW w:w="713" w:type="dxa"/>
            <w:tcBorders>
              <w:top w:val="single" w:sz="4" w:space="0" w:color="000000"/>
              <w:left w:val="single" w:sz="4" w:space="0" w:color="000000"/>
              <w:bottom w:val="nil" w:sz="6" w:space="0" w:color="auto"/>
              <w:right w:val="single" w:sz="4" w:space="0" w:color="000000"/>
            </w:tcBorders>
            <w:shd w:val="clear" w:color="auto" w:fill="D2D2D2"/>
          </w:tcPr>
          <w:p>
            <w:pPr/>
          </w:p>
        </w:tc>
        <w:tc>
          <w:tcPr>
            <w:tcW w:w="714"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262" w:right="79" w:hanging="180"/>
              <w:jc w:val="left"/>
              <w:rPr>
                <w:rFonts w:ascii="宋体" w:hAnsi="宋体" w:cs="宋体" w:eastAsia="宋体" w:hint="default"/>
                <w:sz w:val="18"/>
                <w:szCs w:val="18"/>
              </w:rPr>
            </w:pPr>
            <w:r>
              <w:rPr>
                <w:rFonts w:ascii="宋体" w:hAnsi="宋体" w:cs="宋体" w:eastAsia="宋体" w:hint="default"/>
                <w:sz w:val="18"/>
                <w:szCs w:val="18"/>
              </w:rPr>
              <w:t>发行新 股</w:t>
            </w:r>
          </w:p>
        </w:tc>
        <w:tc>
          <w:tcPr>
            <w:tcW w:w="559"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167" w:right="78" w:hanging="90"/>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997" w:type="dxa"/>
            <w:tcBorders>
              <w:top w:val="single" w:sz="4" w:space="0" w:color="000000"/>
              <w:left w:val="single" w:sz="4" w:space="0" w:color="000000"/>
              <w:bottom w:val="nil" w:sz="6" w:space="0" w:color="auto"/>
              <w:right w:val="single" w:sz="4" w:space="0" w:color="000000"/>
            </w:tcBorders>
            <w:shd w:val="clear" w:color="auto" w:fill="D2D2D2"/>
          </w:tcPr>
          <w:p>
            <w:pPr/>
          </w:p>
        </w:tc>
        <w:tc>
          <w:tcPr>
            <w:tcW w:w="1049" w:type="dxa"/>
            <w:tcBorders>
              <w:top w:val="single" w:sz="4" w:space="0" w:color="000000"/>
              <w:left w:val="single" w:sz="4" w:space="0" w:color="000000"/>
              <w:bottom w:val="nil" w:sz="6" w:space="0" w:color="auto"/>
              <w:right w:val="single" w:sz="4" w:space="0" w:color="000000"/>
            </w:tcBorders>
            <w:shd w:val="clear" w:color="auto" w:fill="D2D2D2"/>
          </w:tcPr>
          <w:p>
            <w:pPr/>
          </w:p>
        </w:tc>
        <w:tc>
          <w:tcPr>
            <w:tcW w:w="1099"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1" w:hRule="exact"/>
        </w:trPr>
        <w:tc>
          <w:tcPr>
            <w:tcW w:w="1980" w:type="dxa"/>
            <w:vMerge/>
            <w:tcBorders>
              <w:left w:val="single" w:sz="4" w:space="0" w:color="000000"/>
              <w:bottom w:val="nil" w:sz="6" w:space="0" w:color="auto"/>
              <w:right w:val="single" w:sz="4" w:space="0" w:color="000000"/>
            </w:tcBorders>
            <w:shd w:val="clear" w:color="auto" w:fill="D2D2D2"/>
          </w:tcPr>
          <w:p>
            <w:pPr/>
          </w:p>
        </w:tc>
        <w:tc>
          <w:tcPr>
            <w:tcW w:w="115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7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71"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14" w:type="dxa"/>
            <w:vMerge/>
            <w:tcBorders>
              <w:left w:val="single" w:sz="4" w:space="0" w:color="000000"/>
              <w:right w:val="single" w:sz="4" w:space="0" w:color="000000"/>
            </w:tcBorders>
            <w:shd w:val="clear" w:color="auto" w:fill="D2D2D2"/>
          </w:tcPr>
          <w:p>
            <w:pPr/>
          </w:p>
        </w:tc>
        <w:tc>
          <w:tcPr>
            <w:tcW w:w="55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94"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708" w:type="dxa"/>
            <w:vMerge/>
            <w:tcBorders>
              <w:left w:val="single" w:sz="4" w:space="0" w:color="000000"/>
              <w:right w:val="single" w:sz="4" w:space="0" w:color="000000"/>
            </w:tcBorders>
            <w:shd w:val="clear" w:color="auto" w:fill="D2D2D2"/>
          </w:tcPr>
          <w:p>
            <w:pPr/>
          </w:p>
        </w:tc>
        <w:tc>
          <w:tcPr>
            <w:tcW w:w="9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4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8"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09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70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67"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202" w:hRule="exact"/>
        </w:trPr>
        <w:tc>
          <w:tcPr>
            <w:tcW w:w="1980" w:type="dxa"/>
            <w:vMerge w:val="restart"/>
            <w:tcBorders>
              <w:top w:val="nil" w:sz="6" w:space="0" w:color="auto"/>
              <w:left w:val="single" w:sz="4" w:space="0" w:color="000000"/>
              <w:right w:val="single" w:sz="4" w:space="0" w:color="000000"/>
            </w:tcBorders>
            <w:shd w:val="clear" w:color="auto" w:fill="D2D2D2"/>
          </w:tcPr>
          <w:p>
            <w:pPr/>
          </w:p>
        </w:tc>
        <w:tc>
          <w:tcPr>
            <w:tcW w:w="1155" w:type="dxa"/>
            <w:vMerge/>
            <w:tcBorders>
              <w:left w:val="single" w:sz="4" w:space="0" w:color="000000"/>
              <w:bottom w:val="nil" w:sz="6" w:space="0" w:color="auto"/>
              <w:right w:val="single" w:sz="4" w:space="0" w:color="000000"/>
            </w:tcBorders>
            <w:shd w:val="clear" w:color="auto" w:fill="D2D2D2"/>
          </w:tcPr>
          <w:p>
            <w:pPr/>
          </w:p>
        </w:tc>
        <w:tc>
          <w:tcPr>
            <w:tcW w:w="713" w:type="dxa"/>
            <w:vMerge/>
            <w:tcBorders>
              <w:left w:val="single" w:sz="4" w:space="0" w:color="000000"/>
              <w:bottom w:val="nil" w:sz="6" w:space="0" w:color="auto"/>
              <w:right w:val="single" w:sz="4" w:space="0" w:color="000000"/>
            </w:tcBorders>
            <w:shd w:val="clear" w:color="auto" w:fill="D2D2D2"/>
          </w:tcPr>
          <w:p>
            <w:pPr/>
          </w:p>
        </w:tc>
        <w:tc>
          <w:tcPr>
            <w:tcW w:w="714" w:type="dxa"/>
            <w:vMerge/>
            <w:tcBorders>
              <w:left w:val="single" w:sz="4" w:space="0" w:color="000000"/>
              <w:right w:val="single" w:sz="4" w:space="0" w:color="000000"/>
            </w:tcBorders>
            <w:shd w:val="clear" w:color="auto" w:fill="D2D2D2"/>
          </w:tcPr>
          <w:p>
            <w:pPr/>
          </w:p>
        </w:tc>
        <w:tc>
          <w:tcPr>
            <w:tcW w:w="559" w:type="dxa"/>
            <w:vMerge/>
            <w:tcBorders>
              <w:left w:val="single" w:sz="4" w:space="0" w:color="000000"/>
              <w:bottom w:val="nil" w:sz="6" w:space="0" w:color="auto"/>
              <w:right w:val="single" w:sz="4" w:space="0" w:color="000000"/>
            </w:tcBorders>
            <w:shd w:val="clear" w:color="auto" w:fill="D2D2D2"/>
          </w:tcPr>
          <w:p>
            <w:pPr/>
          </w:p>
        </w:tc>
        <w:tc>
          <w:tcPr>
            <w:tcW w:w="708" w:type="dxa"/>
            <w:vMerge/>
            <w:tcBorders>
              <w:left w:val="single" w:sz="4" w:space="0" w:color="000000"/>
              <w:right w:val="single" w:sz="4" w:space="0" w:color="000000"/>
            </w:tcBorders>
            <w:shd w:val="clear" w:color="auto" w:fill="D2D2D2"/>
          </w:tcPr>
          <w:p>
            <w:pPr/>
          </w:p>
        </w:tc>
        <w:tc>
          <w:tcPr>
            <w:tcW w:w="997" w:type="dxa"/>
            <w:vMerge/>
            <w:tcBorders>
              <w:left w:val="single" w:sz="4" w:space="0" w:color="000000"/>
              <w:bottom w:val="nil" w:sz="6" w:space="0" w:color="auto"/>
              <w:right w:val="single" w:sz="4" w:space="0" w:color="000000"/>
            </w:tcBorders>
            <w:shd w:val="clear" w:color="auto" w:fill="D2D2D2"/>
          </w:tcPr>
          <w:p>
            <w:pPr/>
          </w:p>
        </w:tc>
        <w:tc>
          <w:tcPr>
            <w:tcW w:w="1049" w:type="dxa"/>
            <w:vMerge/>
            <w:tcBorders>
              <w:left w:val="single" w:sz="4" w:space="0" w:color="000000"/>
              <w:bottom w:val="nil" w:sz="6" w:space="0" w:color="auto"/>
              <w:right w:val="single" w:sz="4" w:space="0" w:color="000000"/>
            </w:tcBorders>
            <w:shd w:val="clear" w:color="auto" w:fill="D2D2D2"/>
          </w:tcPr>
          <w:p>
            <w:pPr/>
          </w:p>
        </w:tc>
        <w:tc>
          <w:tcPr>
            <w:tcW w:w="1099" w:type="dxa"/>
            <w:vMerge/>
            <w:tcBorders>
              <w:left w:val="single" w:sz="4" w:space="0" w:color="000000"/>
              <w:bottom w:val="nil" w:sz="6" w:space="0" w:color="auto"/>
              <w:right w:val="single" w:sz="4" w:space="0" w:color="000000"/>
            </w:tcBorders>
            <w:shd w:val="clear" w:color="auto" w:fill="D2D2D2"/>
          </w:tcPr>
          <w:p>
            <w:pPr/>
          </w:p>
        </w:tc>
        <w:tc>
          <w:tcPr>
            <w:tcW w:w="708" w:type="dxa"/>
            <w:vMerge/>
            <w:tcBorders>
              <w:left w:val="single" w:sz="4" w:space="0" w:color="000000"/>
              <w:bottom w:val="nil" w:sz="6" w:space="0" w:color="auto"/>
              <w:right w:val="single" w:sz="4" w:space="0" w:color="000000"/>
            </w:tcBorders>
            <w:shd w:val="clear" w:color="auto" w:fill="D2D2D2"/>
          </w:tcPr>
          <w:p>
            <w:pPr/>
          </w:p>
        </w:tc>
      </w:tr>
      <w:tr>
        <w:trPr>
          <w:trHeight w:val="161" w:hRule="exact"/>
        </w:trPr>
        <w:tc>
          <w:tcPr>
            <w:tcW w:w="1980" w:type="dxa"/>
            <w:vMerge/>
            <w:tcBorders>
              <w:left w:val="single" w:sz="4" w:space="0" w:color="000000"/>
              <w:bottom w:val="single" w:sz="4" w:space="0" w:color="000000"/>
              <w:right w:val="single" w:sz="4" w:space="0" w:color="000000"/>
            </w:tcBorders>
            <w:shd w:val="clear" w:color="auto" w:fill="D2D2D2"/>
          </w:tcPr>
          <w:p>
            <w:pPr/>
          </w:p>
        </w:tc>
        <w:tc>
          <w:tcPr>
            <w:tcW w:w="1155" w:type="dxa"/>
            <w:tcBorders>
              <w:top w:val="nil" w:sz="6" w:space="0" w:color="auto"/>
              <w:left w:val="single" w:sz="4" w:space="0" w:color="000000"/>
              <w:bottom w:val="single" w:sz="4" w:space="0" w:color="000000"/>
              <w:right w:val="single" w:sz="4" w:space="0" w:color="000000"/>
            </w:tcBorders>
            <w:shd w:val="clear" w:color="auto" w:fill="D2D2D2"/>
          </w:tcPr>
          <w:p>
            <w:pPr/>
          </w:p>
        </w:tc>
        <w:tc>
          <w:tcPr>
            <w:tcW w:w="713" w:type="dxa"/>
            <w:tcBorders>
              <w:top w:val="nil" w:sz="6" w:space="0" w:color="auto"/>
              <w:left w:val="single" w:sz="4" w:space="0" w:color="000000"/>
              <w:bottom w:val="single" w:sz="4" w:space="0" w:color="000000"/>
              <w:right w:val="single" w:sz="4" w:space="0" w:color="000000"/>
            </w:tcBorders>
            <w:shd w:val="clear" w:color="auto" w:fill="D2D2D2"/>
          </w:tcPr>
          <w:p>
            <w:pPr/>
          </w:p>
        </w:tc>
        <w:tc>
          <w:tcPr>
            <w:tcW w:w="714" w:type="dxa"/>
            <w:vMerge/>
            <w:tcBorders>
              <w:left w:val="single" w:sz="4" w:space="0" w:color="000000"/>
              <w:bottom w:val="single" w:sz="4" w:space="0" w:color="000000"/>
              <w:right w:val="single" w:sz="4" w:space="0" w:color="000000"/>
            </w:tcBorders>
            <w:shd w:val="clear" w:color="auto" w:fill="D2D2D2"/>
          </w:tcPr>
          <w:p>
            <w:pPr/>
          </w:p>
        </w:tc>
        <w:tc>
          <w:tcPr>
            <w:tcW w:w="559" w:type="dxa"/>
            <w:tcBorders>
              <w:top w:val="nil" w:sz="6" w:space="0" w:color="auto"/>
              <w:left w:val="single" w:sz="4" w:space="0" w:color="000000"/>
              <w:bottom w:val="single" w:sz="4" w:space="0" w:color="000000"/>
              <w:right w:val="single" w:sz="4" w:space="0" w:color="000000"/>
            </w:tcBorders>
            <w:shd w:val="clear" w:color="auto" w:fill="D2D2D2"/>
          </w:tcPr>
          <w:p>
            <w:pPr/>
          </w:p>
        </w:tc>
        <w:tc>
          <w:tcPr>
            <w:tcW w:w="708" w:type="dxa"/>
            <w:vMerge/>
            <w:tcBorders>
              <w:left w:val="single" w:sz="4" w:space="0" w:color="000000"/>
              <w:bottom w:val="single" w:sz="4" w:space="0" w:color="000000"/>
              <w:right w:val="single" w:sz="4" w:space="0" w:color="000000"/>
            </w:tcBorders>
            <w:shd w:val="clear" w:color="auto" w:fill="D2D2D2"/>
          </w:tcPr>
          <w:p>
            <w:pPr/>
          </w:p>
        </w:tc>
        <w:tc>
          <w:tcPr>
            <w:tcW w:w="997" w:type="dxa"/>
            <w:tcBorders>
              <w:top w:val="nil" w:sz="6" w:space="0" w:color="auto"/>
              <w:left w:val="single" w:sz="4" w:space="0" w:color="000000"/>
              <w:bottom w:val="single" w:sz="4" w:space="0" w:color="000000"/>
              <w:right w:val="single" w:sz="4" w:space="0" w:color="000000"/>
            </w:tcBorders>
            <w:shd w:val="clear" w:color="auto" w:fill="D2D2D2"/>
          </w:tcPr>
          <w:p>
            <w:pPr/>
          </w:p>
        </w:tc>
        <w:tc>
          <w:tcPr>
            <w:tcW w:w="1049" w:type="dxa"/>
            <w:tcBorders>
              <w:top w:val="nil" w:sz="6" w:space="0" w:color="auto"/>
              <w:left w:val="single" w:sz="4" w:space="0" w:color="000000"/>
              <w:bottom w:val="single" w:sz="4" w:space="0" w:color="000000"/>
              <w:right w:val="single" w:sz="4" w:space="0" w:color="000000"/>
            </w:tcBorders>
            <w:shd w:val="clear" w:color="auto" w:fill="D2D2D2"/>
          </w:tcPr>
          <w:p>
            <w:pPr/>
          </w:p>
        </w:tc>
        <w:tc>
          <w:tcPr>
            <w:tcW w:w="1099" w:type="dxa"/>
            <w:tcBorders>
              <w:top w:val="nil" w:sz="6" w:space="0" w:color="auto"/>
              <w:left w:val="single" w:sz="4" w:space="0" w:color="000000"/>
              <w:bottom w:val="single" w:sz="4" w:space="0" w:color="000000"/>
              <w:right w:val="single" w:sz="4" w:space="0" w:color="000000"/>
            </w:tcBorders>
            <w:shd w:val="clear" w:color="auto" w:fill="D2D2D2"/>
          </w:tcPr>
          <w:p>
            <w:pPr/>
          </w:p>
        </w:tc>
        <w:tc>
          <w:tcPr>
            <w:tcW w:w="70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1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577,710,485</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29.46%</w:t>
            </w:r>
          </w:p>
        </w:tc>
        <w:tc>
          <w:tcPr>
            <w:tcW w:w="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-25,680,151</w:t>
            </w:r>
            <w:r>
              <w:rPr>
                <w:rFonts w:ascii="Times New Roman"/>
                <w:sz w:val="18"/>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-25,680,151</w:t>
            </w:r>
            <w:r>
              <w:rPr>
                <w:rFonts w:ascii="Times New Roman"/>
                <w:sz w:val="18"/>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552,030,334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28.15%</w:t>
            </w: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1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1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1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577,710,485</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29.46%</w:t>
            </w:r>
          </w:p>
        </w:tc>
        <w:tc>
          <w:tcPr>
            <w:tcW w:w="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-25,680,151</w:t>
            </w:r>
            <w:r>
              <w:rPr>
                <w:rFonts w:ascii="Times New Roman"/>
                <w:sz w:val="18"/>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-25,680,151</w:t>
            </w:r>
            <w:r>
              <w:rPr>
                <w:rFonts w:ascii="Times New Roman"/>
                <w:sz w:val="18"/>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552,030,334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28.15%</w:t>
            </w: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11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8"/>
              <w:jc w:val="right"/>
              <w:rPr>
                <w:rFonts w:ascii="宋体" w:hAnsi="宋体" w:cs="宋体" w:eastAsia="宋体" w:hint="default"/>
                <w:sz w:val="18"/>
                <w:szCs w:val="18"/>
              </w:rPr>
            </w:pPr>
            <w:r>
              <w:rPr>
                <w:rFonts w:ascii="宋体" w:hAnsi="宋体" w:cs="宋体" w:eastAsia="宋体" w:hint="default"/>
                <w:sz w:val="18"/>
                <w:szCs w:val="18"/>
              </w:rPr>
              <w:t>境内自然人持股</w:t>
            </w:r>
          </w:p>
        </w:tc>
        <w:tc>
          <w:tcPr>
            <w:tcW w:w="11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577,710,485</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29.46%</w:t>
            </w:r>
          </w:p>
        </w:tc>
        <w:tc>
          <w:tcPr>
            <w:tcW w:w="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-25,680,151</w:t>
            </w:r>
            <w:r>
              <w:rPr>
                <w:rFonts w:ascii="Times New Roman"/>
                <w:sz w:val="18"/>
              </w:rPr>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-25,680,151</w:t>
            </w:r>
            <w:r>
              <w:rPr>
                <w:rFonts w:ascii="Times New Roman"/>
                <w:sz w:val="18"/>
              </w:rPr>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552,030,334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28.15%</w:t>
            </w: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1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1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8"/>
              <w:jc w:val="right"/>
              <w:rPr>
                <w:rFonts w:ascii="宋体" w:hAnsi="宋体" w:cs="宋体" w:eastAsia="宋体" w:hint="default"/>
                <w:sz w:val="18"/>
                <w:szCs w:val="18"/>
              </w:rPr>
            </w:pPr>
            <w:r>
              <w:rPr>
                <w:rFonts w:ascii="宋体" w:hAnsi="宋体" w:cs="宋体" w:eastAsia="宋体" w:hint="default"/>
                <w:sz w:val="18"/>
                <w:szCs w:val="18"/>
              </w:rPr>
              <w:t>境外自然人持股</w:t>
            </w:r>
          </w:p>
        </w:tc>
        <w:tc>
          <w:tcPr>
            <w:tcW w:w="11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1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1,383,381,499</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70.54%</w:t>
            </w:r>
          </w:p>
        </w:tc>
        <w:tc>
          <w:tcPr>
            <w:tcW w:w="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25,680,151</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25,680,151</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1,409,061,650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71.85%</w:t>
            </w: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1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1,383,381,499</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70.54%</w:t>
            </w:r>
          </w:p>
        </w:tc>
        <w:tc>
          <w:tcPr>
            <w:tcW w:w="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25,680,151</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25,680,151</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1,409,061,650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71.85%</w:t>
            </w: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11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11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1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1,961,091,984</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100.00%</w:t>
            </w:r>
          </w:p>
        </w:tc>
        <w:tc>
          <w:tcPr>
            <w:tcW w:w="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0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1,961,091,984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100.00%</w:t>
            </w:r>
          </w:p>
        </w:tc>
      </w:tr>
    </w:tbl>
    <w:p>
      <w:pPr>
        <w:pStyle w:val="Heading5"/>
        <w:spacing w:line="240" w:lineRule="auto" w:before="88"/>
        <w:ind w:right="0"/>
        <w:jc w:val="left"/>
        <w:rPr>
          <w:b w:val="0"/>
          <w:bCs w:val="0"/>
        </w:rPr>
      </w:pPr>
      <w:r>
        <w:rPr/>
        <w:t>股份变动的原因</w:t>
      </w:r>
      <w:r>
        <w:rPr>
          <w:b w:val="0"/>
          <w:bCs w:val="0"/>
        </w:rPr>
      </w:r>
    </w:p>
    <w:p>
      <w:pPr>
        <w:spacing w:line="240" w:lineRule="auto" w:before="12"/>
        <w:rPr>
          <w:rFonts w:ascii="宋体" w:hAnsi="宋体" w:cs="宋体" w:eastAsia="宋体" w:hint="default"/>
          <w:b/>
          <w:bCs/>
          <w:sz w:val="14"/>
          <w:szCs w:val="14"/>
        </w:rPr>
      </w:pPr>
    </w:p>
    <w:p>
      <w:pPr>
        <w:pStyle w:val="BodyText"/>
        <w:spacing w:line="412" w:lineRule="auto"/>
        <w:ind w:right="2654"/>
        <w:jc w:val="left"/>
      </w:pPr>
      <w:r>
        <w:rPr>
          <w:rFonts w:ascii="宋体" w:hAnsi="宋体" w:cs="宋体" w:eastAsia="宋体" w:hint="default"/>
          <w:b/>
          <w:bCs/>
        </w:rPr>
        <w:t>√ 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报告期内，由于首发后限售股解除限售、高管离任及董事、监事增持等原因减少限售股</w:t>
      </w:r>
      <w:r>
        <w:rPr>
          <w:spacing w:val="-46"/>
        </w:rPr>
        <w:t> </w:t>
      </w:r>
      <w:r>
        <w:rPr>
          <w:rFonts w:ascii="Times New Roman" w:hAnsi="Times New Roman" w:cs="Times New Roman" w:eastAsia="Times New Roman" w:hint="default"/>
        </w:rPr>
        <w:t>25,680,151</w:t>
      </w:r>
      <w:r>
        <w:rPr>
          <w:rFonts w:ascii="Times New Roman" w:hAnsi="Times New Roman" w:cs="Times New Roman" w:eastAsia="Times New Roman" w:hint="default"/>
          <w:spacing w:val="-1"/>
        </w:rPr>
        <w:t> </w:t>
      </w:r>
      <w:r>
        <w:rPr/>
        <w:t>股。</w:t>
      </w:r>
    </w:p>
    <w:p>
      <w:pPr>
        <w:pStyle w:val="Heading5"/>
        <w:spacing w:line="240" w:lineRule="auto" w:before="116"/>
        <w:ind w:right="0"/>
        <w:jc w:val="left"/>
        <w:rPr>
          <w:b w:val="0"/>
          <w:bCs w:val="0"/>
        </w:rPr>
      </w:pPr>
      <w:r>
        <w:rPr/>
        <w:t>股份变动的批准情况</w:t>
      </w:r>
      <w:r>
        <w:rPr>
          <w:b w:val="0"/>
          <w:bCs w:val="0"/>
        </w:rPr>
      </w:r>
    </w:p>
    <w:p>
      <w:pPr>
        <w:spacing w:line="240" w:lineRule="auto" w:before="11"/>
        <w:rPr>
          <w:rFonts w:ascii="宋体" w:hAnsi="宋体" w:cs="宋体" w:eastAsia="宋体" w:hint="default"/>
          <w:b/>
          <w:bCs/>
          <w:sz w:val="14"/>
          <w:szCs w:val="14"/>
        </w:rPr>
      </w:pPr>
    </w:p>
    <w:p>
      <w:pPr>
        <w:spacing w:line="412" w:lineRule="auto" w:before="0"/>
        <w:ind w:left="154" w:right="912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b/>
          <w:bCs/>
          <w:sz w:val="18"/>
          <w:szCs w:val="18"/>
        </w:rPr>
        <w:t>股份变动的过户情况</w:t>
      </w:r>
      <w:r>
        <w:rPr>
          <w:rFonts w:ascii="宋体" w:hAnsi="宋体" w:cs="宋体" w:eastAsia="宋体" w:hint="default"/>
          <w:sz w:val="18"/>
          <w:szCs w:val="18"/>
        </w:rPr>
      </w:r>
    </w:p>
    <w:p>
      <w:pPr>
        <w:spacing w:line="412" w:lineRule="auto" w:before="66"/>
        <w:ind w:left="154" w:right="876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1"/>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b/>
          <w:bCs/>
          <w:sz w:val="18"/>
          <w:szCs w:val="18"/>
        </w:rPr>
        <w:t>股份回购的实施进展情况</w:t>
      </w:r>
      <w:r>
        <w:rPr>
          <w:rFonts w:ascii="宋体" w:hAnsi="宋体" w:cs="宋体" w:eastAsia="宋体" w:hint="default"/>
          <w:sz w:val="18"/>
          <w:szCs w:val="18"/>
        </w:rPr>
      </w:r>
    </w:p>
    <w:p>
      <w:pPr>
        <w:spacing w:before="65"/>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51" w:footer="979" w:top="1400" w:bottom="1160" w:left="980" w:right="0"/>
        </w:sectPr>
      </w:pPr>
    </w:p>
    <w:p>
      <w:pPr>
        <w:spacing w:line="240" w:lineRule="auto" w:before="1"/>
        <w:rPr>
          <w:rFonts w:ascii="宋体" w:hAnsi="宋体" w:cs="宋体" w:eastAsia="宋体" w:hint="default"/>
          <w:b/>
          <w:bCs/>
          <w:sz w:val="8"/>
          <w:szCs w:val="8"/>
        </w:rPr>
      </w:pPr>
    </w:p>
    <w:p>
      <w:pPr>
        <w:pStyle w:val="Heading5"/>
        <w:spacing w:line="240" w:lineRule="auto" w:before="44"/>
        <w:ind w:right="0"/>
        <w:jc w:val="left"/>
        <w:rPr>
          <w:b w:val="0"/>
          <w:bCs w:val="0"/>
        </w:rPr>
      </w:pPr>
      <w:r>
        <w:rPr/>
        <w:t>采用集中竞价方式减持回购股份的实施进展情况</w:t>
      </w:r>
      <w:r>
        <w:rPr>
          <w:b w:val="0"/>
          <w:bCs w:val="0"/>
        </w:rPr>
      </w:r>
    </w:p>
    <w:p>
      <w:pPr>
        <w:spacing w:line="240" w:lineRule="auto" w:before="12"/>
        <w:rPr>
          <w:rFonts w:ascii="宋体" w:hAnsi="宋体" w:cs="宋体" w:eastAsia="宋体" w:hint="default"/>
          <w:b/>
          <w:bCs/>
          <w:sz w:val="14"/>
          <w:szCs w:val="14"/>
        </w:rPr>
      </w:pPr>
    </w:p>
    <w:p>
      <w:pPr>
        <w:pStyle w:val="Heading5"/>
        <w:spacing w:line="412" w:lineRule="auto"/>
        <w:ind w:right="1115"/>
        <w:jc w:val="left"/>
        <w:rPr>
          <w:b w:val="0"/>
          <w:bCs w:val="0"/>
        </w:rPr>
      </w:pPr>
      <w:r>
        <w:rPr>
          <w:rFonts w:ascii="Times New Roman" w:hAnsi="Times New Roman" w:cs="Times New Roman" w:eastAsia="Times New Roman" w:hint="default"/>
          <w:b w:val="0"/>
          <w:bCs w:val="0"/>
        </w:rPr>
        <w:t>□ </w:t>
      </w:r>
      <w:r>
        <w:rPr>
          <w:rFonts w:ascii="宋体" w:hAnsi="宋体" w:cs="宋体" w:eastAsia="宋体" w:hint="default"/>
          <w:b w:val="0"/>
          <w:bCs w:val="0"/>
        </w:rPr>
        <w:t>适用 </w:t>
      </w:r>
      <w:r>
        <w:rPr/>
        <w:t>√</w:t>
      </w:r>
      <w:r>
        <w:rPr>
          <w:spacing w:val="-1"/>
        </w:rPr>
        <w:t> </w:t>
      </w:r>
      <w:r>
        <w:rPr/>
        <w:t>不适用</w:t>
      </w:r>
      <w:r>
        <w:rPr>
          <w:w w:val="99"/>
        </w:rPr>
        <w:t> </w:t>
      </w:r>
      <w:r>
        <w:rPr>
          <w:w w:val="95"/>
        </w:rPr>
        <w:t>股份变动对最近一年和最近一期基本每股收益和稀释每股收益、归属于公司普通股股东的每股净资产等财务指标的影响</w:t>
      </w:r>
      <w:r>
        <w:rPr>
          <w:b w:val="0"/>
          <w:bCs w:val="0"/>
        </w:rPr>
      </w:r>
    </w:p>
    <w:p>
      <w:pPr>
        <w:pStyle w:val="Heading5"/>
        <w:spacing w:line="412" w:lineRule="auto" w:before="66"/>
        <w:ind w:right="6776"/>
        <w:jc w:val="left"/>
        <w:rPr>
          <w:b w:val="0"/>
          <w:bCs w:val="0"/>
        </w:rPr>
      </w:pPr>
      <w:r>
        <w:rPr>
          <w:rFonts w:ascii="Times New Roman" w:hAnsi="Times New Roman" w:cs="Times New Roman" w:eastAsia="Times New Roman" w:hint="default"/>
          <w:b w:val="0"/>
          <w:bCs w:val="0"/>
        </w:rPr>
        <w:t>□ </w:t>
      </w:r>
      <w:r>
        <w:rPr>
          <w:rFonts w:ascii="宋体" w:hAnsi="宋体" w:cs="宋体" w:eastAsia="宋体" w:hint="default"/>
          <w:b w:val="0"/>
          <w:bCs w:val="0"/>
        </w:rPr>
        <w:t>适用 </w:t>
      </w:r>
      <w:r>
        <w:rPr/>
        <w:t>√</w:t>
      </w:r>
      <w:r>
        <w:rPr>
          <w:spacing w:val="-1"/>
        </w:rPr>
        <w:t> </w:t>
      </w:r>
      <w:r>
        <w:rPr/>
        <w:t>不适用</w:t>
      </w:r>
      <w:r>
        <w:rPr>
          <w:w w:val="99"/>
        </w:rPr>
        <w:t> </w:t>
      </w:r>
      <w:r>
        <w:rPr/>
        <w:t>公司认为必要或证券监管机构要求披露的其他内容</w:t>
      </w:r>
      <w:r>
        <w:rPr>
          <w:b w:val="0"/>
          <w:bCs w:val="0"/>
        </w:rPr>
      </w:r>
    </w:p>
    <w:p>
      <w:pPr>
        <w:spacing w:before="65"/>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right="0"/>
        <w:jc w:val="left"/>
        <w:rPr>
          <w:b w:val="0"/>
          <w:bCs w:val="0"/>
        </w:rPr>
      </w:pPr>
      <w:bookmarkStart w:name="2、限售股份变动情况" w:id="116"/>
      <w:bookmarkEnd w:id="116"/>
      <w:r>
        <w:rPr>
          <w:b w:val="0"/>
          <w:bCs w:val="0"/>
        </w:rPr>
      </w:r>
      <w:r>
        <w:rPr>
          <w:rFonts w:ascii="Times New Roman" w:hAnsi="Times New Roman" w:cs="Times New Roman" w:eastAsia="Times New Roman" w:hint="default"/>
        </w:rPr>
        <w:t>2</w:t>
      </w:r>
      <w:r>
        <w:rPr/>
        <w:t>、限售股份变动情况</w:t>
      </w:r>
      <w:r>
        <w:rPr>
          <w:b w:val="0"/>
          <w:bCs w:val="0"/>
        </w:rPr>
      </w:r>
    </w:p>
    <w:p>
      <w:pPr>
        <w:spacing w:line="240" w:lineRule="auto" w:before="4"/>
        <w:rPr>
          <w:rFonts w:ascii="宋体" w:hAnsi="宋体" w:cs="宋体" w:eastAsia="宋体" w:hint="default"/>
          <w:b/>
          <w:bCs/>
          <w:sz w:val="23"/>
          <w:szCs w:val="23"/>
        </w:rPr>
      </w:pPr>
    </w:p>
    <w:p>
      <w:pPr>
        <w:spacing w:before="44"/>
        <w:ind w:left="154" w:right="0"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pStyle w:val="BodyText"/>
        <w:spacing w:line="240" w:lineRule="auto" w:before="102"/>
        <w:ind w:left="0" w:right="1130"/>
        <w:jc w:val="right"/>
      </w:pPr>
      <w:r>
        <w:rPr/>
        <w:t>单位：股</w:t>
      </w:r>
    </w:p>
    <w:p>
      <w:pPr>
        <w:spacing w:line="240" w:lineRule="auto" w:before="11"/>
        <w:rPr>
          <w:rFonts w:ascii="宋体" w:hAnsi="宋体" w:cs="宋体" w:eastAsia="宋体" w:hint="default"/>
          <w:sz w:val="10"/>
          <w:szCs w:val="10"/>
        </w:rPr>
      </w:pPr>
    </w:p>
    <w:tbl>
      <w:tblPr>
        <w:tblW w:w="0" w:type="auto"/>
        <w:jc w:val="left"/>
        <w:tblInd w:w="116" w:type="dxa"/>
        <w:tblLayout w:type="fixed"/>
        <w:tblCellMar>
          <w:top w:w="0" w:type="dxa"/>
          <w:left w:w="0" w:type="dxa"/>
          <w:bottom w:w="0" w:type="dxa"/>
          <w:right w:w="0" w:type="dxa"/>
        </w:tblCellMar>
        <w:tblLook w:val="01E0"/>
      </w:tblPr>
      <w:tblGrid>
        <w:gridCol w:w="1229"/>
        <w:gridCol w:w="1229"/>
        <w:gridCol w:w="1502"/>
        <w:gridCol w:w="1502"/>
        <w:gridCol w:w="1363"/>
        <w:gridCol w:w="1229"/>
        <w:gridCol w:w="1640"/>
      </w:tblGrid>
      <w:tr>
        <w:trPr>
          <w:trHeight w:val="427" w:hRule="exact"/>
        </w:trPr>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68" w:right="0"/>
              <w:jc w:val="left"/>
              <w:rPr>
                <w:rFonts w:ascii="宋体" w:hAnsi="宋体" w:cs="宋体" w:eastAsia="宋体" w:hint="default"/>
                <w:sz w:val="18"/>
                <w:szCs w:val="18"/>
              </w:rPr>
            </w:pPr>
            <w:r>
              <w:rPr>
                <w:rFonts w:ascii="宋体" w:hAnsi="宋体" w:cs="宋体" w:eastAsia="宋体" w:hint="default"/>
                <w:sz w:val="18"/>
                <w:szCs w:val="18"/>
              </w:rPr>
              <w:t>期初限售股数</w:t>
            </w:r>
          </w:p>
        </w:tc>
        <w:tc>
          <w:tcPr>
            <w:tcW w:w="15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24"/>
              <w:jc w:val="right"/>
              <w:rPr>
                <w:rFonts w:ascii="宋体" w:hAnsi="宋体" w:cs="宋体" w:eastAsia="宋体" w:hint="default"/>
                <w:sz w:val="18"/>
                <w:szCs w:val="18"/>
              </w:rPr>
            </w:pPr>
            <w:r>
              <w:rPr>
                <w:rFonts w:ascii="宋体" w:hAnsi="宋体" w:cs="宋体" w:eastAsia="宋体" w:hint="default"/>
                <w:sz w:val="18"/>
                <w:szCs w:val="18"/>
              </w:rPr>
              <w:t>本期解除限售股数</w:t>
            </w:r>
          </w:p>
        </w:tc>
        <w:tc>
          <w:tcPr>
            <w:tcW w:w="15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24"/>
              <w:jc w:val="right"/>
              <w:rPr>
                <w:rFonts w:ascii="宋体" w:hAnsi="宋体" w:cs="宋体" w:eastAsia="宋体" w:hint="default"/>
                <w:sz w:val="18"/>
                <w:szCs w:val="18"/>
              </w:rPr>
            </w:pPr>
            <w:r>
              <w:rPr>
                <w:rFonts w:ascii="宋体" w:hAnsi="宋体" w:cs="宋体" w:eastAsia="宋体" w:hint="default"/>
                <w:sz w:val="18"/>
                <w:szCs w:val="18"/>
              </w:rPr>
              <w:t>本期增加限售股数</w:t>
            </w:r>
          </w:p>
        </w:tc>
        <w:tc>
          <w:tcPr>
            <w:tcW w:w="13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36" w:right="0"/>
              <w:jc w:val="left"/>
              <w:rPr>
                <w:rFonts w:ascii="宋体" w:hAnsi="宋体" w:cs="宋体" w:eastAsia="宋体" w:hint="default"/>
                <w:sz w:val="18"/>
                <w:szCs w:val="18"/>
              </w:rPr>
            </w:pPr>
            <w:r>
              <w:rPr>
                <w:rFonts w:ascii="宋体" w:hAnsi="宋体" w:cs="宋体" w:eastAsia="宋体" w:hint="default"/>
                <w:sz w:val="18"/>
                <w:szCs w:val="18"/>
              </w:rPr>
              <w:t>期末限售股数</w:t>
            </w:r>
          </w:p>
        </w:tc>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限售原因</w:t>
            </w:r>
          </w:p>
        </w:tc>
        <w:tc>
          <w:tcPr>
            <w:tcW w:w="16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 w:right="0"/>
              <w:jc w:val="center"/>
              <w:rPr>
                <w:rFonts w:ascii="宋体" w:hAnsi="宋体" w:cs="宋体" w:eastAsia="宋体" w:hint="default"/>
                <w:sz w:val="18"/>
                <w:szCs w:val="18"/>
              </w:rPr>
            </w:pPr>
            <w:r>
              <w:rPr>
                <w:rFonts w:ascii="宋体" w:hAnsi="宋体" w:cs="宋体" w:eastAsia="宋体" w:hint="default"/>
                <w:sz w:val="18"/>
                <w:szCs w:val="18"/>
              </w:rPr>
              <w:t>拟解除限售日期</w:t>
            </w:r>
          </w:p>
        </w:tc>
      </w:tr>
      <w:tr>
        <w:trPr>
          <w:trHeight w:val="469" w:hRule="exact"/>
        </w:trPr>
        <w:tc>
          <w:tcPr>
            <w:tcW w:w="1229"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1229"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22"/>
              <w:ind w:left="301" w:right="0"/>
              <w:jc w:val="left"/>
              <w:rPr>
                <w:rFonts w:ascii="Times New Roman" w:hAnsi="Times New Roman" w:cs="Times New Roman" w:eastAsia="Times New Roman" w:hint="default"/>
                <w:sz w:val="18"/>
                <w:szCs w:val="18"/>
              </w:rPr>
            </w:pPr>
            <w:r>
              <w:rPr>
                <w:rFonts w:ascii="Times New Roman"/>
                <w:sz w:val="18"/>
              </w:rPr>
              <w:t>95,218,958</w:t>
            </w:r>
          </w:p>
        </w:tc>
        <w:tc>
          <w:tcPr>
            <w:tcW w:w="1502"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22"/>
              <w:ind w:right="96"/>
              <w:jc w:val="right"/>
              <w:rPr>
                <w:rFonts w:ascii="Times New Roman" w:hAnsi="Times New Roman" w:cs="Times New Roman" w:eastAsia="Times New Roman" w:hint="default"/>
                <w:sz w:val="18"/>
                <w:szCs w:val="18"/>
              </w:rPr>
            </w:pPr>
            <w:r>
              <w:rPr>
                <w:rFonts w:ascii="Times New Roman"/>
                <w:sz w:val="18"/>
              </w:rPr>
              <w:t>0</w:t>
            </w:r>
          </w:p>
        </w:tc>
        <w:tc>
          <w:tcPr>
            <w:tcW w:w="1502"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22"/>
              <w:ind w:right="95"/>
              <w:jc w:val="right"/>
              <w:rPr>
                <w:rFonts w:ascii="Times New Roman" w:hAnsi="Times New Roman" w:cs="Times New Roman" w:eastAsia="Times New Roman" w:hint="default"/>
                <w:sz w:val="18"/>
                <w:szCs w:val="18"/>
              </w:rPr>
            </w:pPr>
            <w:r>
              <w:rPr>
                <w:rFonts w:ascii="Times New Roman"/>
                <w:sz w:val="18"/>
              </w:rPr>
              <w:t>1</w:t>
            </w:r>
          </w:p>
        </w:tc>
        <w:tc>
          <w:tcPr>
            <w:tcW w:w="1363"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22"/>
              <w:ind w:left="435" w:right="0"/>
              <w:jc w:val="left"/>
              <w:rPr>
                <w:rFonts w:ascii="Times New Roman" w:hAnsi="Times New Roman" w:cs="Times New Roman" w:eastAsia="Times New Roman" w:hint="default"/>
                <w:sz w:val="18"/>
                <w:szCs w:val="18"/>
              </w:rPr>
            </w:pPr>
            <w:r>
              <w:rPr>
                <w:rFonts w:ascii="Times New Roman"/>
                <w:sz w:val="18"/>
              </w:rPr>
              <w:t>95,218,959</w:t>
            </w:r>
          </w:p>
        </w:tc>
        <w:tc>
          <w:tcPr>
            <w:tcW w:w="1229"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640"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82"/>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74" w:hRule="exact"/>
        </w:trPr>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安梅</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left="301" w:right="0"/>
              <w:jc w:val="left"/>
              <w:rPr>
                <w:rFonts w:ascii="Times New Roman" w:hAnsi="Times New Roman" w:cs="Times New Roman" w:eastAsia="Times New Roman" w:hint="default"/>
                <w:sz w:val="18"/>
                <w:szCs w:val="18"/>
              </w:rPr>
            </w:pPr>
            <w:r>
              <w:rPr>
                <w:rFonts w:ascii="Times New Roman"/>
                <w:sz w:val="18"/>
              </w:rPr>
              <w:t>85,468,957</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6"/>
              <w:jc w:val="right"/>
              <w:rPr>
                <w:rFonts w:ascii="Times New Roman" w:hAnsi="Times New Roman" w:cs="Times New Roman" w:eastAsia="Times New Roman" w:hint="default"/>
                <w:sz w:val="18"/>
                <w:szCs w:val="18"/>
              </w:rPr>
            </w:pPr>
            <w:r>
              <w:rPr>
                <w:rFonts w:ascii="Times New Roman"/>
                <w:sz w:val="18"/>
              </w:rPr>
              <w:t>0</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5"/>
              <w:jc w:val="right"/>
              <w:rPr>
                <w:rFonts w:ascii="Times New Roman" w:hAnsi="Times New Roman" w:cs="Times New Roman" w:eastAsia="Times New Roman" w:hint="default"/>
                <w:sz w:val="18"/>
                <w:szCs w:val="18"/>
              </w:rPr>
            </w:pPr>
            <w:r>
              <w:rPr>
                <w:rFonts w:ascii="Times New Roman"/>
                <w:sz w:val="18"/>
              </w:rPr>
              <w:t>0</w:t>
            </w:r>
          </w:p>
        </w:tc>
        <w:tc>
          <w:tcPr>
            <w:tcW w:w="13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left="435" w:right="0"/>
              <w:jc w:val="left"/>
              <w:rPr>
                <w:rFonts w:ascii="Times New Roman" w:hAnsi="Times New Roman" w:cs="Times New Roman" w:eastAsia="Times New Roman" w:hint="default"/>
                <w:sz w:val="18"/>
                <w:szCs w:val="18"/>
              </w:rPr>
            </w:pPr>
            <w:r>
              <w:rPr>
                <w:rFonts w:ascii="Times New Roman"/>
                <w:sz w:val="18"/>
              </w:rPr>
              <w:t>85,468,957</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6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74" w:hRule="exact"/>
        </w:trPr>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left="211" w:right="0"/>
              <w:jc w:val="left"/>
              <w:rPr>
                <w:rFonts w:ascii="Times New Roman" w:hAnsi="Times New Roman" w:cs="Times New Roman" w:eastAsia="Times New Roman" w:hint="default"/>
                <w:sz w:val="18"/>
                <w:szCs w:val="18"/>
              </w:rPr>
            </w:pPr>
            <w:r>
              <w:rPr>
                <w:rFonts w:ascii="Times New Roman"/>
                <w:sz w:val="18"/>
              </w:rPr>
              <w:t>192,605,477</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6"/>
              <w:jc w:val="right"/>
              <w:rPr>
                <w:rFonts w:ascii="Times New Roman" w:hAnsi="Times New Roman" w:cs="Times New Roman" w:eastAsia="Times New Roman" w:hint="default"/>
                <w:sz w:val="18"/>
                <w:szCs w:val="18"/>
              </w:rPr>
            </w:pPr>
            <w:r>
              <w:rPr>
                <w:rFonts w:ascii="Times New Roman"/>
                <w:sz w:val="18"/>
              </w:rPr>
              <w:t>0</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4"/>
              <w:jc w:val="right"/>
              <w:rPr>
                <w:rFonts w:ascii="Times New Roman" w:hAnsi="Times New Roman" w:cs="Times New Roman" w:eastAsia="Times New Roman" w:hint="default"/>
                <w:sz w:val="18"/>
                <w:szCs w:val="18"/>
              </w:rPr>
            </w:pPr>
            <w:r>
              <w:rPr>
                <w:rFonts w:ascii="Times New Roman"/>
                <w:sz w:val="18"/>
              </w:rPr>
              <w:t>1,125,001</w:t>
            </w:r>
          </w:p>
        </w:tc>
        <w:tc>
          <w:tcPr>
            <w:tcW w:w="13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left="345" w:right="0"/>
              <w:jc w:val="left"/>
              <w:rPr>
                <w:rFonts w:ascii="Times New Roman" w:hAnsi="Times New Roman" w:cs="Times New Roman" w:eastAsia="Times New Roman" w:hint="default"/>
                <w:sz w:val="18"/>
                <w:szCs w:val="18"/>
              </w:rPr>
            </w:pPr>
            <w:r>
              <w:rPr>
                <w:rFonts w:ascii="Times New Roman"/>
                <w:sz w:val="18"/>
              </w:rPr>
              <w:t>193,730,478</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6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74" w:hRule="exact"/>
        </w:trPr>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黄松浪</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left="301" w:right="0"/>
              <w:jc w:val="left"/>
              <w:rPr>
                <w:rFonts w:ascii="Times New Roman" w:hAnsi="Times New Roman" w:cs="Times New Roman" w:eastAsia="Times New Roman" w:hint="default"/>
                <w:sz w:val="18"/>
                <w:szCs w:val="18"/>
              </w:rPr>
            </w:pPr>
            <w:r>
              <w:rPr>
                <w:rFonts w:ascii="Times New Roman"/>
                <w:sz w:val="18"/>
              </w:rPr>
              <w:t>85,738,801</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6"/>
              <w:jc w:val="right"/>
              <w:rPr>
                <w:rFonts w:ascii="Times New Roman" w:hAnsi="Times New Roman" w:cs="Times New Roman" w:eastAsia="Times New Roman" w:hint="default"/>
                <w:sz w:val="18"/>
                <w:szCs w:val="18"/>
              </w:rPr>
            </w:pPr>
            <w:r>
              <w:rPr>
                <w:rFonts w:ascii="Times New Roman"/>
                <w:sz w:val="18"/>
              </w:rPr>
              <w:t>0</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5"/>
              <w:jc w:val="right"/>
              <w:rPr>
                <w:rFonts w:ascii="Times New Roman" w:hAnsi="Times New Roman" w:cs="Times New Roman" w:eastAsia="Times New Roman" w:hint="default"/>
                <w:sz w:val="18"/>
                <w:szCs w:val="18"/>
              </w:rPr>
            </w:pPr>
            <w:r>
              <w:rPr>
                <w:rFonts w:ascii="Times New Roman"/>
                <w:sz w:val="18"/>
              </w:rPr>
              <w:t>1</w:t>
            </w:r>
          </w:p>
        </w:tc>
        <w:tc>
          <w:tcPr>
            <w:tcW w:w="13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left="435" w:right="0"/>
              <w:jc w:val="left"/>
              <w:rPr>
                <w:rFonts w:ascii="Times New Roman" w:hAnsi="Times New Roman" w:cs="Times New Roman" w:eastAsia="Times New Roman" w:hint="default"/>
                <w:sz w:val="18"/>
                <w:szCs w:val="18"/>
              </w:rPr>
            </w:pPr>
            <w:r>
              <w:rPr>
                <w:rFonts w:ascii="Times New Roman"/>
                <w:sz w:val="18"/>
              </w:rPr>
              <w:t>85,738,802</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6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74" w:hRule="exact"/>
        </w:trPr>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徐斯平</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left="301" w:right="0"/>
              <w:jc w:val="left"/>
              <w:rPr>
                <w:rFonts w:ascii="Times New Roman" w:hAnsi="Times New Roman" w:cs="Times New Roman" w:eastAsia="Times New Roman" w:hint="default"/>
                <w:sz w:val="18"/>
                <w:szCs w:val="18"/>
              </w:rPr>
            </w:pPr>
            <w:r>
              <w:rPr>
                <w:rFonts w:ascii="Times New Roman"/>
                <w:sz w:val="18"/>
              </w:rPr>
              <w:t>43,730,362</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6"/>
              <w:jc w:val="right"/>
              <w:rPr>
                <w:rFonts w:ascii="Times New Roman" w:hAnsi="Times New Roman" w:cs="Times New Roman" w:eastAsia="Times New Roman" w:hint="default"/>
                <w:sz w:val="18"/>
                <w:szCs w:val="18"/>
              </w:rPr>
            </w:pPr>
            <w:r>
              <w:rPr>
                <w:rFonts w:ascii="Times New Roman"/>
                <w:sz w:val="18"/>
              </w:rPr>
              <w:t>0</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5"/>
              <w:jc w:val="right"/>
              <w:rPr>
                <w:rFonts w:ascii="Times New Roman" w:hAnsi="Times New Roman" w:cs="Times New Roman" w:eastAsia="Times New Roman" w:hint="default"/>
                <w:sz w:val="18"/>
                <w:szCs w:val="18"/>
              </w:rPr>
            </w:pPr>
            <w:r>
              <w:rPr>
                <w:rFonts w:ascii="Times New Roman"/>
                <w:sz w:val="18"/>
              </w:rPr>
              <w:t>0</w:t>
            </w:r>
          </w:p>
        </w:tc>
        <w:tc>
          <w:tcPr>
            <w:tcW w:w="13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left="435" w:right="0"/>
              <w:jc w:val="left"/>
              <w:rPr>
                <w:rFonts w:ascii="Times New Roman" w:hAnsi="Times New Roman" w:cs="Times New Roman" w:eastAsia="Times New Roman" w:hint="default"/>
                <w:sz w:val="18"/>
                <w:szCs w:val="18"/>
              </w:rPr>
            </w:pPr>
            <w:r>
              <w:rPr>
                <w:rFonts w:ascii="Times New Roman"/>
                <w:sz w:val="18"/>
              </w:rPr>
              <w:t>43,730,362</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6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74" w:hRule="exact"/>
        </w:trPr>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汪铖</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left="301" w:right="0"/>
              <w:jc w:val="left"/>
              <w:rPr>
                <w:rFonts w:ascii="Times New Roman" w:hAnsi="Times New Roman" w:cs="Times New Roman" w:eastAsia="Times New Roman" w:hint="default"/>
                <w:sz w:val="18"/>
                <w:szCs w:val="18"/>
              </w:rPr>
            </w:pPr>
            <w:r>
              <w:rPr>
                <w:rFonts w:ascii="Times New Roman"/>
                <w:sz w:val="18"/>
              </w:rPr>
              <w:t>32,094,198</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6"/>
              <w:jc w:val="right"/>
              <w:rPr>
                <w:rFonts w:ascii="Times New Roman" w:hAnsi="Times New Roman" w:cs="Times New Roman" w:eastAsia="Times New Roman" w:hint="default"/>
                <w:sz w:val="18"/>
                <w:szCs w:val="18"/>
              </w:rPr>
            </w:pPr>
            <w:r>
              <w:rPr>
                <w:rFonts w:ascii="Times New Roman"/>
                <w:sz w:val="18"/>
              </w:rPr>
              <w:t>10,644,198</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5"/>
              <w:jc w:val="right"/>
              <w:rPr>
                <w:rFonts w:ascii="Times New Roman" w:hAnsi="Times New Roman" w:cs="Times New Roman" w:eastAsia="Times New Roman" w:hint="default"/>
                <w:sz w:val="18"/>
                <w:szCs w:val="18"/>
              </w:rPr>
            </w:pPr>
            <w:r>
              <w:rPr>
                <w:rFonts w:ascii="Times New Roman"/>
                <w:sz w:val="18"/>
              </w:rPr>
              <w:t>0</w:t>
            </w:r>
          </w:p>
        </w:tc>
        <w:tc>
          <w:tcPr>
            <w:tcW w:w="13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left="435" w:right="0"/>
              <w:jc w:val="left"/>
              <w:rPr>
                <w:rFonts w:ascii="Times New Roman" w:hAnsi="Times New Roman" w:cs="Times New Roman" w:eastAsia="Times New Roman" w:hint="default"/>
                <w:sz w:val="18"/>
                <w:szCs w:val="18"/>
              </w:rPr>
            </w:pPr>
            <w:r>
              <w:rPr>
                <w:rFonts w:ascii="Times New Roman"/>
                <w:sz w:val="18"/>
              </w:rPr>
              <w:t>21,450,000</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6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日</w:t>
            </w:r>
          </w:p>
        </w:tc>
      </w:tr>
      <w:tr>
        <w:trPr>
          <w:trHeight w:val="474" w:hRule="exact"/>
        </w:trPr>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杨凯程</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left="391" w:right="0"/>
              <w:jc w:val="left"/>
              <w:rPr>
                <w:rFonts w:ascii="Times New Roman" w:hAnsi="Times New Roman" w:cs="Times New Roman" w:eastAsia="Times New Roman" w:hint="default"/>
                <w:sz w:val="18"/>
                <w:szCs w:val="18"/>
              </w:rPr>
            </w:pPr>
            <w:r>
              <w:rPr>
                <w:rFonts w:ascii="Times New Roman"/>
                <w:sz w:val="18"/>
              </w:rPr>
              <w:t>7,887,797</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6"/>
              <w:jc w:val="right"/>
              <w:rPr>
                <w:rFonts w:ascii="Times New Roman" w:hAnsi="Times New Roman" w:cs="Times New Roman" w:eastAsia="Times New Roman" w:hint="default"/>
                <w:sz w:val="18"/>
                <w:szCs w:val="18"/>
              </w:rPr>
            </w:pPr>
            <w:r>
              <w:rPr>
                <w:rFonts w:ascii="Times New Roman"/>
                <w:sz w:val="18"/>
              </w:rPr>
              <w:t>0</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5"/>
              <w:jc w:val="right"/>
              <w:rPr>
                <w:rFonts w:ascii="Times New Roman" w:hAnsi="Times New Roman" w:cs="Times New Roman" w:eastAsia="Times New Roman" w:hint="default"/>
                <w:sz w:val="18"/>
                <w:szCs w:val="18"/>
              </w:rPr>
            </w:pPr>
            <w:r>
              <w:rPr>
                <w:rFonts w:ascii="Times New Roman"/>
                <w:sz w:val="18"/>
              </w:rPr>
              <w:t>0</w:t>
            </w:r>
          </w:p>
        </w:tc>
        <w:tc>
          <w:tcPr>
            <w:tcW w:w="13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left="525" w:right="0"/>
              <w:jc w:val="left"/>
              <w:rPr>
                <w:rFonts w:ascii="Times New Roman" w:hAnsi="Times New Roman" w:cs="Times New Roman" w:eastAsia="Times New Roman" w:hint="default"/>
                <w:sz w:val="18"/>
                <w:szCs w:val="18"/>
              </w:rPr>
            </w:pPr>
            <w:r>
              <w:rPr>
                <w:rFonts w:ascii="Times New Roman"/>
                <w:sz w:val="18"/>
              </w:rPr>
              <w:t>7,887,797</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6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74" w:hRule="exact"/>
        </w:trPr>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冒大卫</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6"/>
              <w:jc w:val="right"/>
              <w:rPr>
                <w:rFonts w:ascii="Times New Roman" w:hAnsi="Times New Roman" w:cs="Times New Roman" w:eastAsia="Times New Roman" w:hint="default"/>
                <w:sz w:val="18"/>
                <w:szCs w:val="18"/>
              </w:rPr>
            </w:pPr>
            <w:r>
              <w:rPr>
                <w:rFonts w:ascii="Times New Roman"/>
                <w:sz w:val="18"/>
              </w:rPr>
              <w:t>0</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6"/>
              <w:jc w:val="right"/>
              <w:rPr>
                <w:rFonts w:ascii="Times New Roman" w:hAnsi="Times New Roman" w:cs="Times New Roman" w:eastAsia="Times New Roman" w:hint="default"/>
                <w:sz w:val="18"/>
                <w:szCs w:val="18"/>
              </w:rPr>
            </w:pPr>
            <w:r>
              <w:rPr>
                <w:rFonts w:ascii="Times New Roman"/>
                <w:sz w:val="18"/>
              </w:rPr>
              <w:t>0</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4"/>
              <w:jc w:val="right"/>
              <w:rPr>
                <w:rFonts w:ascii="Times New Roman" w:hAnsi="Times New Roman" w:cs="Times New Roman" w:eastAsia="Times New Roman" w:hint="default"/>
                <w:sz w:val="18"/>
                <w:szCs w:val="18"/>
              </w:rPr>
            </w:pPr>
            <w:r>
              <w:rPr>
                <w:rFonts w:ascii="Times New Roman"/>
                <w:sz w:val="18"/>
              </w:rPr>
              <w:t>5,383,712</w:t>
            </w:r>
          </w:p>
        </w:tc>
        <w:tc>
          <w:tcPr>
            <w:tcW w:w="13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left="525" w:right="0"/>
              <w:jc w:val="left"/>
              <w:rPr>
                <w:rFonts w:ascii="Times New Roman" w:hAnsi="Times New Roman" w:cs="Times New Roman" w:eastAsia="Times New Roman" w:hint="default"/>
                <w:sz w:val="18"/>
                <w:szCs w:val="18"/>
              </w:rPr>
            </w:pPr>
            <w:r>
              <w:rPr>
                <w:rFonts w:ascii="Times New Roman"/>
                <w:sz w:val="18"/>
              </w:rPr>
              <w:t>5,383,712</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6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74" w:hRule="exact"/>
        </w:trPr>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高峰</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left="391" w:right="0"/>
              <w:jc w:val="left"/>
              <w:rPr>
                <w:rFonts w:ascii="Times New Roman" w:hAnsi="Times New Roman" w:cs="Times New Roman" w:eastAsia="Times New Roman" w:hint="default"/>
                <w:sz w:val="18"/>
                <w:szCs w:val="18"/>
              </w:rPr>
            </w:pPr>
            <w:r>
              <w:rPr>
                <w:rFonts w:ascii="Times New Roman"/>
                <w:sz w:val="18"/>
              </w:rPr>
              <w:t>7,256,914</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6"/>
              <w:jc w:val="right"/>
              <w:rPr>
                <w:rFonts w:ascii="Times New Roman" w:hAnsi="Times New Roman" w:cs="Times New Roman" w:eastAsia="Times New Roman" w:hint="default"/>
                <w:sz w:val="18"/>
                <w:szCs w:val="18"/>
              </w:rPr>
            </w:pPr>
            <w:r>
              <w:rPr>
                <w:rFonts w:ascii="Times New Roman"/>
                <w:sz w:val="18"/>
              </w:rPr>
              <w:t>0</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5"/>
              <w:jc w:val="right"/>
              <w:rPr>
                <w:rFonts w:ascii="Times New Roman" w:hAnsi="Times New Roman" w:cs="Times New Roman" w:eastAsia="Times New Roman" w:hint="default"/>
                <w:sz w:val="18"/>
                <w:szCs w:val="18"/>
              </w:rPr>
            </w:pPr>
            <w:r>
              <w:rPr>
                <w:rFonts w:ascii="Times New Roman"/>
                <w:sz w:val="18"/>
              </w:rPr>
              <w:t>0</w:t>
            </w:r>
          </w:p>
        </w:tc>
        <w:tc>
          <w:tcPr>
            <w:tcW w:w="13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left="525" w:right="0"/>
              <w:jc w:val="left"/>
              <w:rPr>
                <w:rFonts w:ascii="Times New Roman" w:hAnsi="Times New Roman" w:cs="Times New Roman" w:eastAsia="Times New Roman" w:hint="default"/>
                <w:sz w:val="18"/>
                <w:szCs w:val="18"/>
              </w:rPr>
            </w:pPr>
            <w:r>
              <w:rPr>
                <w:rFonts w:ascii="Times New Roman"/>
                <w:sz w:val="18"/>
              </w:rPr>
              <w:t>7,256,914</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6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74" w:hRule="exact"/>
        </w:trPr>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丁彦超</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5"/>
              <w:jc w:val="right"/>
              <w:rPr>
                <w:rFonts w:ascii="Times New Roman" w:hAnsi="Times New Roman" w:cs="Times New Roman" w:eastAsia="Times New Roman" w:hint="default"/>
                <w:sz w:val="18"/>
                <w:szCs w:val="18"/>
              </w:rPr>
            </w:pPr>
            <w:r>
              <w:rPr>
                <w:rFonts w:ascii="Times New Roman"/>
                <w:sz w:val="18"/>
              </w:rPr>
              <w:t>301,001</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6"/>
              <w:jc w:val="right"/>
              <w:rPr>
                <w:rFonts w:ascii="Times New Roman" w:hAnsi="Times New Roman" w:cs="Times New Roman" w:eastAsia="Times New Roman" w:hint="default"/>
                <w:sz w:val="18"/>
                <w:szCs w:val="18"/>
              </w:rPr>
            </w:pPr>
            <w:r>
              <w:rPr>
                <w:rFonts w:ascii="Times New Roman"/>
                <w:sz w:val="18"/>
              </w:rPr>
              <w:t>0</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5"/>
              <w:jc w:val="right"/>
              <w:rPr>
                <w:rFonts w:ascii="Times New Roman" w:hAnsi="Times New Roman" w:cs="Times New Roman" w:eastAsia="Times New Roman" w:hint="default"/>
                <w:sz w:val="18"/>
                <w:szCs w:val="18"/>
              </w:rPr>
            </w:pPr>
            <w:r>
              <w:rPr>
                <w:rFonts w:ascii="Times New Roman"/>
                <w:sz w:val="18"/>
              </w:rPr>
              <w:t>0</w:t>
            </w:r>
          </w:p>
        </w:tc>
        <w:tc>
          <w:tcPr>
            <w:tcW w:w="13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left="661" w:right="0"/>
              <w:jc w:val="left"/>
              <w:rPr>
                <w:rFonts w:ascii="Times New Roman" w:hAnsi="Times New Roman" w:cs="Times New Roman" w:eastAsia="Times New Roman" w:hint="default"/>
                <w:sz w:val="18"/>
                <w:szCs w:val="18"/>
              </w:rPr>
            </w:pPr>
            <w:r>
              <w:rPr>
                <w:rFonts w:ascii="Times New Roman"/>
                <w:sz w:val="18"/>
              </w:rPr>
              <w:t>301,001</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6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74" w:hRule="exact"/>
        </w:trPr>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郝岩</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6"/>
              <w:jc w:val="right"/>
              <w:rPr>
                <w:rFonts w:ascii="Times New Roman" w:hAnsi="Times New Roman" w:cs="Times New Roman" w:eastAsia="Times New Roman" w:hint="default"/>
                <w:sz w:val="18"/>
                <w:szCs w:val="18"/>
              </w:rPr>
            </w:pPr>
            <w:r>
              <w:rPr>
                <w:rFonts w:ascii="Times New Roman"/>
                <w:sz w:val="18"/>
              </w:rPr>
              <w:t>0</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6"/>
              <w:jc w:val="right"/>
              <w:rPr>
                <w:rFonts w:ascii="Times New Roman" w:hAnsi="Times New Roman" w:cs="Times New Roman" w:eastAsia="Times New Roman" w:hint="default"/>
                <w:sz w:val="18"/>
                <w:szCs w:val="18"/>
              </w:rPr>
            </w:pPr>
            <w:r>
              <w:rPr>
                <w:rFonts w:ascii="Times New Roman"/>
                <w:sz w:val="18"/>
              </w:rPr>
              <w:t>0</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5"/>
              <w:jc w:val="right"/>
              <w:rPr>
                <w:rFonts w:ascii="Times New Roman" w:hAnsi="Times New Roman" w:cs="Times New Roman" w:eastAsia="Times New Roman" w:hint="default"/>
                <w:sz w:val="18"/>
                <w:szCs w:val="18"/>
              </w:rPr>
            </w:pPr>
            <w:r>
              <w:rPr>
                <w:rFonts w:ascii="Times New Roman"/>
                <w:sz w:val="18"/>
              </w:rPr>
              <w:t>300</w:t>
            </w:r>
          </w:p>
        </w:tc>
        <w:tc>
          <w:tcPr>
            <w:tcW w:w="13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6"/>
              <w:jc w:val="right"/>
              <w:rPr>
                <w:rFonts w:ascii="Times New Roman" w:hAnsi="Times New Roman" w:cs="Times New Roman" w:eastAsia="Times New Roman" w:hint="default"/>
                <w:sz w:val="18"/>
                <w:szCs w:val="18"/>
              </w:rPr>
            </w:pPr>
            <w:r>
              <w:rPr>
                <w:rFonts w:ascii="Times New Roman"/>
                <w:sz w:val="18"/>
              </w:rPr>
              <w:t>300</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6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74" w:hRule="exact"/>
        </w:trPr>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翟一兵</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left="391" w:right="0"/>
              <w:jc w:val="left"/>
              <w:rPr>
                <w:rFonts w:ascii="Times New Roman" w:hAnsi="Times New Roman" w:cs="Times New Roman" w:eastAsia="Times New Roman" w:hint="default"/>
                <w:sz w:val="18"/>
                <w:szCs w:val="18"/>
              </w:rPr>
            </w:pPr>
            <w:r>
              <w:rPr>
                <w:rFonts w:ascii="Times New Roman"/>
                <w:sz w:val="18"/>
              </w:rPr>
              <w:t>1,351,501</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6"/>
              <w:jc w:val="right"/>
              <w:rPr>
                <w:rFonts w:ascii="Times New Roman" w:hAnsi="Times New Roman" w:cs="Times New Roman" w:eastAsia="Times New Roman" w:hint="default"/>
                <w:sz w:val="18"/>
                <w:szCs w:val="18"/>
              </w:rPr>
            </w:pPr>
            <w:r>
              <w:rPr>
                <w:rFonts w:ascii="Times New Roman"/>
                <w:sz w:val="18"/>
              </w:rPr>
              <w:t>0</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5"/>
              <w:jc w:val="right"/>
              <w:rPr>
                <w:rFonts w:ascii="Times New Roman" w:hAnsi="Times New Roman" w:cs="Times New Roman" w:eastAsia="Times New Roman" w:hint="default"/>
                <w:sz w:val="18"/>
                <w:szCs w:val="18"/>
              </w:rPr>
            </w:pPr>
            <w:r>
              <w:rPr>
                <w:rFonts w:ascii="Times New Roman"/>
                <w:sz w:val="18"/>
              </w:rPr>
              <w:t>0</w:t>
            </w:r>
          </w:p>
        </w:tc>
        <w:tc>
          <w:tcPr>
            <w:tcW w:w="13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left="525" w:right="0"/>
              <w:jc w:val="left"/>
              <w:rPr>
                <w:rFonts w:ascii="Times New Roman" w:hAnsi="Times New Roman" w:cs="Times New Roman" w:eastAsia="Times New Roman" w:hint="default"/>
                <w:sz w:val="18"/>
                <w:szCs w:val="18"/>
              </w:rPr>
            </w:pPr>
            <w:r>
              <w:rPr>
                <w:rFonts w:ascii="Times New Roman"/>
                <w:sz w:val="18"/>
              </w:rPr>
              <w:t>1,351,501</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6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74" w:hRule="exact"/>
        </w:trPr>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徐元区</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5"/>
              <w:jc w:val="right"/>
              <w:rPr>
                <w:rFonts w:ascii="Times New Roman" w:hAnsi="Times New Roman" w:cs="Times New Roman" w:eastAsia="Times New Roman" w:hint="default"/>
                <w:sz w:val="18"/>
                <w:szCs w:val="18"/>
              </w:rPr>
            </w:pPr>
            <w:r>
              <w:rPr>
                <w:rFonts w:ascii="Times New Roman"/>
                <w:sz w:val="18"/>
              </w:rPr>
              <w:t>75,000</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6"/>
              <w:jc w:val="right"/>
              <w:rPr>
                <w:rFonts w:ascii="Times New Roman" w:hAnsi="Times New Roman" w:cs="Times New Roman" w:eastAsia="Times New Roman" w:hint="default"/>
                <w:sz w:val="18"/>
                <w:szCs w:val="18"/>
              </w:rPr>
            </w:pPr>
            <w:r>
              <w:rPr>
                <w:rFonts w:ascii="Times New Roman"/>
                <w:sz w:val="18"/>
              </w:rPr>
              <w:t>0</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5"/>
              <w:jc w:val="right"/>
              <w:rPr>
                <w:rFonts w:ascii="Times New Roman" w:hAnsi="Times New Roman" w:cs="Times New Roman" w:eastAsia="Times New Roman" w:hint="default"/>
                <w:sz w:val="18"/>
                <w:szCs w:val="18"/>
              </w:rPr>
            </w:pPr>
            <w:r>
              <w:rPr>
                <w:rFonts w:ascii="Times New Roman"/>
                <w:sz w:val="18"/>
              </w:rPr>
              <w:t>0</w:t>
            </w:r>
          </w:p>
        </w:tc>
        <w:tc>
          <w:tcPr>
            <w:tcW w:w="13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left="751" w:right="0"/>
              <w:jc w:val="left"/>
              <w:rPr>
                <w:rFonts w:ascii="Times New Roman" w:hAnsi="Times New Roman" w:cs="Times New Roman" w:eastAsia="Times New Roman" w:hint="default"/>
                <w:sz w:val="18"/>
                <w:szCs w:val="18"/>
              </w:rPr>
            </w:pPr>
            <w:r>
              <w:rPr>
                <w:rFonts w:ascii="Times New Roman"/>
                <w:sz w:val="18"/>
              </w:rPr>
              <w:t>75,000</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6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74" w:hRule="exact"/>
        </w:trPr>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梁德兴</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5"/>
              <w:jc w:val="right"/>
              <w:rPr>
                <w:rFonts w:ascii="Times New Roman" w:hAnsi="Times New Roman" w:cs="Times New Roman" w:eastAsia="Times New Roman" w:hint="default"/>
                <w:sz w:val="18"/>
                <w:szCs w:val="18"/>
              </w:rPr>
            </w:pPr>
            <w:r>
              <w:rPr>
                <w:rFonts w:ascii="Times New Roman"/>
                <w:sz w:val="18"/>
              </w:rPr>
              <w:t>2,400</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6"/>
              <w:jc w:val="right"/>
              <w:rPr>
                <w:rFonts w:ascii="Times New Roman" w:hAnsi="Times New Roman" w:cs="Times New Roman" w:eastAsia="Times New Roman" w:hint="default"/>
                <w:sz w:val="18"/>
                <w:szCs w:val="18"/>
              </w:rPr>
            </w:pPr>
            <w:r>
              <w:rPr>
                <w:rFonts w:ascii="Times New Roman"/>
                <w:sz w:val="18"/>
              </w:rPr>
              <w:t>0</w:t>
            </w:r>
          </w:p>
        </w:tc>
        <w:tc>
          <w:tcPr>
            <w:tcW w:w="15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right="95"/>
              <w:jc w:val="right"/>
              <w:rPr>
                <w:rFonts w:ascii="Times New Roman" w:hAnsi="Times New Roman" w:cs="Times New Roman" w:eastAsia="Times New Roman" w:hint="default"/>
                <w:sz w:val="18"/>
                <w:szCs w:val="18"/>
              </w:rPr>
            </w:pPr>
            <w:r>
              <w:rPr>
                <w:rFonts w:ascii="Times New Roman"/>
                <w:sz w:val="18"/>
              </w:rPr>
              <w:t>0</w:t>
            </w:r>
          </w:p>
        </w:tc>
        <w:tc>
          <w:tcPr>
            <w:tcW w:w="136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2"/>
              <w:ind w:left="841" w:right="0"/>
              <w:jc w:val="left"/>
              <w:rPr>
                <w:rFonts w:ascii="Times New Roman" w:hAnsi="Times New Roman" w:cs="Times New Roman" w:eastAsia="Times New Roman" w:hint="default"/>
                <w:sz w:val="18"/>
                <w:szCs w:val="18"/>
              </w:rPr>
            </w:pPr>
            <w:r>
              <w:rPr>
                <w:rFonts w:ascii="Times New Roman"/>
                <w:sz w:val="18"/>
              </w:rPr>
              <w:t>2,400</w:t>
            </w:r>
          </w:p>
        </w:tc>
        <w:tc>
          <w:tcPr>
            <w:tcW w:w="12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64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82"/>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69" w:hRule="exact"/>
        </w:trPr>
        <w:tc>
          <w:tcPr>
            <w:tcW w:w="1229"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张黔山</w:t>
            </w:r>
          </w:p>
        </w:tc>
        <w:tc>
          <w:tcPr>
            <w:tcW w:w="1229"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122"/>
              <w:ind w:left="391" w:right="0"/>
              <w:jc w:val="left"/>
              <w:rPr>
                <w:rFonts w:ascii="Times New Roman" w:hAnsi="Times New Roman" w:cs="Times New Roman" w:eastAsia="Times New Roman" w:hint="default"/>
                <w:sz w:val="18"/>
                <w:szCs w:val="18"/>
              </w:rPr>
            </w:pPr>
            <w:r>
              <w:rPr>
                <w:rFonts w:ascii="Times New Roman"/>
                <w:sz w:val="18"/>
              </w:rPr>
              <w:t>4,434,151</w:t>
            </w:r>
          </w:p>
        </w:tc>
        <w:tc>
          <w:tcPr>
            <w:tcW w:w="1502"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122"/>
              <w:ind w:right="96"/>
              <w:jc w:val="right"/>
              <w:rPr>
                <w:rFonts w:ascii="Times New Roman" w:hAnsi="Times New Roman" w:cs="Times New Roman" w:eastAsia="Times New Roman" w:hint="default"/>
                <w:sz w:val="18"/>
                <w:szCs w:val="18"/>
              </w:rPr>
            </w:pPr>
            <w:r>
              <w:rPr>
                <w:rFonts w:ascii="Times New Roman"/>
                <w:sz w:val="18"/>
              </w:rPr>
              <w:t>0</w:t>
            </w:r>
          </w:p>
        </w:tc>
        <w:tc>
          <w:tcPr>
            <w:tcW w:w="1502"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122"/>
              <w:ind w:right="95"/>
              <w:jc w:val="right"/>
              <w:rPr>
                <w:rFonts w:ascii="Times New Roman" w:hAnsi="Times New Roman" w:cs="Times New Roman" w:eastAsia="Times New Roman" w:hint="default"/>
                <w:sz w:val="18"/>
                <w:szCs w:val="18"/>
              </w:rPr>
            </w:pPr>
            <w:r>
              <w:rPr>
                <w:rFonts w:ascii="Times New Roman"/>
                <w:sz w:val="18"/>
              </w:rPr>
              <w:t>0</w:t>
            </w:r>
          </w:p>
        </w:tc>
        <w:tc>
          <w:tcPr>
            <w:tcW w:w="1363"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122"/>
              <w:ind w:left="525" w:right="0"/>
              <w:jc w:val="left"/>
              <w:rPr>
                <w:rFonts w:ascii="Times New Roman" w:hAnsi="Times New Roman" w:cs="Times New Roman" w:eastAsia="Times New Roman" w:hint="default"/>
                <w:sz w:val="18"/>
                <w:szCs w:val="18"/>
              </w:rPr>
            </w:pPr>
            <w:r>
              <w:rPr>
                <w:rFonts w:ascii="Times New Roman"/>
                <w:sz w:val="18"/>
              </w:rPr>
              <w:t>4,434,151</w:t>
            </w:r>
          </w:p>
        </w:tc>
        <w:tc>
          <w:tcPr>
            <w:tcW w:w="1229"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640"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82"/>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638" w:hRule="exact"/>
        </w:trPr>
        <w:tc>
          <w:tcPr>
            <w:tcW w:w="1229" w:type="dxa"/>
            <w:tcBorders>
              <w:top w:val="single" w:sz="4" w:space="0" w:color="000000"/>
              <w:left w:val="single" w:sz="8" w:space="0" w:color="000000"/>
              <w:bottom w:val="single" w:sz="12" w:space="0" w:color="D2D2D2"/>
              <w:right w:val="single" w:sz="8"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李毅</w:t>
            </w:r>
          </w:p>
        </w:tc>
        <w:tc>
          <w:tcPr>
            <w:tcW w:w="1229"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01" w:right="0"/>
              <w:jc w:val="left"/>
              <w:rPr>
                <w:rFonts w:ascii="Times New Roman" w:hAnsi="Times New Roman" w:cs="Times New Roman" w:eastAsia="Times New Roman" w:hint="default"/>
                <w:sz w:val="18"/>
                <w:szCs w:val="18"/>
              </w:rPr>
            </w:pPr>
            <w:r>
              <w:rPr>
                <w:rFonts w:ascii="Times New Roman"/>
                <w:sz w:val="18"/>
              </w:rPr>
              <w:t>21,544,968</w:t>
            </w:r>
          </w:p>
        </w:tc>
        <w:tc>
          <w:tcPr>
            <w:tcW w:w="1502"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21,544,968</w:t>
            </w:r>
          </w:p>
        </w:tc>
        <w:tc>
          <w:tcPr>
            <w:tcW w:w="1502"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z w:val="18"/>
              </w:rPr>
              <w:t>0</w:t>
            </w:r>
          </w:p>
        </w:tc>
        <w:tc>
          <w:tcPr>
            <w:tcW w:w="1363"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0</w:t>
            </w:r>
          </w:p>
        </w:tc>
        <w:tc>
          <w:tcPr>
            <w:tcW w:w="1229" w:type="dxa"/>
            <w:tcBorders>
              <w:top w:val="single" w:sz="4" w:space="0" w:color="000000"/>
              <w:left w:val="single" w:sz="8" w:space="0" w:color="000000"/>
              <w:bottom w:val="single" w:sz="12" w:space="0" w:color="D2D2D2"/>
              <w:right w:val="single" w:sz="8" w:space="0" w:color="000000"/>
            </w:tcBorders>
          </w:tcPr>
          <w:p>
            <w:pPr>
              <w:pStyle w:val="TableParagraph"/>
              <w:spacing w:line="316" w:lineRule="auto" w:before="10"/>
              <w:ind w:left="245" w:right="153" w:hanging="91"/>
              <w:jc w:val="left"/>
              <w:rPr>
                <w:rFonts w:ascii="宋体" w:hAnsi="宋体" w:cs="宋体" w:eastAsia="宋体" w:hint="default"/>
                <w:sz w:val="18"/>
                <w:szCs w:val="18"/>
              </w:rPr>
            </w:pPr>
            <w:r>
              <w:rPr>
                <w:rFonts w:ascii="宋体" w:hAnsi="宋体" w:cs="宋体" w:eastAsia="宋体" w:hint="default"/>
                <w:sz w:val="18"/>
                <w:szCs w:val="18"/>
              </w:rPr>
              <w:t>首发后个人 类限售股</w:t>
            </w:r>
          </w:p>
        </w:tc>
        <w:tc>
          <w:tcPr>
            <w:tcW w:w="1640" w:type="dxa"/>
            <w:tcBorders>
              <w:top w:val="single" w:sz="4" w:space="0" w:color="000000"/>
              <w:left w:val="single" w:sz="8" w:space="0" w:color="000000"/>
              <w:bottom w:val="single" w:sz="12" w:space="0" w:color="D2D2D2"/>
              <w:right w:val="single" w:sz="8"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 </w:t>
            </w:r>
            <w:r>
              <w:rPr>
                <w:rFonts w:ascii="宋体" w:hAnsi="宋体" w:cs="宋体" w:eastAsia="宋体" w:hint="default"/>
                <w:sz w:val="18"/>
                <w:szCs w:val="18"/>
              </w:rPr>
              <w:t>日</w:t>
            </w:r>
          </w:p>
        </w:tc>
      </w:tr>
      <w:tr>
        <w:trPr>
          <w:trHeight w:val="471" w:hRule="exact"/>
        </w:trPr>
        <w:tc>
          <w:tcPr>
            <w:tcW w:w="1229" w:type="dxa"/>
            <w:tcBorders>
              <w:top w:val="single" w:sz="8"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4"/>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29"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22"/>
              <w:ind w:right="21"/>
              <w:jc w:val="right"/>
              <w:rPr>
                <w:rFonts w:ascii="Times New Roman" w:hAnsi="Times New Roman" w:cs="Times New Roman" w:eastAsia="Times New Roman" w:hint="default"/>
                <w:sz w:val="18"/>
                <w:szCs w:val="18"/>
              </w:rPr>
            </w:pPr>
            <w:r>
              <w:rPr>
                <w:rFonts w:ascii="Times New Roman"/>
                <w:sz w:val="18"/>
              </w:rPr>
              <w:t>577,710,485</w:t>
            </w:r>
          </w:p>
        </w:tc>
        <w:tc>
          <w:tcPr>
            <w:tcW w:w="1502"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24"/>
              <w:ind w:right="21"/>
              <w:jc w:val="right"/>
              <w:rPr>
                <w:rFonts w:ascii="Times New Roman" w:hAnsi="Times New Roman" w:cs="Times New Roman" w:eastAsia="Times New Roman" w:hint="default"/>
                <w:sz w:val="18"/>
                <w:szCs w:val="18"/>
              </w:rPr>
            </w:pPr>
            <w:r>
              <w:rPr>
                <w:rFonts w:ascii="Times New Roman"/>
                <w:sz w:val="18"/>
              </w:rPr>
              <w:t>32,189,166</w:t>
            </w:r>
          </w:p>
        </w:tc>
        <w:tc>
          <w:tcPr>
            <w:tcW w:w="1502"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24"/>
              <w:ind w:right="20"/>
              <w:jc w:val="right"/>
              <w:rPr>
                <w:rFonts w:ascii="Times New Roman" w:hAnsi="Times New Roman" w:cs="Times New Roman" w:eastAsia="Times New Roman" w:hint="default"/>
                <w:sz w:val="18"/>
                <w:szCs w:val="18"/>
              </w:rPr>
            </w:pPr>
            <w:r>
              <w:rPr>
                <w:rFonts w:ascii="Times New Roman"/>
                <w:sz w:val="18"/>
              </w:rPr>
              <w:t>6,509,015</w:t>
            </w:r>
          </w:p>
        </w:tc>
        <w:tc>
          <w:tcPr>
            <w:tcW w:w="1363"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24"/>
              <w:ind w:left="430" w:right="0"/>
              <w:jc w:val="left"/>
              <w:rPr>
                <w:rFonts w:ascii="Times New Roman" w:hAnsi="Times New Roman" w:cs="Times New Roman" w:eastAsia="Times New Roman" w:hint="default"/>
                <w:sz w:val="18"/>
                <w:szCs w:val="18"/>
              </w:rPr>
            </w:pPr>
            <w:r>
              <w:rPr>
                <w:rFonts w:ascii="Times New Roman"/>
                <w:sz w:val="18"/>
              </w:rPr>
              <w:t>552,030,334</w:t>
            </w:r>
          </w:p>
        </w:tc>
        <w:tc>
          <w:tcPr>
            <w:tcW w:w="1229" w:type="dxa"/>
            <w:tcBorders>
              <w:top w:val="single" w:sz="8"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4"/>
              <w:ind w:right="1"/>
              <w:jc w:val="center"/>
              <w:rPr>
                <w:rFonts w:ascii="Times New Roman" w:hAnsi="Times New Roman" w:cs="Times New Roman" w:eastAsia="Times New Roman" w:hint="default"/>
                <w:sz w:val="18"/>
                <w:szCs w:val="18"/>
              </w:rPr>
            </w:pPr>
            <w:r>
              <w:rPr>
                <w:rFonts w:ascii="Times New Roman"/>
                <w:sz w:val="18"/>
              </w:rPr>
              <w:t>--</w:t>
            </w:r>
          </w:p>
        </w:tc>
        <w:tc>
          <w:tcPr>
            <w:tcW w:w="1640" w:type="dxa"/>
            <w:tcBorders>
              <w:top w:val="single" w:sz="8"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4"/>
              <w:ind w:left="1"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851" w:footer="979" w:top="1400" w:bottom="1160" w:left="980" w:right="0"/>
        </w:sectPr>
      </w:pPr>
    </w:p>
    <w:p>
      <w:pPr>
        <w:pStyle w:val="Heading2"/>
        <w:spacing w:line="240" w:lineRule="auto" w:before="24"/>
        <w:ind w:right="0"/>
        <w:jc w:val="left"/>
        <w:rPr>
          <w:b w:val="0"/>
          <w:bCs w:val="0"/>
        </w:rPr>
      </w:pPr>
      <w:r>
        <w:rPr/>
        <w:pict>
          <v:group style="position:absolute;margin-left:55.200001pt;margin-top:2.675601pt;width:485pt;height:.1pt;mso-position-horizontal-relative:page;mso-position-vertical-relative:paragraph;z-index:-1077016" coordorigin="1104,54" coordsize="9700,2">
            <v:shape style="position:absolute;left:1104;top:54;width:9700;height:2" coordorigin="1104,54" coordsize="9700,0" path="m1104,54l10804,54e" filled="false" stroked="true" strokeweight=".72pt" strokecolor="#000000">
              <v:path arrowok="t"/>
            </v:shape>
            <w10:wrap type="none"/>
          </v:group>
        </w:pict>
      </w:r>
      <w:bookmarkStart w:name="二、证券发行与上市情况" w:id="117"/>
      <w:bookmarkEnd w:id="117"/>
      <w:r>
        <w:rPr>
          <w:b w:val="0"/>
          <w:bCs w:val="0"/>
        </w:rPr>
      </w:r>
      <w:r>
        <w:rPr/>
        <w:t>二、证券发行与上市情况</w:t>
      </w:r>
      <w:r>
        <w:rPr>
          <w:b w:val="0"/>
          <w:bCs w:val="0"/>
        </w:rPr>
      </w:r>
    </w:p>
    <w:p>
      <w:pPr>
        <w:spacing w:line="240" w:lineRule="auto" w:before="6"/>
        <w:rPr>
          <w:rFonts w:ascii="宋体" w:hAnsi="宋体" w:cs="宋体" w:eastAsia="宋体" w:hint="default"/>
          <w:b/>
          <w:bCs/>
          <w:sz w:val="30"/>
          <w:szCs w:val="30"/>
        </w:rPr>
      </w:pPr>
    </w:p>
    <w:p>
      <w:pPr>
        <w:pStyle w:val="Heading3"/>
        <w:spacing w:line="240" w:lineRule="auto"/>
        <w:ind w:right="0"/>
        <w:jc w:val="left"/>
        <w:rPr>
          <w:b w:val="0"/>
          <w:bCs w:val="0"/>
        </w:rPr>
      </w:pPr>
      <w:bookmarkStart w:name="1、报告期内证券发行（不含优先股）情况" w:id="118"/>
      <w:bookmarkEnd w:id="118"/>
      <w:r>
        <w:rPr>
          <w:b w:val="0"/>
          <w:bCs w:val="0"/>
        </w:rPr>
      </w:r>
      <w:r>
        <w:rPr>
          <w:rFonts w:ascii="Times New Roman" w:hAnsi="Times New Roman" w:cs="Times New Roman" w:eastAsia="Times New Roman" w:hint="default"/>
        </w:rPr>
        <w:t>1</w:t>
      </w:r>
      <w:r>
        <w:rPr/>
        <w:t>、报告期内证券发行（不含优先股）情况</w:t>
      </w:r>
      <w:r>
        <w:rPr>
          <w:b w:val="0"/>
          <w:bCs w:val="0"/>
        </w:rPr>
      </w:r>
    </w:p>
    <w:p>
      <w:pPr>
        <w:spacing w:before="166"/>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pStyle w:val="Heading3"/>
        <w:spacing w:line="240" w:lineRule="auto" w:before="155"/>
        <w:ind w:right="0"/>
        <w:jc w:val="left"/>
        <w:rPr>
          <w:b w:val="0"/>
          <w:bCs w:val="0"/>
        </w:rPr>
      </w:pPr>
      <w:bookmarkStart w:name="2、公司股份总数及股东结构的变动、公司资产和负债结构的变动情况说明" w:id="119"/>
      <w:bookmarkEnd w:id="119"/>
      <w:r>
        <w:rPr>
          <w:b w:val="0"/>
          <w:bCs w:val="0"/>
        </w:rPr>
      </w: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before="165"/>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pStyle w:val="Heading3"/>
        <w:spacing w:line="240" w:lineRule="auto" w:before="155"/>
        <w:ind w:right="0"/>
        <w:jc w:val="left"/>
        <w:rPr>
          <w:b w:val="0"/>
          <w:bCs w:val="0"/>
        </w:rPr>
      </w:pPr>
      <w:bookmarkStart w:name="3、现存的内部职工股情况" w:id="120"/>
      <w:bookmarkEnd w:id="120"/>
      <w:r>
        <w:rPr>
          <w:b w:val="0"/>
          <w:bCs w:val="0"/>
        </w:rPr>
      </w:r>
      <w:r>
        <w:rPr>
          <w:rFonts w:ascii="Times New Roman" w:hAnsi="Times New Roman" w:cs="Times New Roman" w:eastAsia="Times New Roman" w:hint="default"/>
        </w:rPr>
        <w:t>3</w:t>
      </w:r>
      <w:r>
        <w:rPr/>
        <w:t>、现存的内部职工股情况</w:t>
      </w:r>
      <w:r>
        <w:rPr>
          <w:b w:val="0"/>
          <w:bCs w:val="0"/>
        </w:rPr>
      </w:r>
    </w:p>
    <w:p>
      <w:pPr>
        <w:spacing w:before="165"/>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pStyle w:val="Heading2"/>
        <w:spacing w:line="240" w:lineRule="auto" w:before="130"/>
        <w:ind w:right="0"/>
        <w:jc w:val="left"/>
        <w:rPr>
          <w:b w:val="0"/>
          <w:bCs w:val="0"/>
        </w:rPr>
      </w:pPr>
      <w:bookmarkStart w:name="三、股东和实际控制人情况" w:id="121"/>
      <w:bookmarkEnd w:id="121"/>
      <w:r>
        <w:rPr>
          <w:b w:val="0"/>
          <w:bCs w:val="0"/>
        </w:rPr>
      </w:r>
      <w:r>
        <w:rPr/>
        <w:t>三、股东和实际控制人情况</w:t>
      </w:r>
      <w:r>
        <w:rPr>
          <w:b w:val="0"/>
          <w:bCs w:val="0"/>
        </w:rPr>
      </w:r>
    </w:p>
    <w:p>
      <w:pPr>
        <w:spacing w:line="240" w:lineRule="auto" w:before="8"/>
        <w:rPr>
          <w:rFonts w:ascii="宋体" w:hAnsi="宋体" w:cs="宋体" w:eastAsia="宋体" w:hint="default"/>
          <w:b/>
          <w:bCs/>
          <w:sz w:val="30"/>
          <w:szCs w:val="30"/>
        </w:rPr>
      </w:pPr>
    </w:p>
    <w:p>
      <w:pPr>
        <w:pStyle w:val="Heading3"/>
        <w:spacing w:line="240" w:lineRule="auto"/>
        <w:ind w:right="0"/>
        <w:jc w:val="left"/>
        <w:rPr>
          <w:b w:val="0"/>
          <w:bCs w:val="0"/>
        </w:rPr>
      </w:pPr>
      <w:bookmarkStart w:name="1、公司股东数量及持股情况" w:id="122"/>
      <w:bookmarkEnd w:id="122"/>
      <w:r>
        <w:rPr>
          <w:b w:val="0"/>
          <w:bCs w:val="0"/>
        </w:rPr>
      </w:r>
      <w:r>
        <w:rPr>
          <w:rFonts w:ascii="Times New Roman" w:hAnsi="Times New Roman" w:cs="Times New Roman" w:eastAsia="Times New Roman" w:hint="default"/>
        </w:rPr>
        <w:t>1</w:t>
      </w:r>
      <w:r>
        <w:rPr/>
        <w:t>、公司股东数量及持股情况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单位：股</w:t>
      </w:r>
    </w:p>
    <w:p>
      <w:pPr>
        <w:spacing w:line="240" w:lineRule="auto" w:before="1"/>
        <w:rPr>
          <w:rFonts w:ascii="宋体" w:hAnsi="宋体" w:cs="宋体" w:eastAsia="宋体" w:hint="default"/>
          <w:sz w:val="8"/>
          <w:szCs w:val="8"/>
        </w:rPr>
      </w:pPr>
    </w:p>
    <w:tbl>
      <w:tblPr>
        <w:tblW w:w="0" w:type="auto"/>
        <w:jc w:val="left"/>
        <w:tblInd w:w="121" w:type="dxa"/>
        <w:tblLayout w:type="fixed"/>
        <w:tblCellMar>
          <w:top w:w="0" w:type="dxa"/>
          <w:left w:w="0" w:type="dxa"/>
          <w:bottom w:w="0" w:type="dxa"/>
          <w:right w:w="0" w:type="dxa"/>
        </w:tblCellMar>
        <w:tblLook w:val="01E0"/>
      </w:tblPr>
      <w:tblGrid>
        <w:gridCol w:w="1134"/>
        <w:gridCol w:w="1124"/>
        <w:gridCol w:w="804"/>
        <w:gridCol w:w="178"/>
        <w:gridCol w:w="789"/>
        <w:gridCol w:w="779"/>
        <w:gridCol w:w="197"/>
        <w:gridCol w:w="1084"/>
        <w:gridCol w:w="1212"/>
        <w:gridCol w:w="1280"/>
        <w:gridCol w:w="405"/>
        <w:gridCol w:w="710"/>
      </w:tblGrid>
      <w:tr>
        <w:trPr>
          <w:trHeight w:val="161" w:hRule="exact"/>
        </w:trPr>
        <w:tc>
          <w:tcPr>
            <w:tcW w:w="1134" w:type="dxa"/>
            <w:tcBorders>
              <w:top w:val="single" w:sz="4" w:space="0" w:color="000000"/>
              <w:left w:val="single" w:sz="4" w:space="0" w:color="000000"/>
              <w:bottom w:val="nil" w:sz="6" w:space="0" w:color="auto"/>
              <w:right w:val="single" w:sz="4" w:space="0" w:color="000000"/>
            </w:tcBorders>
            <w:shd w:val="clear" w:color="auto" w:fill="D2D2D2"/>
          </w:tcPr>
          <w:p>
            <w:pPr/>
          </w:p>
        </w:tc>
        <w:tc>
          <w:tcPr>
            <w:tcW w:w="1124" w:type="dxa"/>
            <w:vMerge w:val="restart"/>
            <w:tcBorders>
              <w:top w:val="single" w:sz="4" w:space="0" w:color="000000"/>
              <w:left w:val="single" w:sz="9" w:space="0" w:color="D2D2D2"/>
              <w:right w:val="single" w:sz="13"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583" w:right="0"/>
              <w:jc w:val="left"/>
              <w:rPr>
                <w:rFonts w:ascii="Times New Roman" w:hAnsi="Times New Roman" w:cs="Times New Roman" w:eastAsia="Times New Roman" w:hint="default"/>
                <w:sz w:val="18"/>
                <w:szCs w:val="18"/>
              </w:rPr>
            </w:pPr>
            <w:r>
              <w:rPr>
                <w:rFonts w:ascii="Times New Roman"/>
                <w:sz w:val="18"/>
              </w:rPr>
              <w:t>55,881</w:t>
            </w:r>
          </w:p>
        </w:tc>
        <w:tc>
          <w:tcPr>
            <w:tcW w:w="98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7" w:right="53"/>
              <w:jc w:val="both"/>
              <w:rPr>
                <w:rFonts w:ascii="宋体" w:hAnsi="宋体" w:cs="宋体" w:eastAsia="宋体" w:hint="default"/>
                <w:sz w:val="18"/>
                <w:szCs w:val="18"/>
              </w:rPr>
            </w:pPr>
            <w:r>
              <w:rPr>
                <w:rFonts w:ascii="宋体" w:hAnsi="宋体" w:cs="宋体" w:eastAsia="宋体" w:hint="default"/>
                <w:sz w:val="18"/>
                <w:szCs w:val="18"/>
              </w:rPr>
              <w:t>年度报告披 露日前上一 月末普通股 股东总数</w:t>
            </w:r>
          </w:p>
        </w:tc>
        <w:tc>
          <w:tcPr>
            <w:tcW w:w="1568" w:type="dxa"/>
            <w:gridSpan w:val="2"/>
            <w:vMerge w:val="restart"/>
            <w:tcBorders>
              <w:top w:val="single" w:sz="4" w:space="0" w:color="000000"/>
              <w:left w:val="single" w:sz="13" w:space="0" w:color="D2D2D2"/>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016" w:right="0"/>
              <w:jc w:val="left"/>
              <w:rPr>
                <w:rFonts w:ascii="Times New Roman" w:hAnsi="Times New Roman" w:cs="Times New Roman" w:eastAsia="Times New Roman" w:hint="default"/>
                <w:sz w:val="18"/>
                <w:szCs w:val="18"/>
              </w:rPr>
            </w:pPr>
            <w:r>
              <w:rPr>
                <w:rFonts w:ascii="Times New Roman"/>
                <w:sz w:val="18"/>
              </w:rPr>
              <w:t>59,796</w:t>
            </w:r>
          </w:p>
        </w:tc>
        <w:tc>
          <w:tcPr>
            <w:tcW w:w="1281"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1212" w:type="dxa"/>
            <w:vMerge w:val="restart"/>
            <w:tcBorders>
              <w:top w:val="single" w:sz="4" w:space="0" w:color="000000"/>
              <w:left w:val="single" w:sz="9" w:space="0" w:color="D2D2D2"/>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1684"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710"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1016" w:hRule="exact"/>
        </w:trPr>
        <w:tc>
          <w:tcPr>
            <w:tcW w:w="11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51"/>
              <w:ind w:left="22" w:right="199"/>
              <w:jc w:val="both"/>
              <w:rPr>
                <w:rFonts w:ascii="宋体" w:hAnsi="宋体" w:cs="宋体" w:eastAsia="宋体" w:hint="default"/>
                <w:sz w:val="18"/>
                <w:szCs w:val="18"/>
              </w:rPr>
            </w:pPr>
            <w:r>
              <w:rPr>
                <w:rFonts w:ascii="宋体" w:hAnsi="宋体" w:cs="宋体" w:eastAsia="宋体" w:hint="default"/>
                <w:sz w:val="18"/>
                <w:szCs w:val="18"/>
              </w:rPr>
              <w:t>报告期末普 通股股东总 数</w:t>
            </w:r>
          </w:p>
        </w:tc>
        <w:tc>
          <w:tcPr>
            <w:tcW w:w="1124" w:type="dxa"/>
            <w:vMerge/>
            <w:tcBorders>
              <w:left w:val="single" w:sz="9" w:space="0" w:color="D2D2D2"/>
              <w:right w:val="single" w:sz="13" w:space="0" w:color="D2D2D2"/>
            </w:tcBorders>
          </w:tcPr>
          <w:p>
            <w:pPr/>
          </w:p>
        </w:tc>
        <w:tc>
          <w:tcPr>
            <w:tcW w:w="982" w:type="dxa"/>
            <w:gridSpan w:val="2"/>
            <w:vMerge/>
            <w:tcBorders>
              <w:left w:val="single" w:sz="4" w:space="0" w:color="000000"/>
              <w:right w:val="single" w:sz="4" w:space="0" w:color="000000"/>
            </w:tcBorders>
            <w:shd w:val="clear" w:color="auto" w:fill="D2D2D2"/>
          </w:tcPr>
          <w:p>
            <w:pPr/>
          </w:p>
        </w:tc>
        <w:tc>
          <w:tcPr>
            <w:tcW w:w="1568" w:type="dxa"/>
            <w:gridSpan w:val="2"/>
            <w:vMerge/>
            <w:tcBorders>
              <w:left w:val="single" w:sz="13" w:space="0" w:color="D2D2D2"/>
              <w:right w:val="single" w:sz="9" w:space="0" w:color="D2D2D2"/>
            </w:tcBorders>
          </w:tcPr>
          <w:p>
            <w:pPr/>
          </w:p>
        </w:tc>
        <w:tc>
          <w:tcPr>
            <w:tcW w:w="1281"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51"/>
              <w:ind w:left="11" w:right="178"/>
              <w:jc w:val="both"/>
              <w:rPr>
                <w:rFonts w:ascii="宋体" w:hAnsi="宋体" w:cs="宋体" w:eastAsia="宋体" w:hint="default"/>
                <w:sz w:val="18"/>
                <w:szCs w:val="18"/>
              </w:rPr>
            </w:pPr>
            <w:r>
              <w:rPr>
                <w:rFonts w:ascii="宋体" w:hAnsi="宋体" w:cs="宋体" w:eastAsia="宋体" w:hint="default"/>
                <w:sz w:val="18"/>
                <w:szCs w:val="18"/>
              </w:rPr>
              <w:t>报告期末表决 权恢复的优先 股股东总数</w:t>
            </w:r>
          </w:p>
        </w:tc>
        <w:tc>
          <w:tcPr>
            <w:tcW w:w="1212" w:type="dxa"/>
            <w:vMerge/>
            <w:tcBorders>
              <w:left w:val="single" w:sz="9" w:space="0" w:color="D2D2D2"/>
              <w:right w:val="single" w:sz="9" w:space="0" w:color="D2D2D2"/>
            </w:tcBorders>
          </w:tcPr>
          <w:p>
            <w:pPr/>
          </w:p>
        </w:tc>
        <w:tc>
          <w:tcPr>
            <w:tcW w:w="1684"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51"/>
              <w:ind w:left="17" w:right="35"/>
              <w:jc w:val="both"/>
              <w:rPr>
                <w:rFonts w:ascii="宋体" w:hAnsi="宋体" w:cs="宋体" w:eastAsia="宋体" w:hint="default"/>
                <w:sz w:val="18"/>
                <w:szCs w:val="18"/>
              </w:rPr>
            </w:pPr>
            <w:r>
              <w:rPr>
                <w:rFonts w:ascii="宋体" w:hAnsi="宋体" w:cs="宋体" w:eastAsia="宋体" w:hint="default"/>
                <w:sz w:val="18"/>
                <w:szCs w:val="18"/>
              </w:rPr>
              <w:t>年度报告披露日前上 一月末表决权恢复的 优先股股东总数</w:t>
            </w:r>
          </w:p>
        </w:tc>
        <w:tc>
          <w:tcPr>
            <w:tcW w:w="710" w:type="dxa"/>
            <w:vMerge/>
            <w:tcBorders>
              <w:left w:val="single" w:sz="9" w:space="0" w:color="D2D2D2"/>
              <w:right w:val="single" w:sz="4" w:space="0" w:color="000000"/>
            </w:tcBorders>
          </w:tcPr>
          <w:p>
            <w:pPr/>
          </w:p>
        </w:tc>
      </w:tr>
      <w:tr>
        <w:trPr>
          <w:trHeight w:val="166" w:hRule="exact"/>
        </w:trPr>
        <w:tc>
          <w:tcPr>
            <w:tcW w:w="1134" w:type="dxa"/>
            <w:tcBorders>
              <w:top w:val="nil" w:sz="6" w:space="0" w:color="auto"/>
              <w:left w:val="single" w:sz="4" w:space="0" w:color="000000"/>
              <w:bottom w:val="single" w:sz="4" w:space="0" w:color="000000"/>
              <w:right w:val="single" w:sz="4" w:space="0" w:color="000000"/>
            </w:tcBorders>
            <w:shd w:val="clear" w:color="auto" w:fill="D2D2D2"/>
          </w:tcPr>
          <w:p>
            <w:pPr/>
          </w:p>
        </w:tc>
        <w:tc>
          <w:tcPr>
            <w:tcW w:w="1124" w:type="dxa"/>
            <w:vMerge/>
            <w:tcBorders>
              <w:left w:val="single" w:sz="9" w:space="0" w:color="D2D2D2"/>
              <w:bottom w:val="single" w:sz="4" w:space="0" w:color="000000"/>
              <w:right w:val="single" w:sz="13" w:space="0" w:color="D2D2D2"/>
            </w:tcBorders>
          </w:tcPr>
          <w:p>
            <w:pPr/>
          </w:p>
        </w:tc>
        <w:tc>
          <w:tcPr>
            <w:tcW w:w="982" w:type="dxa"/>
            <w:gridSpan w:val="2"/>
            <w:vMerge/>
            <w:tcBorders>
              <w:left w:val="single" w:sz="4" w:space="0" w:color="000000"/>
              <w:bottom w:val="single" w:sz="4" w:space="0" w:color="000000"/>
              <w:right w:val="single" w:sz="4" w:space="0" w:color="000000"/>
            </w:tcBorders>
            <w:shd w:val="clear" w:color="auto" w:fill="D2D2D2"/>
          </w:tcPr>
          <w:p>
            <w:pPr/>
          </w:p>
        </w:tc>
        <w:tc>
          <w:tcPr>
            <w:tcW w:w="1568" w:type="dxa"/>
            <w:gridSpan w:val="2"/>
            <w:vMerge/>
            <w:tcBorders>
              <w:left w:val="single" w:sz="13" w:space="0" w:color="D2D2D2"/>
              <w:bottom w:val="single" w:sz="4" w:space="0" w:color="000000"/>
              <w:right w:val="single" w:sz="9" w:space="0" w:color="D2D2D2"/>
            </w:tcBorders>
          </w:tcPr>
          <w:p>
            <w:pPr/>
          </w:p>
        </w:tc>
        <w:tc>
          <w:tcPr>
            <w:tcW w:w="1281"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1212" w:type="dxa"/>
            <w:vMerge/>
            <w:tcBorders>
              <w:left w:val="single" w:sz="9" w:space="0" w:color="D2D2D2"/>
              <w:bottom w:val="single" w:sz="4" w:space="0" w:color="000000"/>
              <w:right w:val="single" w:sz="9" w:space="0" w:color="D2D2D2"/>
            </w:tcBorders>
          </w:tcPr>
          <w:p>
            <w:pPr/>
          </w:p>
        </w:tc>
        <w:tc>
          <w:tcPr>
            <w:tcW w:w="1684"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710" w:type="dxa"/>
            <w:vMerge/>
            <w:tcBorders>
              <w:left w:val="single" w:sz="9" w:space="0" w:color="D2D2D2"/>
              <w:bottom w:val="single" w:sz="4" w:space="0" w:color="000000"/>
              <w:right w:val="single" w:sz="4" w:space="0" w:color="000000"/>
            </w:tcBorders>
          </w:tcPr>
          <w:p>
            <w:pPr/>
          </w:p>
        </w:tc>
      </w:tr>
      <w:tr>
        <w:trPr>
          <w:trHeight w:val="392" w:hRule="exact"/>
        </w:trPr>
        <w:tc>
          <w:tcPr>
            <w:tcW w:w="9695"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3125"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166" w:hRule="exact"/>
        </w:trPr>
        <w:tc>
          <w:tcPr>
            <w:tcW w:w="1134" w:type="dxa"/>
            <w:vMerge w:val="restart"/>
            <w:tcBorders>
              <w:top w:val="single" w:sz="4" w:space="0" w:color="000000"/>
              <w:left w:val="single" w:sz="4" w:space="0" w:color="000000"/>
              <w:right w:val="single" w:sz="4" w:space="0" w:color="000000"/>
            </w:tcBorders>
            <w:shd w:val="clear" w:color="auto" w:fill="D2D2D2"/>
          </w:tcPr>
          <w:p>
            <w:pPr/>
          </w:p>
        </w:tc>
        <w:tc>
          <w:tcPr>
            <w:tcW w:w="1124" w:type="dxa"/>
            <w:vMerge w:val="restart"/>
            <w:tcBorders>
              <w:top w:val="single" w:sz="4" w:space="0" w:color="000000"/>
              <w:left w:val="single" w:sz="4" w:space="0" w:color="000000"/>
              <w:right w:val="single" w:sz="4" w:space="0" w:color="000000"/>
            </w:tcBorders>
            <w:shd w:val="clear" w:color="auto" w:fill="D2D2D2"/>
          </w:tcPr>
          <w:p>
            <w:pPr/>
          </w:p>
        </w:tc>
        <w:tc>
          <w:tcPr>
            <w:tcW w:w="804" w:type="dxa"/>
            <w:vMerge w:val="restart"/>
            <w:tcBorders>
              <w:top w:val="single" w:sz="4" w:space="0" w:color="000000"/>
              <w:left w:val="single" w:sz="4" w:space="0" w:color="000000"/>
              <w:right w:val="single" w:sz="4" w:space="0" w:color="FFFFFF"/>
            </w:tcBorders>
            <w:shd w:val="clear" w:color="auto" w:fill="D2D2D2"/>
          </w:tcPr>
          <w:p>
            <w:pPr/>
          </w:p>
        </w:tc>
        <w:tc>
          <w:tcPr>
            <w:tcW w:w="966" w:type="dxa"/>
            <w:gridSpan w:val="2"/>
            <w:tcBorders>
              <w:top w:val="single" w:sz="4" w:space="0" w:color="000000"/>
              <w:left w:val="single" w:sz="4" w:space="0" w:color="FFFFFF"/>
              <w:bottom w:val="nil" w:sz="6" w:space="0" w:color="auto"/>
              <w:right w:val="single" w:sz="4" w:space="0" w:color="000000"/>
            </w:tcBorders>
            <w:shd w:val="clear" w:color="auto" w:fill="D2D2D2"/>
          </w:tcPr>
          <w:p>
            <w:pPr/>
          </w:p>
        </w:tc>
        <w:tc>
          <w:tcPr>
            <w:tcW w:w="977"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1084"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6"/>
              <w:ind w:left="90" w:right="82"/>
              <w:jc w:val="center"/>
              <w:rPr>
                <w:rFonts w:ascii="宋体" w:hAnsi="宋体" w:cs="宋体" w:eastAsia="宋体" w:hint="default"/>
                <w:sz w:val="18"/>
                <w:szCs w:val="18"/>
              </w:rPr>
            </w:pPr>
            <w:r>
              <w:rPr>
                <w:rFonts w:ascii="宋体" w:hAnsi="宋体" w:cs="宋体" w:eastAsia="宋体" w:hint="default"/>
                <w:sz w:val="18"/>
                <w:szCs w:val="18"/>
              </w:rPr>
              <w:t>持有有限售 条件的股份 数量</w:t>
            </w:r>
          </w:p>
        </w:tc>
        <w:tc>
          <w:tcPr>
            <w:tcW w:w="1212"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4"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58"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156" w:hRule="exact"/>
        </w:trPr>
        <w:tc>
          <w:tcPr>
            <w:tcW w:w="1134" w:type="dxa"/>
            <w:vMerge/>
            <w:tcBorders>
              <w:left w:val="single" w:sz="4" w:space="0" w:color="000000"/>
              <w:bottom w:val="nil" w:sz="6" w:space="0" w:color="auto"/>
              <w:right w:val="single" w:sz="4" w:space="0" w:color="000000"/>
            </w:tcBorders>
            <w:shd w:val="clear" w:color="auto" w:fill="D2D2D2"/>
          </w:tcPr>
          <w:p>
            <w:pPr/>
          </w:p>
        </w:tc>
        <w:tc>
          <w:tcPr>
            <w:tcW w:w="1124" w:type="dxa"/>
            <w:vMerge/>
            <w:tcBorders>
              <w:left w:val="single" w:sz="4" w:space="0" w:color="000000"/>
              <w:bottom w:val="nil" w:sz="6" w:space="0" w:color="auto"/>
              <w:right w:val="single" w:sz="4" w:space="0" w:color="000000"/>
            </w:tcBorders>
            <w:shd w:val="clear" w:color="auto" w:fill="D2D2D2"/>
          </w:tcPr>
          <w:p>
            <w:pPr/>
          </w:p>
        </w:tc>
        <w:tc>
          <w:tcPr>
            <w:tcW w:w="804" w:type="dxa"/>
            <w:vMerge/>
            <w:tcBorders>
              <w:left w:val="single" w:sz="4" w:space="0" w:color="000000"/>
              <w:bottom w:val="nil" w:sz="6" w:space="0" w:color="auto"/>
              <w:right w:val="single" w:sz="4" w:space="0" w:color="FFFFFF"/>
            </w:tcBorders>
            <w:shd w:val="clear" w:color="auto" w:fill="D2D2D2"/>
          </w:tcPr>
          <w:p>
            <w:pPr/>
          </w:p>
        </w:tc>
        <w:tc>
          <w:tcPr>
            <w:tcW w:w="966" w:type="dxa"/>
            <w:gridSpan w:val="2"/>
            <w:vMerge w:val="restart"/>
            <w:tcBorders>
              <w:top w:val="nil" w:sz="6" w:space="0" w:color="auto"/>
              <w:left w:val="single" w:sz="4" w:space="0" w:color="FFFFFF"/>
              <w:right w:val="single" w:sz="4" w:space="0" w:color="000000"/>
            </w:tcBorders>
            <w:shd w:val="clear" w:color="auto" w:fill="D2D2D2"/>
          </w:tcPr>
          <w:p>
            <w:pPr>
              <w:pStyle w:val="TableParagraph"/>
              <w:spacing w:line="316" w:lineRule="auto" w:before="51"/>
              <w:ind w:left="207" w:right="27" w:hanging="180"/>
              <w:jc w:val="left"/>
              <w:rPr>
                <w:rFonts w:ascii="宋体" w:hAnsi="宋体" w:cs="宋体" w:eastAsia="宋体" w:hint="default"/>
                <w:sz w:val="18"/>
                <w:szCs w:val="18"/>
              </w:rPr>
            </w:pPr>
            <w:r>
              <w:rPr>
                <w:rFonts w:ascii="宋体" w:hAnsi="宋体" w:cs="宋体" w:eastAsia="宋体" w:hint="default"/>
                <w:sz w:val="18"/>
                <w:szCs w:val="18"/>
              </w:rPr>
              <w:t>报告期末持 股数量</w:t>
            </w:r>
          </w:p>
        </w:tc>
        <w:tc>
          <w:tcPr>
            <w:tcW w:w="977"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33" w:right="31"/>
              <w:jc w:val="left"/>
              <w:rPr>
                <w:rFonts w:ascii="宋体" w:hAnsi="宋体" w:cs="宋体" w:eastAsia="宋体" w:hint="default"/>
                <w:sz w:val="18"/>
                <w:szCs w:val="18"/>
              </w:rPr>
            </w:pPr>
            <w:r>
              <w:rPr>
                <w:rFonts w:ascii="宋体" w:hAnsi="宋体" w:cs="宋体" w:eastAsia="宋体" w:hint="default"/>
                <w:sz w:val="18"/>
                <w:szCs w:val="18"/>
              </w:rPr>
              <w:t>报告期内增 减变动情况</w:t>
            </w:r>
          </w:p>
        </w:tc>
        <w:tc>
          <w:tcPr>
            <w:tcW w:w="1084" w:type="dxa"/>
            <w:vMerge/>
            <w:tcBorders>
              <w:left w:val="single" w:sz="4" w:space="0" w:color="000000"/>
              <w:right w:val="single" w:sz="4" w:space="0" w:color="000000"/>
            </w:tcBorders>
            <w:shd w:val="clear" w:color="auto" w:fill="D2D2D2"/>
          </w:tcPr>
          <w:p>
            <w:pPr/>
          </w:p>
        </w:tc>
        <w:tc>
          <w:tcPr>
            <w:tcW w:w="1212"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9" w:right="60"/>
              <w:jc w:val="left"/>
              <w:rPr>
                <w:rFonts w:ascii="宋体" w:hAnsi="宋体" w:cs="宋体" w:eastAsia="宋体" w:hint="default"/>
                <w:sz w:val="18"/>
                <w:szCs w:val="18"/>
              </w:rPr>
            </w:pPr>
            <w:r>
              <w:rPr>
                <w:rFonts w:ascii="宋体" w:hAnsi="宋体" w:cs="宋体" w:eastAsia="宋体" w:hint="default"/>
                <w:sz w:val="18"/>
                <w:szCs w:val="18"/>
              </w:rPr>
              <w:t>持有无限售条 件的股份数量</w:t>
            </w:r>
          </w:p>
        </w:tc>
        <w:tc>
          <w:tcPr>
            <w:tcW w:w="2394" w:type="dxa"/>
            <w:gridSpan w:val="3"/>
            <w:vMerge/>
            <w:tcBorders>
              <w:left w:val="single" w:sz="4" w:space="0" w:color="000000"/>
              <w:right w:val="single" w:sz="4" w:space="0" w:color="000000"/>
            </w:tcBorders>
            <w:shd w:val="clear" w:color="auto" w:fill="D2D2D2"/>
          </w:tcPr>
          <w:p>
            <w:pPr/>
          </w:p>
        </w:tc>
      </w:tr>
      <w:tr>
        <w:trPr>
          <w:trHeight w:val="140" w:hRule="exact"/>
        </w:trPr>
        <w:tc>
          <w:tcPr>
            <w:tcW w:w="113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11"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12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04"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804" w:type="dxa"/>
            <w:vMerge w:val="restart"/>
            <w:tcBorders>
              <w:top w:val="nil" w:sz="6" w:space="0" w:color="auto"/>
              <w:left w:val="single" w:sz="4" w:space="0" w:color="000000"/>
              <w:right w:val="single" w:sz="4" w:space="0" w:color="FFFFFF"/>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966" w:type="dxa"/>
            <w:gridSpan w:val="2"/>
            <w:vMerge/>
            <w:tcBorders>
              <w:left w:val="single" w:sz="4" w:space="0" w:color="FFFFFF"/>
              <w:right w:val="single" w:sz="4" w:space="0" w:color="000000"/>
            </w:tcBorders>
            <w:shd w:val="clear" w:color="auto" w:fill="D2D2D2"/>
          </w:tcPr>
          <w:p>
            <w:pPr/>
          </w:p>
        </w:tc>
        <w:tc>
          <w:tcPr>
            <w:tcW w:w="977" w:type="dxa"/>
            <w:gridSpan w:val="2"/>
            <w:vMerge/>
            <w:tcBorders>
              <w:left w:val="single" w:sz="4" w:space="0" w:color="000000"/>
              <w:right w:val="single" w:sz="4" w:space="0" w:color="000000"/>
            </w:tcBorders>
            <w:shd w:val="clear" w:color="auto" w:fill="D2D2D2"/>
          </w:tcPr>
          <w:p>
            <w:pPr/>
          </w:p>
        </w:tc>
        <w:tc>
          <w:tcPr>
            <w:tcW w:w="1084"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2394" w:type="dxa"/>
            <w:gridSpan w:val="3"/>
            <w:vMerge/>
            <w:tcBorders>
              <w:left w:val="single" w:sz="4" w:space="0" w:color="000000"/>
              <w:bottom w:val="single" w:sz="4" w:space="0" w:color="000000"/>
              <w:right w:val="single" w:sz="4" w:space="0" w:color="000000"/>
            </w:tcBorders>
            <w:shd w:val="clear" w:color="auto" w:fill="D2D2D2"/>
          </w:tcPr>
          <w:p>
            <w:pPr/>
          </w:p>
        </w:tc>
      </w:tr>
      <w:tr>
        <w:trPr>
          <w:trHeight w:val="252" w:hRule="exact"/>
        </w:trPr>
        <w:tc>
          <w:tcPr>
            <w:tcW w:w="1134" w:type="dxa"/>
            <w:vMerge/>
            <w:tcBorders>
              <w:left w:val="single" w:sz="4" w:space="0" w:color="000000"/>
              <w:bottom w:val="nil" w:sz="6" w:space="0" w:color="auto"/>
              <w:right w:val="single" w:sz="4" w:space="0" w:color="000000"/>
            </w:tcBorders>
            <w:shd w:val="clear" w:color="auto" w:fill="D2D2D2"/>
          </w:tcPr>
          <w:p>
            <w:pPr/>
          </w:p>
        </w:tc>
        <w:tc>
          <w:tcPr>
            <w:tcW w:w="1124" w:type="dxa"/>
            <w:vMerge/>
            <w:tcBorders>
              <w:left w:val="single" w:sz="4" w:space="0" w:color="000000"/>
              <w:bottom w:val="nil" w:sz="6" w:space="0" w:color="auto"/>
              <w:right w:val="single" w:sz="4" w:space="0" w:color="000000"/>
            </w:tcBorders>
            <w:shd w:val="clear" w:color="auto" w:fill="D2D2D2"/>
          </w:tcPr>
          <w:p>
            <w:pPr/>
          </w:p>
        </w:tc>
        <w:tc>
          <w:tcPr>
            <w:tcW w:w="804" w:type="dxa"/>
            <w:vMerge/>
            <w:tcBorders>
              <w:left w:val="single" w:sz="4" w:space="0" w:color="000000"/>
              <w:bottom w:val="nil" w:sz="6" w:space="0" w:color="auto"/>
              <w:right w:val="single" w:sz="4" w:space="0" w:color="FFFFFF"/>
            </w:tcBorders>
            <w:shd w:val="clear" w:color="auto" w:fill="D2D2D2"/>
          </w:tcPr>
          <w:p>
            <w:pPr/>
          </w:p>
        </w:tc>
        <w:tc>
          <w:tcPr>
            <w:tcW w:w="966" w:type="dxa"/>
            <w:gridSpan w:val="2"/>
            <w:vMerge/>
            <w:tcBorders>
              <w:left w:val="single" w:sz="4" w:space="0" w:color="FFFFFF"/>
              <w:right w:val="single" w:sz="4" w:space="0" w:color="000000"/>
            </w:tcBorders>
            <w:shd w:val="clear" w:color="auto" w:fill="D2D2D2"/>
          </w:tcPr>
          <w:p>
            <w:pPr/>
          </w:p>
        </w:tc>
        <w:tc>
          <w:tcPr>
            <w:tcW w:w="977" w:type="dxa"/>
            <w:gridSpan w:val="2"/>
            <w:vMerge/>
            <w:tcBorders>
              <w:left w:val="single" w:sz="4" w:space="0" w:color="000000"/>
              <w:right w:val="single" w:sz="4" w:space="0" w:color="000000"/>
            </w:tcBorders>
            <w:shd w:val="clear" w:color="auto" w:fill="D2D2D2"/>
          </w:tcPr>
          <w:p>
            <w:pPr/>
          </w:p>
        </w:tc>
        <w:tc>
          <w:tcPr>
            <w:tcW w:w="1084"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right w:val="single" w:sz="4" w:space="0" w:color="000000"/>
            </w:tcBorders>
            <w:shd w:val="clear" w:color="auto" w:fill="D2D2D2"/>
          </w:tcPr>
          <w:p>
            <w:pPr/>
          </w:p>
        </w:tc>
        <w:tc>
          <w:tcPr>
            <w:tcW w:w="128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6"/>
              <w:ind w:left="271"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111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6"/>
              <w:ind w:right="1"/>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156" w:hRule="exact"/>
        </w:trPr>
        <w:tc>
          <w:tcPr>
            <w:tcW w:w="1134" w:type="dxa"/>
            <w:vMerge w:val="restart"/>
            <w:tcBorders>
              <w:top w:val="nil" w:sz="6" w:space="0" w:color="auto"/>
              <w:left w:val="single" w:sz="4" w:space="0" w:color="000000"/>
              <w:right w:val="single" w:sz="4" w:space="0" w:color="000000"/>
            </w:tcBorders>
            <w:shd w:val="clear" w:color="auto" w:fill="D2D2D2"/>
          </w:tcPr>
          <w:p>
            <w:pPr/>
          </w:p>
        </w:tc>
        <w:tc>
          <w:tcPr>
            <w:tcW w:w="1124" w:type="dxa"/>
            <w:vMerge w:val="restart"/>
            <w:tcBorders>
              <w:top w:val="nil" w:sz="6" w:space="0" w:color="auto"/>
              <w:left w:val="single" w:sz="4" w:space="0" w:color="000000"/>
              <w:right w:val="single" w:sz="4" w:space="0" w:color="000000"/>
            </w:tcBorders>
            <w:shd w:val="clear" w:color="auto" w:fill="D2D2D2"/>
          </w:tcPr>
          <w:p>
            <w:pPr/>
          </w:p>
        </w:tc>
        <w:tc>
          <w:tcPr>
            <w:tcW w:w="804" w:type="dxa"/>
            <w:vMerge w:val="restart"/>
            <w:tcBorders>
              <w:top w:val="nil" w:sz="6" w:space="0" w:color="auto"/>
              <w:left w:val="single" w:sz="4" w:space="0" w:color="000000"/>
              <w:right w:val="single" w:sz="4" w:space="0" w:color="FFFFFF"/>
            </w:tcBorders>
            <w:shd w:val="clear" w:color="auto" w:fill="D2D2D2"/>
          </w:tcPr>
          <w:p>
            <w:pPr/>
          </w:p>
        </w:tc>
        <w:tc>
          <w:tcPr>
            <w:tcW w:w="966" w:type="dxa"/>
            <w:gridSpan w:val="2"/>
            <w:vMerge/>
            <w:tcBorders>
              <w:left w:val="single" w:sz="4" w:space="0" w:color="FFFFFF"/>
              <w:bottom w:val="nil" w:sz="6" w:space="0" w:color="auto"/>
              <w:right w:val="single" w:sz="4" w:space="0" w:color="000000"/>
            </w:tcBorders>
            <w:shd w:val="clear" w:color="auto" w:fill="D2D2D2"/>
          </w:tcPr>
          <w:p>
            <w:pPr/>
          </w:p>
        </w:tc>
        <w:tc>
          <w:tcPr>
            <w:tcW w:w="977" w:type="dxa"/>
            <w:gridSpan w:val="2"/>
            <w:vMerge/>
            <w:tcBorders>
              <w:left w:val="single" w:sz="4" w:space="0" w:color="000000"/>
              <w:bottom w:val="nil" w:sz="6" w:space="0" w:color="auto"/>
              <w:right w:val="single" w:sz="4" w:space="0" w:color="000000"/>
            </w:tcBorders>
            <w:shd w:val="clear" w:color="auto" w:fill="D2D2D2"/>
          </w:tcPr>
          <w:p>
            <w:pPr/>
          </w:p>
        </w:tc>
        <w:tc>
          <w:tcPr>
            <w:tcW w:w="1084" w:type="dxa"/>
            <w:vMerge/>
            <w:tcBorders>
              <w:left w:val="single" w:sz="4" w:space="0" w:color="000000"/>
              <w:right w:val="single" w:sz="4" w:space="0" w:color="000000"/>
            </w:tcBorders>
            <w:shd w:val="clear" w:color="auto" w:fill="D2D2D2"/>
          </w:tcPr>
          <w:p>
            <w:pPr/>
          </w:p>
        </w:tc>
        <w:tc>
          <w:tcPr>
            <w:tcW w:w="1212" w:type="dxa"/>
            <w:vMerge/>
            <w:tcBorders>
              <w:left w:val="single" w:sz="4" w:space="0" w:color="000000"/>
              <w:bottom w:val="nil" w:sz="6" w:space="0" w:color="auto"/>
              <w:right w:val="single" w:sz="4" w:space="0" w:color="000000"/>
            </w:tcBorders>
            <w:shd w:val="clear" w:color="auto" w:fill="D2D2D2"/>
          </w:tcPr>
          <w:p>
            <w:pPr/>
          </w:p>
        </w:tc>
        <w:tc>
          <w:tcPr>
            <w:tcW w:w="1280" w:type="dxa"/>
            <w:vMerge/>
            <w:tcBorders>
              <w:left w:val="single" w:sz="4" w:space="0" w:color="000000"/>
              <w:right w:val="single" w:sz="4" w:space="0" w:color="000000"/>
            </w:tcBorders>
            <w:shd w:val="clear" w:color="auto" w:fill="D2D2D2"/>
          </w:tcPr>
          <w:p>
            <w:pPr/>
          </w:p>
        </w:tc>
        <w:tc>
          <w:tcPr>
            <w:tcW w:w="1115" w:type="dxa"/>
            <w:gridSpan w:val="2"/>
            <w:vMerge/>
            <w:tcBorders>
              <w:left w:val="single" w:sz="4" w:space="0" w:color="000000"/>
              <w:right w:val="single" w:sz="4" w:space="0" w:color="000000"/>
            </w:tcBorders>
            <w:shd w:val="clear" w:color="auto" w:fill="D2D2D2"/>
          </w:tcPr>
          <w:p>
            <w:pPr/>
          </w:p>
        </w:tc>
      </w:tr>
      <w:tr>
        <w:trPr>
          <w:trHeight w:val="161" w:hRule="exact"/>
        </w:trPr>
        <w:tc>
          <w:tcPr>
            <w:tcW w:w="1134" w:type="dxa"/>
            <w:vMerge/>
            <w:tcBorders>
              <w:left w:val="single" w:sz="4" w:space="0" w:color="000000"/>
              <w:bottom w:val="single" w:sz="4" w:space="0" w:color="000000"/>
              <w:right w:val="single" w:sz="4" w:space="0" w:color="000000"/>
            </w:tcBorders>
            <w:shd w:val="clear" w:color="auto" w:fill="D2D2D2"/>
          </w:tcPr>
          <w:p>
            <w:pPr/>
          </w:p>
        </w:tc>
        <w:tc>
          <w:tcPr>
            <w:tcW w:w="1124" w:type="dxa"/>
            <w:vMerge/>
            <w:tcBorders>
              <w:left w:val="single" w:sz="4" w:space="0" w:color="000000"/>
              <w:bottom w:val="single" w:sz="4" w:space="0" w:color="000000"/>
              <w:right w:val="single" w:sz="4" w:space="0" w:color="000000"/>
            </w:tcBorders>
            <w:shd w:val="clear" w:color="auto" w:fill="D2D2D2"/>
          </w:tcPr>
          <w:p>
            <w:pPr/>
          </w:p>
        </w:tc>
        <w:tc>
          <w:tcPr>
            <w:tcW w:w="804" w:type="dxa"/>
            <w:vMerge/>
            <w:tcBorders>
              <w:left w:val="single" w:sz="4" w:space="0" w:color="000000"/>
              <w:bottom w:val="single" w:sz="4" w:space="0" w:color="000000"/>
              <w:right w:val="single" w:sz="4" w:space="0" w:color="FFFFFF"/>
            </w:tcBorders>
            <w:shd w:val="clear" w:color="auto" w:fill="D2D2D2"/>
          </w:tcPr>
          <w:p>
            <w:pPr/>
          </w:p>
        </w:tc>
        <w:tc>
          <w:tcPr>
            <w:tcW w:w="966" w:type="dxa"/>
            <w:gridSpan w:val="2"/>
            <w:tcBorders>
              <w:top w:val="nil" w:sz="6" w:space="0" w:color="auto"/>
              <w:left w:val="single" w:sz="4" w:space="0" w:color="FFFFFF"/>
              <w:bottom w:val="single" w:sz="4" w:space="0" w:color="000000"/>
              <w:right w:val="single" w:sz="4" w:space="0" w:color="000000"/>
            </w:tcBorders>
            <w:shd w:val="clear" w:color="auto" w:fill="D2D2D2"/>
          </w:tcPr>
          <w:p>
            <w:pPr/>
          </w:p>
        </w:tc>
        <w:tc>
          <w:tcPr>
            <w:tcW w:w="977"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1084" w:type="dxa"/>
            <w:vMerge/>
            <w:tcBorders>
              <w:left w:val="single" w:sz="4" w:space="0" w:color="000000"/>
              <w:bottom w:val="single" w:sz="4" w:space="0" w:color="000000"/>
              <w:right w:val="single" w:sz="4" w:space="0" w:color="000000"/>
            </w:tcBorders>
            <w:shd w:val="clear" w:color="auto" w:fill="D2D2D2"/>
          </w:tcPr>
          <w:p>
            <w:pPr/>
          </w:p>
        </w:tc>
        <w:tc>
          <w:tcPr>
            <w:tcW w:w="12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280" w:type="dxa"/>
            <w:vMerge/>
            <w:tcBorders>
              <w:left w:val="single" w:sz="4" w:space="0" w:color="000000"/>
              <w:bottom w:val="single" w:sz="4" w:space="0" w:color="000000"/>
              <w:right w:val="single" w:sz="4" w:space="0" w:color="000000"/>
            </w:tcBorders>
            <w:shd w:val="clear" w:color="auto" w:fill="D2D2D2"/>
          </w:tcPr>
          <w:p>
            <w:pPr/>
          </w:p>
        </w:tc>
        <w:tc>
          <w:tcPr>
            <w:tcW w:w="1115" w:type="dxa"/>
            <w:gridSpan w:val="2"/>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8"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5" w:right="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04"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90"/>
              <w:ind w:left="116" w:right="0"/>
              <w:jc w:val="left"/>
              <w:rPr>
                <w:rFonts w:ascii="Times New Roman" w:hAnsi="Times New Roman" w:cs="Times New Roman" w:eastAsia="Times New Roman" w:hint="default"/>
                <w:sz w:val="18"/>
                <w:szCs w:val="18"/>
              </w:rPr>
            </w:pPr>
            <w:r>
              <w:rPr>
                <w:rFonts w:ascii="Times New Roman"/>
                <w:sz w:val="18"/>
              </w:rPr>
              <w:t>13.17%</w:t>
            </w:r>
          </w:p>
        </w:tc>
        <w:tc>
          <w:tcPr>
            <w:tcW w:w="966" w:type="dxa"/>
            <w:gridSpan w:val="2"/>
            <w:tcBorders>
              <w:top w:val="single" w:sz="4" w:space="0" w:color="000000"/>
              <w:left w:val="single" w:sz="4" w:space="0" w:color="FFFFFF"/>
              <w:bottom w:val="single" w:sz="4" w:space="0" w:color="000000"/>
              <w:right w:val="single" w:sz="4" w:space="0" w:color="000000"/>
            </w:tcBorders>
          </w:tcPr>
          <w:p>
            <w:pPr>
              <w:pStyle w:val="TableParagraph"/>
              <w:spacing w:line="240" w:lineRule="auto" w:before="90"/>
              <w:ind w:left="32" w:right="0"/>
              <w:jc w:val="left"/>
              <w:rPr>
                <w:rFonts w:ascii="Times New Roman" w:hAnsi="Times New Roman" w:cs="Times New Roman" w:eastAsia="Times New Roman" w:hint="default"/>
                <w:sz w:val="18"/>
                <w:szCs w:val="18"/>
              </w:rPr>
            </w:pPr>
            <w:r>
              <w:rPr>
                <w:rFonts w:ascii="Times New Roman"/>
                <w:sz w:val="18"/>
              </w:rPr>
              <w:t>258,307,304</w:t>
            </w:r>
          </w:p>
        </w:tc>
        <w:tc>
          <w:tcPr>
            <w:tcW w:w="9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224" w:right="0"/>
              <w:jc w:val="left"/>
              <w:rPr>
                <w:rFonts w:ascii="Times New Roman" w:hAnsi="Times New Roman" w:cs="Times New Roman" w:eastAsia="Times New Roman" w:hint="default"/>
                <w:sz w:val="18"/>
                <w:szCs w:val="18"/>
              </w:rPr>
            </w:pPr>
            <w:r>
              <w:rPr>
                <w:rFonts w:ascii="Times New Roman"/>
                <w:sz w:val="18"/>
              </w:rPr>
              <w:t>1,500,000</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4"/>
              <w:jc w:val="right"/>
              <w:rPr>
                <w:rFonts w:ascii="Times New Roman" w:hAnsi="Times New Roman" w:cs="Times New Roman" w:eastAsia="Times New Roman" w:hint="default"/>
                <w:sz w:val="18"/>
                <w:szCs w:val="18"/>
              </w:rPr>
            </w:pPr>
            <w:r>
              <w:rPr>
                <w:rFonts w:ascii="Times New Roman"/>
                <w:sz w:val="18"/>
              </w:rPr>
              <w:t>193,730,478</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7"/>
              <w:jc w:val="right"/>
              <w:rPr>
                <w:rFonts w:ascii="Times New Roman" w:hAnsi="Times New Roman" w:cs="Times New Roman" w:eastAsia="Times New Roman" w:hint="default"/>
                <w:sz w:val="18"/>
                <w:szCs w:val="18"/>
              </w:rPr>
            </w:pPr>
            <w:r>
              <w:rPr>
                <w:rFonts w:ascii="Times New Roman"/>
                <w:sz w:val="18"/>
              </w:rPr>
              <w:t>64,576,826</w:t>
            </w:r>
          </w:p>
        </w:tc>
        <w:tc>
          <w:tcPr>
            <w:tcW w:w="1280" w:type="dxa"/>
            <w:tcBorders>
              <w:top w:val="single" w:sz="48" w:space="0" w:color="D2D2D2"/>
              <w:left w:val="single" w:sz="4" w:space="0" w:color="000000"/>
              <w:bottom w:val="single" w:sz="4" w:space="0" w:color="000000"/>
              <w:right w:val="single" w:sz="4" w:space="0" w:color="000000"/>
            </w:tcBorders>
          </w:tcPr>
          <w:p>
            <w:pPr>
              <w:pStyle w:val="TableParagraph"/>
              <w:spacing w:line="231" w:lineRule="exact"/>
              <w:ind w:right="4"/>
              <w:jc w:val="center"/>
              <w:rPr>
                <w:rFonts w:ascii="宋体" w:hAnsi="宋体" w:cs="宋体" w:eastAsia="宋体" w:hint="default"/>
                <w:sz w:val="18"/>
                <w:szCs w:val="18"/>
              </w:rPr>
            </w:pPr>
            <w:r>
              <w:rPr>
                <w:rFonts w:ascii="宋体" w:hAnsi="宋体" w:cs="宋体" w:eastAsia="宋体" w:hint="default"/>
                <w:sz w:val="18"/>
                <w:szCs w:val="18"/>
              </w:rPr>
              <w:t>质押</w:t>
            </w:r>
          </w:p>
        </w:tc>
        <w:tc>
          <w:tcPr>
            <w:tcW w:w="1115" w:type="dxa"/>
            <w:gridSpan w:val="2"/>
            <w:tcBorders>
              <w:top w:val="single" w:sz="48" w:space="0" w:color="D2D2D2"/>
              <w:left w:val="single" w:sz="4" w:space="0" w:color="000000"/>
              <w:bottom w:val="single" w:sz="4" w:space="0" w:color="000000"/>
              <w:right w:val="single" w:sz="4" w:space="0" w:color="000000"/>
            </w:tcBorders>
          </w:tcPr>
          <w:p>
            <w:pPr>
              <w:pStyle w:val="TableParagraph"/>
              <w:spacing w:line="240" w:lineRule="auto" w:before="34"/>
              <w:ind w:left="181" w:right="0"/>
              <w:jc w:val="left"/>
              <w:rPr>
                <w:rFonts w:ascii="Times New Roman" w:hAnsi="Times New Roman" w:cs="Times New Roman" w:eastAsia="Times New Roman" w:hint="default"/>
                <w:sz w:val="18"/>
                <w:szCs w:val="18"/>
              </w:rPr>
            </w:pPr>
            <w:r>
              <w:rPr>
                <w:rFonts w:ascii="Times New Roman"/>
                <w:sz w:val="18"/>
              </w:rPr>
              <w:t>189,799,999</w:t>
            </w: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5" w:right="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04"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91"/>
              <w:ind w:left="161" w:right="0"/>
              <w:jc w:val="left"/>
              <w:rPr>
                <w:rFonts w:ascii="Times New Roman" w:hAnsi="Times New Roman" w:cs="Times New Roman" w:eastAsia="Times New Roman" w:hint="default"/>
                <w:sz w:val="18"/>
                <w:szCs w:val="18"/>
              </w:rPr>
            </w:pPr>
            <w:r>
              <w:rPr>
                <w:rFonts w:ascii="Times New Roman"/>
                <w:sz w:val="18"/>
              </w:rPr>
              <w:t>6.47%</w:t>
            </w:r>
          </w:p>
        </w:tc>
        <w:tc>
          <w:tcPr>
            <w:tcW w:w="966" w:type="dxa"/>
            <w:gridSpan w:val="2"/>
            <w:tcBorders>
              <w:top w:val="single" w:sz="4" w:space="0" w:color="000000"/>
              <w:left w:val="single" w:sz="4" w:space="0" w:color="FFFFFF"/>
              <w:bottom w:val="single" w:sz="4" w:space="0" w:color="000000"/>
              <w:right w:val="single" w:sz="4" w:space="0" w:color="000000"/>
            </w:tcBorders>
          </w:tcPr>
          <w:p>
            <w:pPr>
              <w:pStyle w:val="TableParagraph"/>
              <w:spacing w:line="240" w:lineRule="auto" w:before="91"/>
              <w:ind w:left="32" w:right="0"/>
              <w:jc w:val="left"/>
              <w:rPr>
                <w:rFonts w:ascii="Times New Roman" w:hAnsi="Times New Roman" w:cs="Times New Roman" w:eastAsia="Times New Roman" w:hint="default"/>
                <w:sz w:val="18"/>
                <w:szCs w:val="18"/>
              </w:rPr>
            </w:pPr>
            <w:r>
              <w:rPr>
                <w:rFonts w:ascii="Times New Roman"/>
                <w:sz w:val="18"/>
              </w:rPr>
              <w:t>126,958,612</w:t>
            </w:r>
          </w:p>
        </w:tc>
        <w:tc>
          <w:tcPr>
            <w:tcW w:w="9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95,218,959</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7"/>
              <w:jc w:val="right"/>
              <w:rPr>
                <w:rFonts w:ascii="Times New Roman" w:hAnsi="Times New Roman" w:cs="Times New Roman" w:eastAsia="Times New Roman" w:hint="default"/>
                <w:sz w:val="18"/>
                <w:szCs w:val="18"/>
              </w:rPr>
            </w:pPr>
            <w:r>
              <w:rPr>
                <w:rFonts w:ascii="Times New Roman"/>
                <w:sz w:val="18"/>
              </w:rPr>
              <w:t>31,739,653</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
              <w:jc w:val="center"/>
              <w:rPr>
                <w:rFonts w:ascii="宋体" w:hAnsi="宋体" w:cs="宋体" w:eastAsia="宋体" w:hint="default"/>
                <w:sz w:val="18"/>
                <w:szCs w:val="18"/>
              </w:rPr>
            </w:pPr>
            <w:r>
              <w:rPr>
                <w:rFonts w:ascii="宋体" w:hAnsi="宋体" w:cs="宋体" w:eastAsia="宋体" w:hint="default"/>
                <w:sz w:val="18"/>
                <w:szCs w:val="18"/>
              </w:rPr>
              <w:t>质押</w:t>
            </w:r>
          </w:p>
        </w:tc>
        <w:tc>
          <w:tcPr>
            <w:tcW w:w="11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1" w:right="0"/>
              <w:jc w:val="left"/>
              <w:rPr>
                <w:rFonts w:ascii="Times New Roman" w:hAnsi="Times New Roman" w:cs="Times New Roman" w:eastAsia="Times New Roman" w:hint="default"/>
                <w:sz w:val="18"/>
                <w:szCs w:val="18"/>
              </w:rPr>
            </w:pPr>
            <w:r>
              <w:rPr>
                <w:rFonts w:ascii="Times New Roman"/>
                <w:sz w:val="18"/>
              </w:rPr>
              <w:t>107,099,999</w:t>
            </w: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 w:right="0"/>
              <w:jc w:val="center"/>
              <w:rPr>
                <w:rFonts w:ascii="宋体" w:hAnsi="宋体" w:cs="宋体" w:eastAsia="宋体" w:hint="default"/>
                <w:sz w:val="18"/>
                <w:szCs w:val="18"/>
              </w:rPr>
            </w:pPr>
            <w:r>
              <w:rPr>
                <w:rFonts w:ascii="宋体" w:hAnsi="宋体" w:cs="宋体" w:eastAsia="宋体" w:hint="default"/>
                <w:sz w:val="18"/>
                <w:szCs w:val="18"/>
              </w:rPr>
              <w:t>齐强</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5" w:right="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04"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91"/>
              <w:ind w:left="161" w:right="0"/>
              <w:jc w:val="left"/>
              <w:rPr>
                <w:rFonts w:ascii="Times New Roman" w:hAnsi="Times New Roman" w:cs="Times New Roman" w:eastAsia="Times New Roman" w:hint="default"/>
                <w:sz w:val="18"/>
                <w:szCs w:val="18"/>
              </w:rPr>
            </w:pPr>
            <w:r>
              <w:rPr>
                <w:rFonts w:ascii="Times New Roman"/>
                <w:sz w:val="18"/>
              </w:rPr>
              <w:t>4.52%</w:t>
            </w:r>
          </w:p>
        </w:tc>
        <w:tc>
          <w:tcPr>
            <w:tcW w:w="966" w:type="dxa"/>
            <w:gridSpan w:val="2"/>
            <w:tcBorders>
              <w:top w:val="single" w:sz="4" w:space="0" w:color="000000"/>
              <w:left w:val="single" w:sz="4" w:space="0" w:color="FFFFFF"/>
              <w:bottom w:val="single" w:sz="4" w:space="0" w:color="000000"/>
              <w:right w:val="single" w:sz="4" w:space="0" w:color="000000"/>
            </w:tcBorders>
          </w:tcPr>
          <w:p>
            <w:pPr>
              <w:pStyle w:val="TableParagraph"/>
              <w:spacing w:line="240" w:lineRule="auto" w:before="91"/>
              <w:ind w:left="122" w:right="0"/>
              <w:jc w:val="left"/>
              <w:rPr>
                <w:rFonts w:ascii="Times New Roman" w:hAnsi="Times New Roman" w:cs="Times New Roman" w:eastAsia="Times New Roman" w:hint="default"/>
                <w:sz w:val="18"/>
                <w:szCs w:val="18"/>
              </w:rPr>
            </w:pPr>
            <w:r>
              <w:rPr>
                <w:rFonts w:ascii="Times New Roman"/>
                <w:sz w:val="18"/>
              </w:rPr>
              <w:t>88,698,900</w:t>
            </w:r>
          </w:p>
        </w:tc>
        <w:tc>
          <w:tcPr>
            <w:tcW w:w="9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-26,790,127</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z w:val="18"/>
              </w:rPr>
              <w:t>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7"/>
              <w:jc w:val="right"/>
              <w:rPr>
                <w:rFonts w:ascii="Times New Roman" w:hAnsi="Times New Roman" w:cs="Times New Roman" w:eastAsia="Times New Roman" w:hint="default"/>
                <w:sz w:val="18"/>
                <w:szCs w:val="18"/>
              </w:rPr>
            </w:pPr>
            <w:r>
              <w:rPr>
                <w:rFonts w:ascii="Times New Roman"/>
                <w:sz w:val="18"/>
              </w:rPr>
              <w:t>88,698,900</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
              <w:jc w:val="center"/>
              <w:rPr>
                <w:rFonts w:ascii="宋体" w:hAnsi="宋体" w:cs="宋体" w:eastAsia="宋体" w:hint="default"/>
                <w:sz w:val="18"/>
                <w:szCs w:val="18"/>
              </w:rPr>
            </w:pPr>
            <w:r>
              <w:rPr>
                <w:rFonts w:ascii="宋体" w:hAnsi="宋体" w:cs="宋体" w:eastAsia="宋体" w:hint="default"/>
                <w:sz w:val="18"/>
                <w:szCs w:val="18"/>
              </w:rPr>
              <w:t>质押</w:t>
            </w:r>
          </w:p>
        </w:tc>
        <w:tc>
          <w:tcPr>
            <w:tcW w:w="11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1" w:right="0"/>
              <w:jc w:val="left"/>
              <w:rPr>
                <w:rFonts w:ascii="Times New Roman" w:hAnsi="Times New Roman" w:cs="Times New Roman" w:eastAsia="Times New Roman" w:hint="default"/>
                <w:sz w:val="18"/>
                <w:szCs w:val="18"/>
              </w:rPr>
            </w:pPr>
            <w:r>
              <w:rPr>
                <w:rFonts w:ascii="Times New Roman"/>
                <w:sz w:val="18"/>
              </w:rPr>
              <w:t>20,000,000</w:t>
            </w: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 w:right="0"/>
              <w:jc w:val="center"/>
              <w:rPr>
                <w:rFonts w:ascii="宋体" w:hAnsi="宋体" w:cs="宋体" w:eastAsia="宋体" w:hint="default"/>
                <w:sz w:val="18"/>
                <w:szCs w:val="18"/>
              </w:rPr>
            </w:pPr>
            <w:r>
              <w:rPr>
                <w:rFonts w:ascii="宋体" w:hAnsi="宋体" w:cs="宋体" w:eastAsia="宋体" w:hint="default"/>
                <w:sz w:val="18"/>
                <w:szCs w:val="18"/>
              </w:rPr>
              <w:t>黄松浪</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5" w:right="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04"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91"/>
              <w:ind w:left="161" w:right="0"/>
              <w:jc w:val="left"/>
              <w:rPr>
                <w:rFonts w:ascii="Times New Roman" w:hAnsi="Times New Roman" w:cs="Times New Roman" w:eastAsia="Times New Roman" w:hint="default"/>
                <w:sz w:val="18"/>
                <w:szCs w:val="18"/>
              </w:rPr>
            </w:pPr>
            <w:r>
              <w:rPr>
                <w:rFonts w:ascii="Times New Roman"/>
                <w:sz w:val="18"/>
              </w:rPr>
              <w:t>4.49%</w:t>
            </w:r>
          </w:p>
        </w:tc>
        <w:tc>
          <w:tcPr>
            <w:tcW w:w="966" w:type="dxa"/>
            <w:gridSpan w:val="2"/>
            <w:tcBorders>
              <w:top w:val="single" w:sz="4" w:space="0" w:color="000000"/>
              <w:left w:val="single" w:sz="4" w:space="0" w:color="FFFFFF"/>
              <w:bottom w:val="single" w:sz="4" w:space="0" w:color="000000"/>
              <w:right w:val="single" w:sz="4" w:space="0" w:color="000000"/>
            </w:tcBorders>
          </w:tcPr>
          <w:p>
            <w:pPr>
              <w:pStyle w:val="TableParagraph"/>
              <w:spacing w:line="240" w:lineRule="auto" w:before="91"/>
              <w:ind w:left="122" w:right="0"/>
              <w:jc w:val="left"/>
              <w:rPr>
                <w:rFonts w:ascii="Times New Roman" w:hAnsi="Times New Roman" w:cs="Times New Roman" w:eastAsia="Times New Roman" w:hint="default"/>
                <w:sz w:val="18"/>
                <w:szCs w:val="18"/>
              </w:rPr>
            </w:pPr>
            <w:r>
              <w:rPr>
                <w:rFonts w:ascii="Times New Roman"/>
                <w:sz w:val="18"/>
              </w:rPr>
              <w:t>88,086,127</w:t>
            </w:r>
          </w:p>
        </w:tc>
        <w:tc>
          <w:tcPr>
            <w:tcW w:w="9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-26,232,276</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85,738,802</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7"/>
              <w:jc w:val="right"/>
              <w:rPr>
                <w:rFonts w:ascii="Times New Roman" w:hAnsi="Times New Roman" w:cs="Times New Roman" w:eastAsia="Times New Roman" w:hint="default"/>
                <w:sz w:val="18"/>
                <w:szCs w:val="18"/>
              </w:rPr>
            </w:pPr>
            <w:r>
              <w:rPr>
                <w:rFonts w:ascii="Times New Roman"/>
                <w:sz w:val="18"/>
              </w:rPr>
              <w:t>2,347,325</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
              <w:jc w:val="center"/>
              <w:rPr>
                <w:rFonts w:ascii="宋体" w:hAnsi="宋体" w:cs="宋体" w:eastAsia="宋体" w:hint="default"/>
                <w:sz w:val="18"/>
                <w:szCs w:val="18"/>
              </w:rPr>
            </w:pPr>
            <w:r>
              <w:rPr>
                <w:rFonts w:ascii="宋体" w:hAnsi="宋体" w:cs="宋体" w:eastAsia="宋体" w:hint="default"/>
                <w:sz w:val="18"/>
                <w:szCs w:val="18"/>
              </w:rPr>
              <w:t>质押</w:t>
            </w:r>
          </w:p>
        </w:tc>
        <w:tc>
          <w:tcPr>
            <w:tcW w:w="11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1" w:right="0"/>
              <w:jc w:val="left"/>
              <w:rPr>
                <w:rFonts w:ascii="Times New Roman" w:hAnsi="Times New Roman" w:cs="Times New Roman" w:eastAsia="Times New Roman" w:hint="default"/>
                <w:sz w:val="18"/>
                <w:szCs w:val="18"/>
              </w:rPr>
            </w:pPr>
            <w:r>
              <w:rPr>
                <w:rFonts w:ascii="Times New Roman"/>
                <w:sz w:val="18"/>
              </w:rPr>
              <w:t>39,559,995</w:t>
            </w: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 w:right="0"/>
              <w:jc w:val="center"/>
              <w:rPr>
                <w:rFonts w:ascii="宋体" w:hAnsi="宋体" w:cs="宋体" w:eastAsia="宋体" w:hint="default"/>
                <w:sz w:val="18"/>
                <w:szCs w:val="18"/>
              </w:rPr>
            </w:pPr>
            <w:r>
              <w:rPr>
                <w:rFonts w:ascii="宋体" w:hAnsi="宋体" w:cs="宋体" w:eastAsia="宋体" w:hint="default"/>
                <w:sz w:val="18"/>
                <w:szCs w:val="18"/>
              </w:rPr>
              <w:t>安梅</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5" w:right="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04"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91"/>
              <w:ind w:left="161" w:right="0"/>
              <w:jc w:val="left"/>
              <w:rPr>
                <w:rFonts w:ascii="Times New Roman" w:hAnsi="Times New Roman" w:cs="Times New Roman" w:eastAsia="Times New Roman" w:hint="default"/>
                <w:sz w:val="18"/>
                <w:szCs w:val="18"/>
              </w:rPr>
            </w:pPr>
            <w:r>
              <w:rPr>
                <w:rFonts w:ascii="Times New Roman"/>
                <w:sz w:val="18"/>
              </w:rPr>
              <w:t>4.36%</w:t>
            </w:r>
          </w:p>
        </w:tc>
        <w:tc>
          <w:tcPr>
            <w:tcW w:w="966" w:type="dxa"/>
            <w:gridSpan w:val="2"/>
            <w:tcBorders>
              <w:top w:val="single" w:sz="4" w:space="0" w:color="000000"/>
              <w:left w:val="single" w:sz="4" w:space="0" w:color="FFFFFF"/>
              <w:bottom w:val="single" w:sz="4" w:space="0" w:color="000000"/>
              <w:right w:val="single" w:sz="4" w:space="0" w:color="000000"/>
            </w:tcBorders>
          </w:tcPr>
          <w:p>
            <w:pPr>
              <w:pStyle w:val="TableParagraph"/>
              <w:spacing w:line="240" w:lineRule="auto" w:before="91"/>
              <w:ind w:left="122" w:right="0"/>
              <w:jc w:val="left"/>
              <w:rPr>
                <w:rFonts w:ascii="Times New Roman" w:hAnsi="Times New Roman" w:cs="Times New Roman" w:eastAsia="Times New Roman" w:hint="default"/>
                <w:sz w:val="18"/>
                <w:szCs w:val="18"/>
              </w:rPr>
            </w:pPr>
            <w:r>
              <w:rPr>
                <w:rFonts w:ascii="Times New Roman"/>
                <w:sz w:val="18"/>
              </w:rPr>
              <w:t>85,474,443</w:t>
            </w:r>
          </w:p>
        </w:tc>
        <w:tc>
          <w:tcPr>
            <w:tcW w:w="9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-28,484,166</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85,468,957</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7"/>
              <w:jc w:val="right"/>
              <w:rPr>
                <w:rFonts w:ascii="Times New Roman" w:hAnsi="Times New Roman" w:cs="Times New Roman" w:eastAsia="Times New Roman" w:hint="default"/>
                <w:sz w:val="18"/>
                <w:szCs w:val="18"/>
              </w:rPr>
            </w:pPr>
            <w:r>
              <w:rPr>
                <w:rFonts w:ascii="Times New Roman"/>
                <w:sz w:val="18"/>
              </w:rPr>
              <w:t>5,486</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
              <w:jc w:val="center"/>
              <w:rPr>
                <w:rFonts w:ascii="宋体" w:hAnsi="宋体" w:cs="宋体" w:eastAsia="宋体" w:hint="default"/>
                <w:sz w:val="18"/>
                <w:szCs w:val="18"/>
              </w:rPr>
            </w:pPr>
            <w:r>
              <w:rPr>
                <w:rFonts w:ascii="宋体" w:hAnsi="宋体" w:cs="宋体" w:eastAsia="宋体" w:hint="default"/>
                <w:sz w:val="18"/>
                <w:szCs w:val="18"/>
              </w:rPr>
              <w:t>质押</w:t>
            </w:r>
          </w:p>
        </w:tc>
        <w:tc>
          <w:tcPr>
            <w:tcW w:w="11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 w:right="0"/>
              <w:jc w:val="center"/>
              <w:rPr>
                <w:rFonts w:ascii="宋体" w:hAnsi="宋体" w:cs="宋体" w:eastAsia="宋体" w:hint="default"/>
                <w:sz w:val="18"/>
                <w:szCs w:val="18"/>
              </w:rPr>
            </w:pPr>
            <w:r>
              <w:rPr>
                <w:rFonts w:ascii="宋体" w:hAnsi="宋体" w:cs="宋体" w:eastAsia="宋体" w:hint="default"/>
                <w:sz w:val="18"/>
                <w:szCs w:val="18"/>
              </w:rPr>
              <w:t>万能</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5" w:right="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04"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91"/>
              <w:ind w:left="161" w:right="0"/>
              <w:jc w:val="left"/>
              <w:rPr>
                <w:rFonts w:ascii="Times New Roman" w:hAnsi="Times New Roman" w:cs="Times New Roman" w:eastAsia="Times New Roman" w:hint="default"/>
                <w:sz w:val="18"/>
                <w:szCs w:val="18"/>
              </w:rPr>
            </w:pPr>
            <w:r>
              <w:rPr>
                <w:rFonts w:ascii="Times New Roman"/>
                <w:sz w:val="18"/>
              </w:rPr>
              <w:t>3.22%</w:t>
            </w:r>
          </w:p>
        </w:tc>
        <w:tc>
          <w:tcPr>
            <w:tcW w:w="966" w:type="dxa"/>
            <w:gridSpan w:val="2"/>
            <w:tcBorders>
              <w:top w:val="single" w:sz="4" w:space="0" w:color="000000"/>
              <w:left w:val="single" w:sz="4" w:space="0" w:color="FFFFFF"/>
              <w:bottom w:val="single" w:sz="4" w:space="0" w:color="000000"/>
              <w:right w:val="single" w:sz="4" w:space="0" w:color="000000"/>
            </w:tcBorders>
          </w:tcPr>
          <w:p>
            <w:pPr>
              <w:pStyle w:val="TableParagraph"/>
              <w:spacing w:line="240" w:lineRule="auto" w:before="91"/>
              <w:ind w:left="122" w:right="0"/>
              <w:jc w:val="left"/>
              <w:rPr>
                <w:rFonts w:ascii="Times New Roman" w:hAnsi="Times New Roman" w:cs="Times New Roman" w:eastAsia="Times New Roman" w:hint="default"/>
                <w:sz w:val="18"/>
                <w:szCs w:val="18"/>
              </w:rPr>
            </w:pPr>
            <w:r>
              <w:rPr>
                <w:rFonts w:ascii="Times New Roman"/>
                <w:sz w:val="18"/>
              </w:rPr>
              <w:t>63,064,703</w:t>
            </w:r>
          </w:p>
        </w:tc>
        <w:tc>
          <w:tcPr>
            <w:tcW w:w="9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4" w:right="0"/>
              <w:jc w:val="left"/>
              <w:rPr>
                <w:rFonts w:ascii="Times New Roman" w:hAnsi="Times New Roman" w:cs="Times New Roman" w:eastAsia="Times New Roman" w:hint="default"/>
                <w:sz w:val="18"/>
                <w:szCs w:val="18"/>
              </w:rPr>
            </w:pPr>
            <w:r>
              <w:rPr>
                <w:rFonts w:ascii="Times New Roman"/>
                <w:sz w:val="18"/>
              </w:rPr>
              <w:t>-6,618,937</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z w:val="18"/>
              </w:rPr>
              <w:t>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7"/>
              <w:jc w:val="right"/>
              <w:rPr>
                <w:rFonts w:ascii="Times New Roman" w:hAnsi="Times New Roman" w:cs="Times New Roman" w:eastAsia="Times New Roman" w:hint="default"/>
                <w:sz w:val="18"/>
                <w:szCs w:val="18"/>
              </w:rPr>
            </w:pPr>
            <w:r>
              <w:rPr>
                <w:rFonts w:ascii="Times New Roman"/>
                <w:sz w:val="18"/>
              </w:rPr>
              <w:t>63,064,703</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
              <w:jc w:val="center"/>
              <w:rPr>
                <w:rFonts w:ascii="宋体" w:hAnsi="宋体" w:cs="宋体" w:eastAsia="宋体" w:hint="default"/>
                <w:sz w:val="18"/>
                <w:szCs w:val="18"/>
              </w:rPr>
            </w:pPr>
            <w:r>
              <w:rPr>
                <w:rFonts w:ascii="宋体" w:hAnsi="宋体" w:cs="宋体" w:eastAsia="宋体" w:hint="default"/>
                <w:sz w:val="18"/>
                <w:szCs w:val="18"/>
              </w:rPr>
              <w:t>质押</w:t>
            </w:r>
          </w:p>
        </w:tc>
        <w:tc>
          <w:tcPr>
            <w:tcW w:w="11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1" w:right="0"/>
              <w:jc w:val="left"/>
              <w:rPr>
                <w:rFonts w:ascii="Times New Roman" w:hAnsi="Times New Roman" w:cs="Times New Roman" w:eastAsia="Times New Roman" w:hint="default"/>
                <w:sz w:val="18"/>
                <w:szCs w:val="18"/>
              </w:rPr>
            </w:pPr>
            <w:r>
              <w:rPr>
                <w:rFonts w:ascii="Times New Roman"/>
                <w:sz w:val="18"/>
              </w:rPr>
              <w:t>18,999,900</w:t>
            </w: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 w:right="0"/>
              <w:jc w:val="center"/>
              <w:rPr>
                <w:rFonts w:ascii="宋体" w:hAnsi="宋体" w:cs="宋体" w:eastAsia="宋体" w:hint="default"/>
                <w:sz w:val="18"/>
                <w:szCs w:val="18"/>
              </w:rPr>
            </w:pPr>
            <w:r>
              <w:rPr>
                <w:rFonts w:ascii="宋体" w:hAnsi="宋体" w:cs="宋体" w:eastAsia="宋体" w:hint="default"/>
                <w:sz w:val="18"/>
                <w:szCs w:val="18"/>
              </w:rPr>
              <w:t>徐斯平</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5" w:right="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04"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91"/>
              <w:ind w:left="161" w:right="0"/>
              <w:jc w:val="left"/>
              <w:rPr>
                <w:rFonts w:ascii="Times New Roman" w:hAnsi="Times New Roman" w:cs="Times New Roman" w:eastAsia="Times New Roman" w:hint="default"/>
                <w:sz w:val="18"/>
                <w:szCs w:val="18"/>
              </w:rPr>
            </w:pPr>
            <w:r>
              <w:rPr>
                <w:rFonts w:ascii="Times New Roman"/>
                <w:sz w:val="18"/>
              </w:rPr>
              <w:t>2.97%</w:t>
            </w:r>
          </w:p>
        </w:tc>
        <w:tc>
          <w:tcPr>
            <w:tcW w:w="966" w:type="dxa"/>
            <w:gridSpan w:val="2"/>
            <w:tcBorders>
              <w:top w:val="single" w:sz="4" w:space="0" w:color="000000"/>
              <w:left w:val="single" w:sz="4" w:space="0" w:color="FFFFFF"/>
              <w:bottom w:val="single" w:sz="4" w:space="0" w:color="000000"/>
              <w:right w:val="single" w:sz="4" w:space="0" w:color="000000"/>
            </w:tcBorders>
          </w:tcPr>
          <w:p>
            <w:pPr>
              <w:pStyle w:val="TableParagraph"/>
              <w:spacing w:line="240" w:lineRule="auto" w:before="91"/>
              <w:ind w:left="122" w:right="0"/>
              <w:jc w:val="left"/>
              <w:rPr>
                <w:rFonts w:ascii="Times New Roman" w:hAnsi="Times New Roman" w:cs="Times New Roman" w:eastAsia="Times New Roman" w:hint="default"/>
                <w:sz w:val="18"/>
                <w:szCs w:val="18"/>
              </w:rPr>
            </w:pPr>
            <w:r>
              <w:rPr>
                <w:rFonts w:ascii="Times New Roman"/>
                <w:sz w:val="18"/>
              </w:rPr>
              <w:t>58,307,149</w:t>
            </w:r>
          </w:p>
        </w:tc>
        <w:tc>
          <w:tcPr>
            <w:tcW w:w="9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43,730,362</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7"/>
              <w:jc w:val="right"/>
              <w:rPr>
                <w:rFonts w:ascii="Times New Roman" w:hAnsi="Times New Roman" w:cs="Times New Roman" w:eastAsia="Times New Roman" w:hint="default"/>
                <w:sz w:val="18"/>
                <w:szCs w:val="18"/>
              </w:rPr>
            </w:pPr>
            <w:r>
              <w:rPr>
                <w:rFonts w:ascii="Times New Roman"/>
                <w:sz w:val="18"/>
              </w:rPr>
              <w:t>14,576,787</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
              <w:jc w:val="center"/>
              <w:rPr>
                <w:rFonts w:ascii="宋体" w:hAnsi="宋体" w:cs="宋体" w:eastAsia="宋体" w:hint="default"/>
                <w:sz w:val="18"/>
                <w:szCs w:val="18"/>
              </w:rPr>
            </w:pPr>
            <w:r>
              <w:rPr>
                <w:rFonts w:ascii="宋体" w:hAnsi="宋体" w:cs="宋体" w:eastAsia="宋体" w:hint="default"/>
                <w:sz w:val="18"/>
                <w:szCs w:val="18"/>
              </w:rPr>
              <w:t>质押</w:t>
            </w:r>
          </w:p>
        </w:tc>
        <w:tc>
          <w:tcPr>
            <w:tcW w:w="11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1" w:right="0"/>
              <w:jc w:val="left"/>
              <w:rPr>
                <w:rFonts w:ascii="Times New Roman" w:hAnsi="Times New Roman" w:cs="Times New Roman" w:eastAsia="Times New Roman" w:hint="default"/>
                <w:sz w:val="18"/>
                <w:szCs w:val="18"/>
              </w:rPr>
            </w:pPr>
            <w:r>
              <w:rPr>
                <w:rFonts w:ascii="Times New Roman"/>
                <w:sz w:val="18"/>
              </w:rPr>
              <w:t>45,700,000</w:t>
            </w:r>
          </w:p>
        </w:tc>
      </w:tr>
      <w:tr>
        <w:trPr>
          <w:trHeight w:val="714" w:hRule="exact"/>
        </w:trPr>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31" w:right="10"/>
              <w:jc w:val="left"/>
              <w:rPr>
                <w:rFonts w:ascii="宋体" w:hAnsi="宋体" w:cs="宋体" w:eastAsia="宋体" w:hint="default"/>
                <w:sz w:val="18"/>
                <w:szCs w:val="18"/>
              </w:rPr>
            </w:pPr>
            <w:r>
              <w:rPr>
                <w:rFonts w:ascii="宋体" w:hAnsi="宋体" w:cs="宋体" w:eastAsia="宋体" w:hint="default"/>
                <w:sz w:val="18"/>
                <w:szCs w:val="18"/>
              </w:rPr>
              <w:t>中国证券金融 股份有限公司</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384" w:right="97" w:hanging="270"/>
              <w:jc w:val="left"/>
              <w:rPr>
                <w:rFonts w:ascii="宋体" w:hAnsi="宋体" w:cs="宋体" w:eastAsia="宋体" w:hint="default"/>
                <w:sz w:val="18"/>
                <w:szCs w:val="18"/>
              </w:rPr>
            </w:pPr>
            <w:r>
              <w:rPr>
                <w:rFonts w:ascii="宋体" w:hAnsi="宋体" w:cs="宋体" w:eastAsia="宋体" w:hint="default"/>
                <w:sz w:val="18"/>
                <w:szCs w:val="18"/>
              </w:rPr>
              <w:t>境内非国有 法人</w:t>
            </w:r>
          </w:p>
        </w:tc>
        <w:tc>
          <w:tcPr>
            <w:tcW w:w="804"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2.77%</w:t>
            </w:r>
          </w:p>
        </w:tc>
        <w:tc>
          <w:tcPr>
            <w:tcW w:w="966" w:type="dxa"/>
            <w:gridSpan w:val="2"/>
            <w:tcBorders>
              <w:top w:val="single" w:sz="4" w:space="0" w:color="000000"/>
              <w:left w:val="single" w:sz="4" w:space="0" w:color="FFFFFF"/>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54,408,649</w:t>
            </w:r>
          </w:p>
        </w:tc>
        <w:tc>
          <w:tcPr>
            <w:tcW w:w="9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9" w:right="0"/>
              <w:jc w:val="left"/>
              <w:rPr>
                <w:rFonts w:ascii="Times New Roman" w:hAnsi="Times New Roman" w:cs="Times New Roman" w:eastAsia="Times New Roman" w:hint="default"/>
                <w:sz w:val="18"/>
                <w:szCs w:val="18"/>
              </w:rPr>
            </w:pPr>
            <w:r>
              <w:rPr>
                <w:rFonts w:ascii="Times New Roman"/>
                <w:sz w:val="18"/>
              </w:rPr>
              <w:t>561,125</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7"/>
              <w:jc w:val="right"/>
              <w:rPr>
                <w:rFonts w:ascii="Times New Roman" w:hAnsi="Times New Roman" w:cs="Times New Roman" w:eastAsia="Times New Roman" w:hint="default"/>
                <w:sz w:val="18"/>
                <w:szCs w:val="18"/>
              </w:rPr>
            </w:pPr>
            <w:r>
              <w:rPr>
                <w:rFonts w:ascii="Times New Roman"/>
                <w:sz w:val="18"/>
              </w:rPr>
              <w:t>54,408,649</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sz w:val="18"/>
                <w:szCs w:val="18"/>
              </w:rPr>
              <w:t>质押</w:t>
            </w:r>
          </w:p>
        </w:tc>
        <w:tc>
          <w:tcPr>
            <w:tcW w:w="11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 w:right="0"/>
              <w:jc w:val="center"/>
              <w:rPr>
                <w:rFonts w:ascii="宋体" w:hAnsi="宋体" w:cs="宋体" w:eastAsia="宋体" w:hint="default"/>
                <w:sz w:val="18"/>
                <w:szCs w:val="18"/>
              </w:rPr>
            </w:pPr>
            <w:r>
              <w:rPr>
                <w:rFonts w:ascii="宋体" w:hAnsi="宋体" w:cs="宋体" w:eastAsia="宋体" w:hint="default"/>
                <w:sz w:val="18"/>
                <w:szCs w:val="18"/>
              </w:rPr>
              <w:t>李毅</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5" w:right="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04"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91"/>
              <w:ind w:left="161" w:right="0"/>
              <w:jc w:val="left"/>
              <w:rPr>
                <w:rFonts w:ascii="Times New Roman" w:hAnsi="Times New Roman" w:cs="Times New Roman" w:eastAsia="Times New Roman" w:hint="default"/>
                <w:sz w:val="18"/>
                <w:szCs w:val="18"/>
              </w:rPr>
            </w:pPr>
            <w:r>
              <w:rPr>
                <w:rFonts w:ascii="Times New Roman"/>
                <w:sz w:val="18"/>
              </w:rPr>
              <w:t>2.05%</w:t>
            </w:r>
          </w:p>
        </w:tc>
        <w:tc>
          <w:tcPr>
            <w:tcW w:w="966" w:type="dxa"/>
            <w:gridSpan w:val="2"/>
            <w:tcBorders>
              <w:top w:val="single" w:sz="4" w:space="0" w:color="000000"/>
              <w:left w:val="single" w:sz="4" w:space="0" w:color="FFFFFF"/>
              <w:bottom w:val="single" w:sz="4" w:space="0" w:color="000000"/>
              <w:right w:val="single" w:sz="4" w:space="0" w:color="000000"/>
            </w:tcBorders>
          </w:tcPr>
          <w:p>
            <w:pPr>
              <w:pStyle w:val="TableParagraph"/>
              <w:spacing w:line="240" w:lineRule="auto" w:before="91"/>
              <w:ind w:left="122" w:right="0"/>
              <w:jc w:val="left"/>
              <w:rPr>
                <w:rFonts w:ascii="Times New Roman" w:hAnsi="Times New Roman" w:cs="Times New Roman" w:eastAsia="Times New Roman" w:hint="default"/>
                <w:sz w:val="18"/>
                <w:szCs w:val="18"/>
              </w:rPr>
            </w:pPr>
            <w:r>
              <w:rPr>
                <w:rFonts w:ascii="Times New Roman"/>
                <w:sz w:val="18"/>
              </w:rPr>
              <w:t>40,165,665</w:t>
            </w:r>
          </w:p>
        </w:tc>
        <w:tc>
          <w:tcPr>
            <w:tcW w:w="9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-10,871,101</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z w:val="18"/>
              </w:rPr>
              <w:t>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7"/>
              <w:jc w:val="right"/>
              <w:rPr>
                <w:rFonts w:ascii="Times New Roman" w:hAnsi="Times New Roman" w:cs="Times New Roman" w:eastAsia="Times New Roman" w:hint="default"/>
                <w:sz w:val="18"/>
                <w:szCs w:val="18"/>
              </w:rPr>
            </w:pPr>
            <w:r>
              <w:rPr>
                <w:rFonts w:ascii="Times New Roman"/>
                <w:sz w:val="18"/>
              </w:rPr>
              <w:t>40,165,665</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
              <w:jc w:val="center"/>
              <w:rPr>
                <w:rFonts w:ascii="宋体" w:hAnsi="宋体" w:cs="宋体" w:eastAsia="宋体" w:hint="default"/>
                <w:sz w:val="18"/>
                <w:szCs w:val="18"/>
              </w:rPr>
            </w:pPr>
            <w:r>
              <w:rPr>
                <w:rFonts w:ascii="宋体" w:hAnsi="宋体" w:cs="宋体" w:eastAsia="宋体" w:hint="default"/>
                <w:sz w:val="18"/>
                <w:szCs w:val="18"/>
              </w:rPr>
              <w:t>质押</w:t>
            </w:r>
          </w:p>
        </w:tc>
        <w:tc>
          <w:tcPr>
            <w:tcW w:w="11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 w:right="0"/>
              <w:jc w:val="center"/>
              <w:rPr>
                <w:rFonts w:ascii="宋体" w:hAnsi="宋体" w:cs="宋体" w:eastAsia="宋体" w:hint="default"/>
                <w:sz w:val="18"/>
                <w:szCs w:val="18"/>
              </w:rPr>
            </w:pPr>
            <w:r>
              <w:rPr>
                <w:rFonts w:ascii="宋体" w:hAnsi="宋体" w:cs="宋体" w:eastAsia="宋体" w:hint="default"/>
                <w:sz w:val="18"/>
                <w:szCs w:val="18"/>
              </w:rPr>
              <w:t>王雅莉</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5" w:right="0"/>
              <w:jc w:val="center"/>
              <w:rPr>
                <w:rFonts w:ascii="宋体" w:hAnsi="宋体" w:cs="宋体" w:eastAsia="宋体" w:hint="default"/>
                <w:sz w:val="18"/>
                <w:szCs w:val="18"/>
              </w:rPr>
            </w:pPr>
            <w:r>
              <w:rPr>
                <w:rFonts w:ascii="宋体" w:hAnsi="宋体" w:cs="宋体" w:eastAsia="宋体" w:hint="default"/>
                <w:sz w:val="18"/>
                <w:szCs w:val="18"/>
              </w:rPr>
              <w:t>境内自然人</w:t>
            </w:r>
          </w:p>
        </w:tc>
        <w:tc>
          <w:tcPr>
            <w:tcW w:w="804" w:type="dxa"/>
            <w:tcBorders>
              <w:top w:val="single" w:sz="4" w:space="0" w:color="000000"/>
              <w:left w:val="single" w:sz="4" w:space="0" w:color="000000"/>
              <w:bottom w:val="single" w:sz="4" w:space="0" w:color="000000"/>
              <w:right w:val="single" w:sz="4" w:space="0" w:color="FFFFFF"/>
            </w:tcBorders>
          </w:tcPr>
          <w:p>
            <w:pPr>
              <w:pStyle w:val="TableParagraph"/>
              <w:spacing w:line="240" w:lineRule="auto" w:before="91"/>
              <w:ind w:left="161" w:right="0"/>
              <w:jc w:val="left"/>
              <w:rPr>
                <w:rFonts w:ascii="Times New Roman" w:hAnsi="Times New Roman" w:cs="Times New Roman" w:eastAsia="Times New Roman" w:hint="default"/>
                <w:sz w:val="18"/>
                <w:szCs w:val="18"/>
              </w:rPr>
            </w:pPr>
            <w:r>
              <w:rPr>
                <w:rFonts w:ascii="Times New Roman"/>
                <w:sz w:val="18"/>
              </w:rPr>
              <w:t>1.83%</w:t>
            </w:r>
          </w:p>
        </w:tc>
        <w:tc>
          <w:tcPr>
            <w:tcW w:w="966" w:type="dxa"/>
            <w:gridSpan w:val="2"/>
            <w:tcBorders>
              <w:top w:val="single" w:sz="4" w:space="0" w:color="000000"/>
              <w:left w:val="single" w:sz="4" w:space="0" w:color="FFFFFF"/>
              <w:bottom w:val="single" w:sz="4" w:space="0" w:color="000000"/>
              <w:right w:val="single" w:sz="4" w:space="0" w:color="000000"/>
            </w:tcBorders>
          </w:tcPr>
          <w:p>
            <w:pPr>
              <w:pStyle w:val="TableParagraph"/>
              <w:spacing w:line="240" w:lineRule="auto" w:before="91"/>
              <w:ind w:left="122" w:right="0"/>
              <w:jc w:val="left"/>
              <w:rPr>
                <w:rFonts w:ascii="Times New Roman" w:hAnsi="Times New Roman" w:cs="Times New Roman" w:eastAsia="Times New Roman" w:hint="default"/>
                <w:sz w:val="18"/>
                <w:szCs w:val="18"/>
              </w:rPr>
            </w:pPr>
            <w:r>
              <w:rPr>
                <w:rFonts w:ascii="Times New Roman"/>
                <w:sz w:val="18"/>
              </w:rPr>
              <w:t>35,878,893</w:t>
            </w:r>
          </w:p>
        </w:tc>
        <w:tc>
          <w:tcPr>
            <w:tcW w:w="9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4" w:right="0"/>
              <w:jc w:val="left"/>
              <w:rPr>
                <w:rFonts w:ascii="Times New Roman" w:hAnsi="Times New Roman" w:cs="Times New Roman" w:eastAsia="Times New Roman" w:hint="default"/>
                <w:sz w:val="18"/>
                <w:szCs w:val="18"/>
              </w:rPr>
            </w:pPr>
            <w:r>
              <w:rPr>
                <w:rFonts w:ascii="Times New Roman"/>
                <w:sz w:val="18"/>
              </w:rPr>
              <w:t>2,412,604</w:t>
            </w:r>
          </w:p>
        </w:tc>
        <w:tc>
          <w:tcPr>
            <w:tcW w:w="10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z w:val="18"/>
              </w:rPr>
              <w:t>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7"/>
              <w:jc w:val="right"/>
              <w:rPr>
                <w:rFonts w:ascii="Times New Roman" w:hAnsi="Times New Roman" w:cs="Times New Roman" w:eastAsia="Times New Roman" w:hint="default"/>
                <w:sz w:val="18"/>
                <w:szCs w:val="18"/>
              </w:rPr>
            </w:pPr>
            <w:r>
              <w:rPr>
                <w:rFonts w:ascii="Times New Roman"/>
                <w:sz w:val="18"/>
              </w:rPr>
              <w:t>35,878,893</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
              <w:jc w:val="center"/>
              <w:rPr>
                <w:rFonts w:ascii="宋体" w:hAnsi="宋体" w:cs="宋体" w:eastAsia="宋体" w:hint="default"/>
                <w:sz w:val="18"/>
                <w:szCs w:val="18"/>
              </w:rPr>
            </w:pPr>
            <w:r>
              <w:rPr>
                <w:rFonts w:ascii="宋体" w:hAnsi="宋体" w:cs="宋体" w:eastAsia="宋体" w:hint="default"/>
                <w:sz w:val="18"/>
                <w:szCs w:val="18"/>
              </w:rPr>
              <w:t>质押</w:t>
            </w:r>
          </w:p>
        </w:tc>
        <w:tc>
          <w:tcPr>
            <w:tcW w:w="11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225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62"/>
              <w:jc w:val="left"/>
              <w:rPr>
                <w:rFonts w:ascii="宋体" w:hAnsi="宋体" w:cs="宋体" w:eastAsia="宋体" w:hint="default"/>
                <w:sz w:val="18"/>
                <w:szCs w:val="18"/>
              </w:rPr>
            </w:pPr>
            <w:r>
              <w:rPr>
                <w:rFonts w:ascii="宋体" w:hAnsi="宋体" w:cs="宋体" w:eastAsia="宋体" w:hint="default"/>
                <w:sz w:val="18"/>
                <w:szCs w:val="18"/>
              </w:rPr>
              <w:t>战略投资者或一般法人因配 售新股成为前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名股东的 情况</w:t>
            </w:r>
          </w:p>
        </w:tc>
        <w:tc>
          <w:tcPr>
            <w:tcW w:w="7437"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3"/>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714" w:hRule="exact"/>
        </w:trPr>
        <w:tc>
          <w:tcPr>
            <w:tcW w:w="225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62"/>
              <w:jc w:val="left"/>
              <w:rPr>
                <w:rFonts w:ascii="宋体" w:hAnsi="宋体" w:cs="宋体" w:eastAsia="宋体" w:hint="default"/>
                <w:sz w:val="18"/>
                <w:szCs w:val="18"/>
              </w:rPr>
            </w:pPr>
            <w:r>
              <w:rPr>
                <w:rFonts w:ascii="宋体" w:hAnsi="宋体" w:cs="宋体" w:eastAsia="宋体" w:hint="default"/>
                <w:sz w:val="18"/>
                <w:szCs w:val="18"/>
              </w:rPr>
              <w:t>上述股东关联关系或一致行 动的说明</w:t>
            </w:r>
          </w:p>
        </w:tc>
        <w:tc>
          <w:tcPr>
            <w:tcW w:w="7437"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0" w:right="0"/>
              <w:jc w:val="left"/>
              <w:rPr>
                <w:rFonts w:ascii="宋体" w:hAnsi="宋体" w:cs="宋体" w:eastAsia="宋体" w:hint="default"/>
                <w:sz w:val="18"/>
                <w:szCs w:val="18"/>
              </w:rPr>
            </w:pPr>
            <w:r>
              <w:rPr>
                <w:rFonts w:ascii="宋体" w:hAnsi="宋体" w:cs="宋体" w:eastAsia="宋体" w:hint="default"/>
                <w:sz w:val="18"/>
                <w:szCs w:val="18"/>
              </w:rPr>
              <w:t>自然人王宁先生、李力先生为一致行动人，系本公司的实际控制人。</w:t>
            </w:r>
          </w:p>
        </w:tc>
      </w:tr>
    </w:tbl>
    <w:p>
      <w:pPr>
        <w:spacing w:after="0" w:line="240" w:lineRule="auto"/>
        <w:jc w:val="left"/>
        <w:rPr>
          <w:rFonts w:ascii="宋体" w:hAnsi="宋体" w:cs="宋体" w:eastAsia="宋体" w:hint="default"/>
          <w:sz w:val="18"/>
          <w:szCs w:val="18"/>
        </w:rPr>
        <w:sectPr>
          <w:pgSz w:w="11910" w:h="16840"/>
          <w:pgMar w:header="851" w:footer="979" w:top="1400" w:bottom="1160" w:left="980" w:right="0"/>
        </w:sectPr>
      </w:pPr>
    </w:p>
    <w:tbl>
      <w:tblPr>
        <w:tblW w:w="0" w:type="auto"/>
        <w:jc w:val="left"/>
        <w:tblInd w:w="101" w:type="dxa"/>
        <w:tblLayout w:type="fixed"/>
        <w:tblCellMar>
          <w:top w:w="0" w:type="dxa"/>
          <w:left w:w="0" w:type="dxa"/>
          <w:bottom w:w="0" w:type="dxa"/>
          <w:right w:w="0" w:type="dxa"/>
        </w:tblCellMar>
        <w:tblLook w:val="01E0"/>
      </w:tblPr>
      <w:tblGrid>
        <w:gridCol w:w="2252"/>
        <w:gridCol w:w="5043"/>
        <w:gridCol w:w="1285"/>
        <w:gridCol w:w="1115"/>
      </w:tblGrid>
      <w:tr>
        <w:trPr>
          <w:trHeight w:val="409" w:hRule="exact"/>
        </w:trPr>
        <w:tc>
          <w:tcPr>
            <w:tcW w:w="9695" w:type="dxa"/>
            <w:gridSpan w:val="4"/>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402" w:hRule="exact"/>
        </w:trPr>
        <w:tc>
          <w:tcPr>
            <w:tcW w:w="225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504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166"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240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401" w:hRule="exact"/>
        </w:trPr>
        <w:tc>
          <w:tcPr>
            <w:tcW w:w="2252" w:type="dxa"/>
            <w:vMerge/>
            <w:tcBorders>
              <w:left w:val="single" w:sz="4" w:space="0" w:color="000000"/>
              <w:bottom w:val="single" w:sz="4" w:space="0" w:color="000000"/>
              <w:right w:val="single" w:sz="4" w:space="0" w:color="000000"/>
            </w:tcBorders>
            <w:shd w:val="clear" w:color="auto" w:fill="D2D2D2"/>
          </w:tcPr>
          <w:p>
            <w:pPr/>
          </w:p>
        </w:tc>
        <w:tc>
          <w:tcPr>
            <w:tcW w:w="5043" w:type="dxa"/>
            <w:vMerge/>
            <w:tcBorders>
              <w:left w:val="single" w:sz="4" w:space="0" w:color="000000"/>
              <w:bottom w:val="single" w:sz="4" w:space="0" w:color="000000"/>
              <w:right w:val="single" w:sz="4" w:space="0" w:color="000000"/>
            </w:tcBorders>
            <w:shd w:val="clear" w:color="auto" w:fill="D2D2D2"/>
          </w:tcPr>
          <w:p>
            <w:pPr/>
          </w:p>
        </w:tc>
        <w:tc>
          <w:tcPr>
            <w:tcW w:w="1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股份种类</w:t>
            </w:r>
          </w:p>
        </w:tc>
        <w:tc>
          <w:tcPr>
            <w:tcW w:w="11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402" w:hRule="exact"/>
        </w:trPr>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齐强</w:t>
            </w:r>
          </w:p>
        </w:tc>
        <w:tc>
          <w:tcPr>
            <w:tcW w:w="5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88,698,900</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88,698,900</w:t>
            </w:r>
          </w:p>
        </w:tc>
      </w:tr>
      <w:tr>
        <w:trPr>
          <w:trHeight w:val="402" w:hRule="exact"/>
        </w:trPr>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李力</w:t>
            </w:r>
          </w:p>
        </w:tc>
        <w:tc>
          <w:tcPr>
            <w:tcW w:w="5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64,576,826</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64,576,826</w:t>
            </w:r>
          </w:p>
        </w:tc>
      </w:tr>
      <w:tr>
        <w:trPr>
          <w:trHeight w:val="402" w:hRule="exact"/>
        </w:trPr>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万能</w:t>
            </w:r>
          </w:p>
        </w:tc>
        <w:tc>
          <w:tcPr>
            <w:tcW w:w="5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63,064,703</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63,064,703</w:t>
            </w:r>
          </w:p>
        </w:tc>
      </w:tr>
      <w:tr>
        <w:trPr>
          <w:trHeight w:val="402" w:hRule="exact"/>
        </w:trPr>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中国证券金融股份有限公司</w:t>
            </w:r>
          </w:p>
        </w:tc>
        <w:tc>
          <w:tcPr>
            <w:tcW w:w="5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54,408,649</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54,408,649</w:t>
            </w:r>
          </w:p>
        </w:tc>
      </w:tr>
      <w:tr>
        <w:trPr>
          <w:trHeight w:val="402" w:hRule="exact"/>
        </w:trPr>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李毅</w:t>
            </w:r>
          </w:p>
        </w:tc>
        <w:tc>
          <w:tcPr>
            <w:tcW w:w="5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40,165,665</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40,165,665</w:t>
            </w:r>
          </w:p>
        </w:tc>
      </w:tr>
      <w:tr>
        <w:trPr>
          <w:trHeight w:val="402" w:hRule="exact"/>
        </w:trPr>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王雅莉</w:t>
            </w:r>
          </w:p>
        </w:tc>
        <w:tc>
          <w:tcPr>
            <w:tcW w:w="5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35,878,893</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35,878,893</w:t>
            </w:r>
          </w:p>
        </w:tc>
      </w:tr>
      <w:tr>
        <w:trPr>
          <w:trHeight w:val="402" w:hRule="exact"/>
        </w:trPr>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王宁</w:t>
            </w:r>
          </w:p>
        </w:tc>
        <w:tc>
          <w:tcPr>
            <w:tcW w:w="5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31,739,653</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31,739,653</w:t>
            </w:r>
          </w:p>
        </w:tc>
      </w:tr>
      <w:tr>
        <w:trPr>
          <w:trHeight w:val="1026" w:hRule="exact"/>
        </w:trPr>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39" w:right="0"/>
              <w:jc w:val="left"/>
              <w:rPr>
                <w:rFonts w:ascii="宋体" w:hAnsi="宋体" w:cs="宋体" w:eastAsia="宋体" w:hint="default"/>
                <w:sz w:val="18"/>
                <w:szCs w:val="18"/>
              </w:rPr>
            </w:pPr>
            <w:r>
              <w:rPr>
                <w:rFonts w:ascii="宋体" w:hAnsi="宋体" w:cs="宋体" w:eastAsia="宋体" w:hint="default"/>
                <w:sz w:val="18"/>
                <w:szCs w:val="18"/>
              </w:rPr>
              <w:t>中国工商银行股份有限公司</w:t>
            </w:r>
          </w:p>
          <w:p>
            <w:pPr>
              <w:pStyle w:val="TableParagraph"/>
              <w:spacing w:line="319" w:lineRule="auto" w:before="75"/>
              <w:ind w:left="309" w:right="40" w:hanging="270"/>
              <w:jc w:val="left"/>
              <w:rPr>
                <w:rFonts w:ascii="宋体" w:hAnsi="宋体" w:cs="宋体" w:eastAsia="宋体" w:hint="default"/>
                <w:sz w:val="18"/>
                <w:szCs w:val="18"/>
              </w:rPr>
            </w:pPr>
            <w:r>
              <w:rPr>
                <w:rFonts w:ascii="宋体" w:hAnsi="宋体" w:cs="宋体" w:eastAsia="宋体" w:hint="default"/>
                <w:sz w:val="18"/>
                <w:szCs w:val="18"/>
              </w:rPr>
              <w:t>－易方达创业板交易型开放 式指数证券投资基金</w:t>
            </w:r>
          </w:p>
        </w:tc>
        <w:tc>
          <w:tcPr>
            <w:tcW w:w="5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26,830,860</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26,830,860</w:t>
            </w:r>
          </w:p>
        </w:tc>
      </w:tr>
      <w:tr>
        <w:trPr>
          <w:trHeight w:val="714" w:hRule="exact"/>
        </w:trPr>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940" w:right="40" w:hanging="901"/>
              <w:jc w:val="left"/>
              <w:rPr>
                <w:rFonts w:ascii="宋体" w:hAnsi="宋体" w:cs="宋体" w:eastAsia="宋体" w:hint="default"/>
                <w:sz w:val="18"/>
                <w:szCs w:val="18"/>
              </w:rPr>
            </w:pPr>
            <w:r>
              <w:rPr>
                <w:rFonts w:ascii="宋体" w:hAnsi="宋体" w:cs="宋体" w:eastAsia="宋体" w:hint="default"/>
                <w:sz w:val="18"/>
                <w:szCs w:val="18"/>
              </w:rPr>
              <w:t>中央汇金资产管理有限责任 公司</w:t>
            </w:r>
          </w:p>
        </w:tc>
        <w:tc>
          <w:tcPr>
            <w:tcW w:w="5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20,237,200</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20,237,200</w:t>
            </w:r>
          </w:p>
        </w:tc>
      </w:tr>
      <w:tr>
        <w:trPr>
          <w:trHeight w:val="402" w:hRule="exact"/>
        </w:trPr>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杨磊</w:t>
            </w:r>
          </w:p>
        </w:tc>
        <w:tc>
          <w:tcPr>
            <w:tcW w:w="50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20,203,727</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1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20,203,727</w:t>
            </w:r>
          </w:p>
        </w:tc>
      </w:tr>
      <w:tr>
        <w:trPr>
          <w:trHeight w:val="1650" w:hRule="exact"/>
        </w:trPr>
        <w:tc>
          <w:tcPr>
            <w:tcW w:w="2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pacing w:val="-10"/>
                <w:sz w:val="18"/>
                <w:szCs w:val="18"/>
              </w:rPr>
              <w:t>之间，以及前</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w:t>
            </w:r>
          </w:p>
          <w:p>
            <w:pPr>
              <w:pStyle w:val="TableParagraph"/>
              <w:spacing w:line="309" w:lineRule="auto" w:before="63"/>
              <w:ind w:left="22" w:right="57"/>
              <w:jc w:val="left"/>
              <w:rPr>
                <w:rFonts w:ascii="宋体" w:hAnsi="宋体" w:cs="宋体" w:eastAsia="宋体" w:hint="default"/>
                <w:sz w:val="18"/>
                <w:szCs w:val="18"/>
              </w:rPr>
            </w:pPr>
            <w:r>
              <w:rPr>
                <w:rFonts w:ascii="宋体" w:hAnsi="宋体" w:cs="宋体" w:eastAsia="宋体" w:hint="default"/>
                <w:sz w:val="18"/>
                <w:szCs w:val="18"/>
              </w:rPr>
              <w:t>通股股东和前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名股东之 间关联关系或一致行动的说 明</w:t>
            </w:r>
          </w:p>
        </w:tc>
        <w:tc>
          <w:tcPr>
            <w:tcW w:w="7443"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自然人王宁先生、李力先生为一致行动人，系本公司的实际控制人。</w:t>
            </w:r>
          </w:p>
        </w:tc>
      </w:tr>
      <w:tr>
        <w:trPr>
          <w:trHeight w:val="1026" w:hRule="exact"/>
        </w:trPr>
        <w:tc>
          <w:tcPr>
            <w:tcW w:w="2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2" w:right="57"/>
              <w:jc w:val="left"/>
              <w:rPr>
                <w:rFonts w:ascii="宋体" w:hAnsi="宋体" w:cs="宋体" w:eastAsia="宋体" w:hint="default"/>
                <w:sz w:val="18"/>
                <w:szCs w:val="18"/>
              </w:rPr>
            </w:pPr>
            <w:r>
              <w:rPr>
                <w:rFonts w:ascii="宋体" w:hAnsi="宋体" w:cs="宋体" w:eastAsia="宋体" w:hint="default"/>
                <w:sz w:val="18"/>
                <w:szCs w:val="18"/>
              </w:rPr>
              <w:t>参与融资融券业务股东情况 说明</w:t>
            </w:r>
          </w:p>
        </w:tc>
        <w:tc>
          <w:tcPr>
            <w:tcW w:w="7443"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报告期内，公司前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名无限售普通股股东中，万能先生除通过普通证券账户持有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27,934,947</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股外，还通过中国银河证券股份有限公司客户信用交易担保证券账户持有</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35,129,756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股，实际</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合计持有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63,064,703 </w:t>
            </w:r>
            <w:r>
              <w:rPr>
                <w:rFonts w:ascii="宋体" w:hAnsi="宋体" w:cs="宋体" w:eastAsia="宋体" w:hint="default"/>
                <w:sz w:val="18"/>
                <w:szCs w:val="18"/>
              </w:rPr>
              <w:t>股。</w:t>
            </w:r>
          </w:p>
        </w:tc>
      </w:tr>
    </w:tbl>
    <w:p>
      <w:pPr>
        <w:pStyle w:val="Heading5"/>
        <w:spacing w:line="240" w:lineRule="auto" w:before="88"/>
        <w:ind w:left="134" w:right="1032"/>
        <w:jc w:val="left"/>
        <w:rPr>
          <w:b w:val="0"/>
          <w:bCs w:val="0"/>
        </w:rPr>
      </w:pPr>
      <w:r>
        <w:rPr/>
        <w:t>公司前</w:t>
      </w:r>
      <w:r>
        <w:rPr>
          <w:spacing w:val="-47"/>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名普通股股东、前</w:t>
      </w:r>
      <w:r>
        <w:rPr>
          <w:spacing w:val="-47"/>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名无限售条件普通股股东在报告期内是否进行约定购回交易</w:t>
      </w:r>
      <w:r>
        <w:rPr>
          <w:b w:val="0"/>
          <w:bCs w:val="0"/>
        </w:rPr>
      </w:r>
    </w:p>
    <w:p>
      <w:pPr>
        <w:spacing w:line="240" w:lineRule="auto" w:before="12"/>
        <w:rPr>
          <w:rFonts w:ascii="宋体" w:hAnsi="宋体" w:cs="宋体" w:eastAsia="宋体" w:hint="default"/>
          <w:b/>
          <w:bCs/>
          <w:sz w:val="13"/>
          <w:szCs w:val="13"/>
        </w:rPr>
      </w:pPr>
    </w:p>
    <w:p>
      <w:pPr>
        <w:spacing w:before="0"/>
        <w:ind w:left="134" w:right="768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否</w:t>
      </w:r>
      <w:r>
        <w:rPr>
          <w:rFonts w:ascii="宋体" w:hAnsi="宋体" w:cs="宋体" w:eastAsia="宋体" w:hint="default"/>
          <w:sz w:val="18"/>
          <w:szCs w:val="18"/>
        </w:rPr>
      </w:r>
    </w:p>
    <w:p>
      <w:pPr>
        <w:spacing w:line="240" w:lineRule="auto" w:before="10"/>
        <w:rPr>
          <w:rFonts w:ascii="宋体" w:hAnsi="宋体" w:cs="宋体" w:eastAsia="宋体" w:hint="default"/>
          <w:b/>
          <w:bCs/>
          <w:sz w:val="13"/>
          <w:szCs w:val="13"/>
        </w:rPr>
      </w:pPr>
    </w:p>
    <w:p>
      <w:pPr>
        <w:pStyle w:val="BodyText"/>
        <w:spacing w:line="240" w:lineRule="auto"/>
        <w:ind w:left="134" w:right="1032"/>
        <w:jc w:val="left"/>
      </w:pPr>
      <w:r>
        <w:rPr/>
        <w:t>公司前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名无限售条件普通股股东在报告期内未进行约定购回交易。</w:t>
      </w:r>
    </w:p>
    <w:p>
      <w:pPr>
        <w:spacing w:line="240" w:lineRule="auto" w:before="10"/>
        <w:rPr>
          <w:rFonts w:ascii="宋体" w:hAnsi="宋体" w:cs="宋体" w:eastAsia="宋体" w:hint="default"/>
          <w:sz w:val="14"/>
          <w:szCs w:val="14"/>
        </w:rPr>
      </w:pPr>
    </w:p>
    <w:p>
      <w:pPr>
        <w:pStyle w:val="Heading3"/>
        <w:spacing w:line="240" w:lineRule="auto"/>
        <w:ind w:left="134" w:right="7680"/>
        <w:jc w:val="left"/>
        <w:rPr>
          <w:b w:val="0"/>
          <w:bCs w:val="0"/>
        </w:rPr>
      </w:pPr>
      <w:bookmarkStart w:name="2、公司控股股东情况" w:id="123"/>
      <w:bookmarkEnd w:id="123"/>
      <w:r>
        <w:rPr>
          <w:b w:val="0"/>
          <w:bCs w:val="0"/>
        </w:rPr>
      </w:r>
      <w:r>
        <w:rPr>
          <w:rFonts w:ascii="Times New Roman" w:hAnsi="Times New Roman" w:cs="Times New Roman" w:eastAsia="Times New Roman" w:hint="default"/>
        </w:rPr>
        <w:t>2</w:t>
      </w:r>
      <w:r>
        <w:rPr/>
        <w:t>、公司控股股东情况</w:t>
      </w:r>
      <w:r>
        <w:rPr>
          <w:b w:val="0"/>
          <w:bCs w:val="0"/>
        </w:rPr>
      </w:r>
    </w:p>
    <w:p>
      <w:pPr>
        <w:spacing w:line="240" w:lineRule="auto" w:before="8"/>
        <w:rPr>
          <w:rFonts w:ascii="宋体" w:hAnsi="宋体" w:cs="宋体" w:eastAsia="宋体" w:hint="default"/>
          <w:b/>
          <w:bCs/>
          <w:sz w:val="18"/>
          <w:szCs w:val="18"/>
        </w:rPr>
      </w:pPr>
    </w:p>
    <w:p>
      <w:pPr>
        <w:pStyle w:val="BodyText"/>
        <w:spacing w:line="518" w:lineRule="auto"/>
        <w:ind w:left="134" w:right="7680"/>
        <w:jc w:val="left"/>
      </w:pPr>
      <w:r>
        <w:rPr/>
        <w:t>控股股东性质：无控股主体 控股股东类型：不存在</w:t>
      </w:r>
    </w:p>
    <w:p>
      <w:pPr>
        <w:spacing w:line="477" w:lineRule="auto" w:before="62"/>
        <w:ind w:left="134" w:right="8222" w:firstLine="0"/>
        <w:jc w:val="left"/>
        <w:rPr>
          <w:rFonts w:ascii="宋体" w:hAnsi="宋体" w:cs="宋体" w:eastAsia="宋体" w:hint="default"/>
          <w:sz w:val="18"/>
          <w:szCs w:val="18"/>
        </w:rPr>
      </w:pPr>
      <w:r>
        <w:rPr>
          <w:rFonts w:ascii="宋体" w:hAnsi="宋体" w:cs="宋体" w:eastAsia="宋体" w:hint="default"/>
          <w:b/>
          <w:bCs/>
          <w:sz w:val="18"/>
          <w:szCs w:val="18"/>
        </w:rPr>
        <w:t>公司不存在控股股东情况的说明</w:t>
      </w:r>
      <w:r>
        <w:rPr>
          <w:rFonts w:ascii="宋体" w:hAnsi="宋体" w:cs="宋体" w:eastAsia="宋体" w:hint="default"/>
          <w:b/>
          <w:bCs/>
          <w:w w:val="99"/>
          <w:sz w:val="18"/>
          <w:szCs w:val="18"/>
        </w:rPr>
        <w:t> </w:t>
      </w:r>
      <w:r>
        <w:rPr>
          <w:rFonts w:ascii="宋体" w:hAnsi="宋体" w:cs="宋体" w:eastAsia="宋体" w:hint="default"/>
          <w:sz w:val="18"/>
          <w:szCs w:val="18"/>
        </w:rPr>
        <w:t>公司不存在控股股东。 </w:t>
      </w:r>
      <w:r>
        <w:rPr>
          <w:rFonts w:ascii="宋体" w:hAnsi="宋体" w:cs="宋体" w:eastAsia="宋体" w:hint="default"/>
          <w:b/>
          <w:bCs/>
          <w:sz w:val="18"/>
          <w:szCs w:val="18"/>
        </w:rPr>
        <w:t>控股股东报告期内变更</w:t>
      </w:r>
      <w:r>
        <w:rPr>
          <w:rFonts w:ascii="宋体" w:hAnsi="宋体" w:cs="宋体" w:eastAsia="宋体" w:hint="default"/>
          <w:sz w:val="18"/>
          <w:szCs w:val="18"/>
        </w:rPr>
      </w:r>
    </w:p>
    <w:p>
      <w:pPr>
        <w:spacing w:line="412" w:lineRule="auto" w:before="17"/>
        <w:ind w:left="134" w:right="805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1"/>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公司报告期控股股东未发生变更。</w:t>
      </w:r>
    </w:p>
    <w:p>
      <w:pPr>
        <w:spacing w:after="0" w:line="412" w:lineRule="auto"/>
        <w:jc w:val="left"/>
        <w:rPr>
          <w:rFonts w:ascii="宋体" w:hAnsi="宋体" w:cs="宋体" w:eastAsia="宋体" w:hint="default"/>
          <w:sz w:val="18"/>
          <w:szCs w:val="18"/>
        </w:rPr>
        <w:sectPr>
          <w:pgSz w:w="11910" w:h="16840"/>
          <w:pgMar w:header="851" w:footer="979" w:top="1440" w:bottom="1160" w:left="1000" w:right="0"/>
        </w:sectPr>
      </w:pPr>
    </w:p>
    <w:p>
      <w:pPr>
        <w:spacing w:line="240" w:lineRule="auto" w:before="7"/>
        <w:rPr>
          <w:rFonts w:ascii="宋体" w:hAnsi="宋体" w:cs="宋体" w:eastAsia="宋体" w:hint="default"/>
          <w:sz w:val="3"/>
          <w:szCs w:val="3"/>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422" w:lineRule="auto" w:before="57"/>
        <w:ind w:left="154" w:right="7485" w:firstLine="0"/>
        <w:jc w:val="left"/>
        <w:rPr>
          <w:rFonts w:ascii="宋体" w:hAnsi="宋体" w:cs="宋体" w:eastAsia="宋体" w:hint="default"/>
          <w:sz w:val="18"/>
          <w:szCs w:val="18"/>
        </w:rPr>
      </w:pPr>
      <w:r>
        <w:rPr/>
        <w:pict>
          <v:shape style="position:absolute;margin-left:55.080002pt;margin-top:66.113655pt;width:485.5pt;height:235.6pt;mso-position-horizontal-relative:page;mso-position-vertical-relative:paragraph;z-index:25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423"/>
                    <w:gridCol w:w="2423"/>
                    <w:gridCol w:w="2424"/>
                    <w:gridCol w:w="2424"/>
                  </w:tblGrid>
                  <w:tr>
                    <w:trPr>
                      <w:trHeight w:val="714" w:hRule="exact"/>
                    </w:trPr>
                    <w:tc>
                      <w:tcPr>
                        <w:tcW w:w="24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实际控制人姓名</w:t>
                        </w:r>
                      </w:p>
                    </w:tc>
                    <w:tc>
                      <w:tcPr>
                        <w:tcW w:w="24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与实际控制人关系</w:t>
                        </w:r>
                      </w:p>
                    </w:tc>
                    <w:tc>
                      <w:tcPr>
                        <w:tcW w:w="24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24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16" w:right="36" w:hanging="1080"/>
                          <w:jc w:val="left"/>
                          <w:rPr>
                            <w:rFonts w:ascii="宋体" w:hAnsi="宋体" w:cs="宋体" w:eastAsia="宋体" w:hint="default"/>
                            <w:sz w:val="18"/>
                            <w:szCs w:val="18"/>
                          </w:rPr>
                        </w:pPr>
                        <w:r>
                          <w:rPr>
                            <w:rFonts w:ascii="宋体" w:hAnsi="宋体" w:cs="宋体" w:eastAsia="宋体" w:hint="default"/>
                            <w:sz w:val="18"/>
                            <w:szCs w:val="18"/>
                          </w:rPr>
                          <w:t>是否取得其他国家或地区居留 权</w:t>
                        </w:r>
                      </w:p>
                    </w:tc>
                  </w:tr>
                  <w:tr>
                    <w:trPr>
                      <w:trHeight w:val="402" w:hRule="exact"/>
                    </w:trPr>
                    <w:tc>
                      <w:tcPr>
                        <w:tcW w:w="2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2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本人</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中国</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2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2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本人</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中国</w:t>
                        </w: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2470" w:hRule="exact"/>
                    </w:trPr>
                    <w:tc>
                      <w:tcPr>
                        <w:tcW w:w="24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3"/>
                          <w:ind w:right="0"/>
                          <w:jc w:val="center"/>
                          <w:rPr>
                            <w:rFonts w:ascii="宋体" w:hAnsi="宋体" w:cs="宋体" w:eastAsia="宋体" w:hint="default"/>
                            <w:sz w:val="18"/>
                            <w:szCs w:val="18"/>
                          </w:rPr>
                        </w:pPr>
                        <w:r>
                          <w:rPr>
                            <w:rFonts w:ascii="宋体" w:hAnsi="宋体" w:cs="宋体" w:eastAsia="宋体" w:hint="default"/>
                            <w:sz w:val="18"/>
                            <w:szCs w:val="18"/>
                          </w:rPr>
                          <w:t>主要职业及职务</w:t>
                        </w:r>
                      </w:p>
                    </w:tc>
                    <w:tc>
                      <w:tcPr>
                        <w:tcW w:w="7272" w:type="dxa"/>
                        <w:gridSpan w:val="3"/>
                        <w:tcBorders>
                          <w:top w:val="single" w:sz="4" w:space="0" w:color="000000"/>
                          <w:left w:val="single" w:sz="4" w:space="0" w:color="000000"/>
                          <w:bottom w:val="single" w:sz="4" w:space="0" w:color="000000"/>
                          <w:right w:val="single" w:sz="4" w:space="0" w:color="000000"/>
                        </w:tcBorders>
                      </w:tcPr>
                      <w:p>
                        <w:pPr>
                          <w:pStyle w:val="TableParagraph"/>
                          <w:spacing w:line="477" w:lineRule="auto" w:before="129"/>
                          <w:ind w:left="22" w:right="21" w:firstLine="361"/>
                          <w:jc w:val="both"/>
                          <w:rPr>
                            <w:rFonts w:ascii="宋体" w:hAnsi="宋体" w:cs="宋体" w:eastAsia="宋体" w:hint="default"/>
                            <w:sz w:val="18"/>
                            <w:szCs w:val="18"/>
                          </w:rPr>
                        </w:pPr>
                        <w:r>
                          <w:rPr>
                            <w:rFonts w:ascii="宋体" w:hAnsi="宋体" w:cs="宋体" w:eastAsia="宋体" w:hint="default"/>
                            <w:b/>
                            <w:bCs/>
                            <w:sz w:val="18"/>
                            <w:szCs w:val="18"/>
                          </w:rPr>
                          <w:t>王宁</w:t>
                        </w:r>
                        <w:r>
                          <w:rPr>
                            <w:rFonts w:ascii="宋体" w:hAnsi="宋体" w:cs="宋体" w:eastAsia="宋体" w:hint="default"/>
                            <w:sz w:val="18"/>
                            <w:szCs w:val="18"/>
                          </w:rPr>
                          <w:t>先生，现任北京神州泰岳软件股份有限公司董事长、北京启天同信科技有限公司董 事、北京神州良品电子商务科技股份有限公司董事长、北京华泰德丰技术有限公司董事长、</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北京创董创新实业有限公司董事长、北京善聚投资管理有限公司执行董事。</w:t>
                        </w:r>
                      </w:p>
                      <w:p>
                        <w:pPr>
                          <w:pStyle w:val="TableParagraph"/>
                          <w:spacing w:line="477" w:lineRule="auto" w:before="94"/>
                          <w:ind w:left="22" w:right="21" w:firstLine="361"/>
                          <w:jc w:val="both"/>
                          <w:rPr>
                            <w:rFonts w:ascii="宋体" w:hAnsi="宋体" w:cs="宋体" w:eastAsia="宋体" w:hint="default"/>
                            <w:sz w:val="18"/>
                            <w:szCs w:val="18"/>
                          </w:rPr>
                        </w:pPr>
                        <w:r>
                          <w:rPr>
                            <w:rFonts w:ascii="宋体" w:hAnsi="宋体" w:cs="宋体" w:eastAsia="宋体" w:hint="default"/>
                            <w:b/>
                            <w:bCs/>
                            <w:sz w:val="18"/>
                            <w:szCs w:val="18"/>
                          </w:rPr>
                          <w:t>李力</w:t>
                        </w:r>
                        <w:r>
                          <w:rPr>
                            <w:rFonts w:ascii="宋体" w:hAnsi="宋体" w:cs="宋体" w:eastAsia="宋体" w:hint="default"/>
                            <w:sz w:val="18"/>
                            <w:szCs w:val="18"/>
                          </w:rPr>
                          <w:t>先生，现任北京神州泰岳软件股份有限公司副董事长、北京启天同信科技有限公司 董事、神州泰岳（香港）有限公司董事、中建智能技术有限公司董事。</w:t>
                        </w:r>
                      </w:p>
                    </w:tc>
                  </w:tr>
                  <w:tr>
                    <w:trPr>
                      <w:trHeight w:val="714" w:hRule="exact"/>
                    </w:trPr>
                    <w:tc>
                      <w:tcPr>
                        <w:tcW w:w="24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38"/>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年曾控股的境内外上 市公司情况</w:t>
                        </w:r>
                      </w:p>
                    </w:tc>
                    <w:tc>
                      <w:tcPr>
                        <w:tcW w:w="727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无</w:t>
                        </w:r>
                      </w:p>
                    </w:tc>
                  </w:tr>
                </w:tbl>
                <w:p>
                  <w:pPr/>
                </w:p>
              </w:txbxContent>
            </v:textbox>
            <w10:wrap type="none"/>
          </v:shape>
        </w:pict>
      </w:r>
      <w:bookmarkStart w:name="3、公司实际控制人及其一致行动人" w:id="124"/>
      <w:bookmarkEnd w:id="124"/>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、公司实际控制人及其一致行动人</w:t>
      </w:r>
      <w:r>
        <w:rPr>
          <w:rFonts w:ascii="宋体" w:hAnsi="宋体" w:cs="宋体" w:eastAsia="宋体" w:hint="default"/>
          <w:b/>
          <w:bCs/>
          <w:w w:val="99"/>
          <w:sz w:val="21"/>
          <w:szCs w:val="21"/>
        </w:rPr>
        <w:t> </w:t>
      </w:r>
      <w:r>
        <w:rPr>
          <w:rFonts w:ascii="宋体" w:hAnsi="宋体" w:cs="宋体" w:eastAsia="宋体" w:hint="default"/>
          <w:sz w:val="18"/>
          <w:szCs w:val="18"/>
        </w:rPr>
        <w:t>实际控制人性质：境内自然人 实际控制人类型：自然人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1"/>
          <w:szCs w:val="21"/>
        </w:rPr>
      </w:pPr>
    </w:p>
    <w:p>
      <w:pPr>
        <w:pStyle w:val="Heading5"/>
        <w:spacing w:line="240" w:lineRule="auto" w:before="44"/>
        <w:ind w:right="0"/>
        <w:jc w:val="left"/>
        <w:rPr>
          <w:b w:val="0"/>
          <w:bCs w:val="0"/>
        </w:rPr>
      </w:pPr>
      <w:r>
        <w:rPr/>
        <w:t>实际控制人报告期内变更</w:t>
      </w:r>
      <w:r>
        <w:rPr>
          <w:b w:val="0"/>
          <w:bCs w:val="0"/>
        </w:rPr>
      </w:r>
    </w:p>
    <w:p>
      <w:pPr>
        <w:spacing w:line="240" w:lineRule="auto" w:before="10"/>
        <w:rPr>
          <w:rFonts w:ascii="宋体" w:hAnsi="宋体" w:cs="宋体" w:eastAsia="宋体" w:hint="default"/>
          <w:b/>
          <w:bCs/>
          <w:sz w:val="17"/>
          <w:szCs w:val="17"/>
        </w:rPr>
      </w:pPr>
    </w:p>
    <w:p>
      <w:pPr>
        <w:spacing w:line="463" w:lineRule="auto" w:before="0"/>
        <w:ind w:left="154" w:right="677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1"/>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公司报告期实际控制人未发生变更。 </w:t>
      </w:r>
      <w:r>
        <w:rPr>
          <w:rFonts w:ascii="宋体" w:hAnsi="宋体" w:cs="宋体" w:eastAsia="宋体" w:hint="default"/>
          <w:b/>
          <w:bCs/>
          <w:sz w:val="18"/>
          <w:szCs w:val="18"/>
        </w:rPr>
        <w:t>公司与实际控制人之间的产权及控制关系的方框图</w:t>
      </w:r>
      <w:r>
        <w:rPr>
          <w:rFonts w:ascii="宋体" w:hAnsi="宋体" w:cs="宋体" w:eastAsia="宋体" w:hint="default"/>
          <w:sz w:val="18"/>
          <w:szCs w:val="18"/>
        </w:rPr>
      </w:r>
    </w:p>
    <w:p>
      <w:pPr>
        <w:spacing w:line="240" w:lineRule="auto" w:before="9"/>
        <w:rPr>
          <w:rFonts w:ascii="宋体" w:hAnsi="宋体" w:cs="宋体" w:eastAsia="宋体" w:hint="default"/>
          <w:b/>
          <w:bCs/>
          <w:sz w:val="14"/>
          <w:szCs w:val="14"/>
        </w:rPr>
      </w:pPr>
    </w:p>
    <w:p>
      <w:pPr>
        <w:spacing w:line="4030" w:lineRule="exact"/>
        <w:ind w:left="2354" w:right="0" w:firstLine="0"/>
        <w:rPr>
          <w:rFonts w:ascii="宋体" w:hAnsi="宋体" w:cs="宋体" w:eastAsia="宋体" w:hint="default"/>
          <w:sz w:val="20"/>
          <w:szCs w:val="20"/>
        </w:rPr>
      </w:pPr>
      <w:r>
        <w:rPr>
          <w:rFonts w:ascii="宋体" w:hAnsi="宋体" w:cs="宋体" w:eastAsia="宋体" w:hint="default"/>
          <w:position w:val="-80"/>
          <w:sz w:val="20"/>
          <w:szCs w:val="20"/>
        </w:rPr>
        <w:drawing>
          <wp:inline distT="0" distB="0" distL="0" distR="0">
            <wp:extent cx="3331240" cy="2559081"/>
            <wp:effectExtent l="0" t="0" r="0" b="0"/>
            <wp:docPr id="75" name="image76.png" descr=""/>
            <wp:cNvGraphicFramePr>
              <a:graphicFrameLocks noChangeAspect="1"/>
            </wp:cNvGraphicFramePr>
            <a:graphic>
              <a:graphicData uri="http://schemas.openxmlformats.org/drawingml/2006/picture">
                <pic:pic>
                  <pic:nvPicPr>
                    <pic:cNvPr id="76" name="image76.png"/>
                    <pic:cNvPicPr/>
                  </pic:nvPicPr>
                  <pic:blipFill>
                    <a:blip r:embed="rId87" cstate="print"/>
                    <a:stretch>
                      <a:fillRect/>
                    </a:stretch>
                  </pic:blipFill>
                  <pic:spPr>
                    <a:xfrm>
                      <a:off x="0" y="0"/>
                      <a:ext cx="3331240" cy="2559081"/>
                    </a:xfrm>
                    <a:prstGeom prst="rect">
                      <a:avLst/>
                    </a:prstGeom>
                  </pic:spPr>
                </pic:pic>
              </a:graphicData>
            </a:graphic>
          </wp:inline>
        </w:drawing>
      </w:r>
      <w:r>
        <w:rPr>
          <w:rFonts w:ascii="宋体" w:hAnsi="宋体" w:cs="宋体" w:eastAsia="宋体" w:hint="default"/>
          <w:position w:val="-80"/>
          <w:sz w:val="20"/>
          <w:szCs w:val="20"/>
        </w:rPr>
      </w:r>
    </w:p>
    <w:p>
      <w:pPr>
        <w:spacing w:line="240" w:lineRule="auto" w:before="12"/>
        <w:rPr>
          <w:rFonts w:ascii="宋体" w:hAnsi="宋体" w:cs="宋体" w:eastAsia="宋体" w:hint="default"/>
          <w:b/>
          <w:bCs/>
          <w:sz w:val="22"/>
          <w:szCs w:val="22"/>
        </w:rPr>
      </w:pPr>
    </w:p>
    <w:p>
      <w:pPr>
        <w:pStyle w:val="Heading5"/>
        <w:spacing w:line="240" w:lineRule="auto"/>
        <w:ind w:right="0"/>
        <w:jc w:val="left"/>
        <w:rPr>
          <w:b w:val="0"/>
          <w:bCs w:val="0"/>
        </w:rPr>
      </w:pPr>
      <w:r>
        <w:rPr/>
        <w:t>实际控制人通过信托或其他资产管理方式控制公司</w:t>
      </w:r>
      <w:r>
        <w:rPr>
          <w:b w:val="0"/>
          <w:bCs w:val="0"/>
        </w:rPr>
      </w:r>
    </w:p>
    <w:p>
      <w:pPr>
        <w:spacing w:line="240" w:lineRule="auto" w:before="12"/>
        <w:rPr>
          <w:rFonts w:ascii="宋体" w:hAnsi="宋体" w:cs="宋体" w:eastAsia="宋体" w:hint="default"/>
          <w:b/>
          <w:bCs/>
          <w:sz w:val="20"/>
          <w:szCs w:val="20"/>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51" w:footer="979" w:top="1400" w:bottom="1160" w:left="980" w:right="0"/>
        </w:sectPr>
      </w:pPr>
    </w:p>
    <w:p>
      <w:pPr>
        <w:pStyle w:val="Heading3"/>
        <w:spacing w:line="240" w:lineRule="auto" w:before="124"/>
        <w:ind w:right="0"/>
        <w:jc w:val="left"/>
        <w:rPr>
          <w:b w:val="0"/>
          <w:bCs w:val="0"/>
        </w:rPr>
      </w:pPr>
      <w:bookmarkStart w:name="4、其他持股在10%以上的法人股东" w:id="125"/>
      <w:bookmarkEnd w:id="125"/>
      <w:r>
        <w:rPr>
          <w:b w:val="0"/>
          <w:bCs w:val="0"/>
        </w:rPr>
      </w:r>
      <w:r>
        <w:rPr>
          <w:rFonts w:ascii="Times New Roman" w:hAnsi="Times New Roman" w:cs="Times New Roman" w:eastAsia="Times New Roman" w:hint="default"/>
        </w:rPr>
        <w:t>4</w:t>
      </w:r>
      <w:r>
        <w:rPr/>
        <w:t>、其他持股在</w:t>
      </w:r>
      <w:r>
        <w:rPr>
          <w:spacing w:val="-57"/>
        </w:rPr>
        <w:t> </w:t>
      </w:r>
      <w:r>
        <w:rPr>
          <w:rFonts w:ascii="Times New Roman" w:hAnsi="Times New Roman" w:cs="Times New Roman" w:eastAsia="Times New Roman" w:hint="default"/>
        </w:rPr>
        <w:t>10%</w:t>
      </w:r>
      <w:r>
        <w:rPr/>
        <w:t>以上的法人股东</w:t>
      </w:r>
      <w:r>
        <w:rPr>
          <w:b w:val="0"/>
          <w:bCs w:val="0"/>
        </w:rPr>
      </w:r>
    </w:p>
    <w:p>
      <w:pPr>
        <w:spacing w:line="240" w:lineRule="auto" w:before="8"/>
        <w:rPr>
          <w:rFonts w:ascii="宋体" w:hAnsi="宋体" w:cs="宋体" w:eastAsia="宋体" w:hint="default"/>
          <w:b/>
          <w:bCs/>
          <w:sz w:val="18"/>
          <w:szCs w:val="18"/>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1"/>
        <w:rPr>
          <w:rFonts w:ascii="宋体" w:hAnsi="宋体" w:cs="宋体" w:eastAsia="宋体" w:hint="default"/>
          <w:b/>
          <w:bCs/>
          <w:sz w:val="17"/>
          <w:szCs w:val="17"/>
        </w:rPr>
      </w:pPr>
    </w:p>
    <w:p>
      <w:pPr>
        <w:pStyle w:val="Heading3"/>
        <w:spacing w:line="240" w:lineRule="auto"/>
        <w:ind w:right="0"/>
        <w:jc w:val="left"/>
        <w:rPr>
          <w:b w:val="0"/>
          <w:bCs w:val="0"/>
        </w:rPr>
      </w:pPr>
      <w:bookmarkStart w:name="5、控股股东、实际控制人、重组方及其他承诺主体股份限制减持情况" w:id="126"/>
      <w:bookmarkEnd w:id="126"/>
      <w:r>
        <w:rPr>
          <w:b w:val="0"/>
          <w:bCs w:val="0"/>
        </w:rPr>
      </w: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8"/>
        <w:rPr>
          <w:rFonts w:ascii="宋体" w:hAnsi="宋体" w:cs="宋体" w:eastAsia="宋体" w:hint="default"/>
          <w:b/>
          <w:bCs/>
          <w:sz w:val="18"/>
          <w:szCs w:val="18"/>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51" w:footer="979" w:top="1400" w:bottom="1160" w:left="980" w:right="0"/>
        </w:sectPr>
      </w:pPr>
    </w:p>
    <w:p>
      <w:pPr>
        <w:spacing w:line="240" w:lineRule="auto" w:before="6"/>
        <w:rPr>
          <w:rFonts w:ascii="宋体" w:hAnsi="宋体" w:cs="宋体" w:eastAsia="宋体" w:hint="default"/>
          <w:b/>
          <w:bCs/>
          <w:sz w:val="13"/>
          <w:szCs w:val="13"/>
        </w:rPr>
      </w:pPr>
    </w:p>
    <w:p>
      <w:pPr>
        <w:pStyle w:val="Heading1"/>
        <w:spacing w:line="240" w:lineRule="auto"/>
        <w:ind w:left="3366" w:right="0"/>
        <w:jc w:val="left"/>
        <w:rPr>
          <w:b w:val="0"/>
          <w:bCs w:val="0"/>
        </w:rPr>
      </w:pPr>
      <w:bookmarkStart w:name="第七节优先股相关情况" w:id="127"/>
      <w:bookmarkEnd w:id="127"/>
      <w:r>
        <w:rPr>
          <w:b w:val="0"/>
          <w:bCs w:val="0"/>
        </w:rPr>
      </w:r>
      <w:bookmarkStart w:name="_bookmark6" w:id="128"/>
      <w:bookmarkEnd w:id="128"/>
      <w:r>
        <w:rPr>
          <w:b w:val="0"/>
          <w:bCs w:val="0"/>
        </w:rPr>
      </w:r>
      <w:r>
        <w:rPr/>
        <w:t>第七节优先股相关情况</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5"/>
          <w:szCs w:val="25"/>
        </w:rPr>
      </w:pPr>
    </w:p>
    <w:p>
      <w:pPr>
        <w:spacing w:line="489" w:lineRule="auto" w:before="44"/>
        <w:ind w:left="154" w:right="85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1"/>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报告期公司不存在优先股。</w:t>
      </w:r>
    </w:p>
    <w:p>
      <w:pPr>
        <w:spacing w:after="0" w:line="489" w:lineRule="auto"/>
        <w:jc w:val="left"/>
        <w:rPr>
          <w:rFonts w:ascii="宋体" w:hAnsi="宋体" w:cs="宋体" w:eastAsia="宋体" w:hint="default"/>
          <w:sz w:val="18"/>
          <w:szCs w:val="18"/>
        </w:rPr>
        <w:sectPr>
          <w:pgSz w:w="11910" w:h="16840"/>
          <w:pgMar w:header="851" w:footer="979" w:top="1400" w:bottom="1160" w:left="980" w:right="0"/>
        </w:sectPr>
      </w:pPr>
    </w:p>
    <w:p>
      <w:pPr>
        <w:spacing w:line="240" w:lineRule="auto" w:before="6"/>
        <w:rPr>
          <w:rFonts w:ascii="宋体" w:hAnsi="宋体" w:cs="宋体" w:eastAsia="宋体" w:hint="default"/>
          <w:sz w:val="13"/>
          <w:szCs w:val="13"/>
        </w:rPr>
      </w:pPr>
    </w:p>
    <w:p>
      <w:pPr>
        <w:pStyle w:val="Heading1"/>
        <w:spacing w:line="240" w:lineRule="auto"/>
        <w:ind w:left="1841" w:right="0"/>
        <w:jc w:val="left"/>
        <w:rPr>
          <w:b w:val="0"/>
          <w:bCs w:val="0"/>
        </w:rPr>
      </w:pPr>
      <w:bookmarkStart w:name="第八节董事、监事、高级管理人员和员工情况" w:id="129"/>
      <w:bookmarkEnd w:id="129"/>
      <w:r>
        <w:rPr>
          <w:b w:val="0"/>
          <w:bCs w:val="0"/>
        </w:rPr>
      </w:r>
      <w:bookmarkStart w:name="_bookmark7" w:id="130"/>
      <w:bookmarkEnd w:id="130"/>
      <w:r>
        <w:rPr>
          <w:b w:val="0"/>
          <w:bCs w:val="0"/>
        </w:rPr>
      </w:r>
      <w:r>
        <w:rPr/>
        <w:t>第八节董事、监事、高级管理人员和员工情况</w:t>
      </w:r>
      <w:r>
        <w:rPr>
          <w:b w:val="0"/>
          <w:bCs w:val="0"/>
        </w:rPr>
      </w:r>
    </w:p>
    <w:p>
      <w:pPr>
        <w:spacing w:line="240" w:lineRule="auto" w:before="11"/>
        <w:rPr>
          <w:rFonts w:ascii="宋体" w:hAnsi="宋体" w:cs="宋体" w:eastAsia="宋体" w:hint="default"/>
          <w:b/>
          <w:bCs/>
          <w:sz w:val="38"/>
          <w:szCs w:val="38"/>
        </w:rPr>
      </w:pPr>
    </w:p>
    <w:p>
      <w:pPr>
        <w:pStyle w:val="Heading2"/>
        <w:spacing w:line="240" w:lineRule="auto"/>
        <w:ind w:left="234" w:right="0"/>
        <w:jc w:val="left"/>
        <w:rPr>
          <w:b w:val="0"/>
          <w:bCs w:val="0"/>
        </w:rPr>
      </w:pPr>
      <w:bookmarkStart w:name="一、董事、监事和高级管理人员持股变动" w:id="131"/>
      <w:bookmarkEnd w:id="131"/>
      <w:r>
        <w:rPr>
          <w:b w:val="0"/>
          <w:bCs w:val="0"/>
        </w:rPr>
      </w:r>
      <w:r>
        <w:rPr/>
        <w:t>一、董事、监事和高级管理人员持股变动</w:t>
      </w:r>
      <w:r>
        <w:rPr>
          <w:b w:val="0"/>
          <w:bCs w:val="0"/>
        </w:rPr>
      </w:r>
    </w:p>
    <w:p>
      <w:pPr>
        <w:spacing w:line="240" w:lineRule="auto" w:before="10"/>
        <w:rPr>
          <w:rFonts w:ascii="宋体" w:hAnsi="宋体" w:cs="宋体" w:eastAsia="宋体" w:hint="default"/>
          <w:b/>
          <w:bCs/>
          <w:sz w:val="25"/>
          <w:szCs w:val="25"/>
        </w:rPr>
      </w:pPr>
    </w:p>
    <w:tbl>
      <w:tblPr>
        <w:tblW w:w="0" w:type="auto"/>
        <w:jc w:val="left"/>
        <w:tblInd w:w="116" w:type="dxa"/>
        <w:tblLayout w:type="fixed"/>
        <w:tblCellMar>
          <w:top w:w="0" w:type="dxa"/>
          <w:left w:w="0" w:type="dxa"/>
          <w:bottom w:w="0" w:type="dxa"/>
          <w:right w:w="0" w:type="dxa"/>
        </w:tblCellMar>
        <w:tblLook w:val="01E0"/>
      </w:tblPr>
      <w:tblGrid>
        <w:gridCol w:w="432"/>
        <w:gridCol w:w="770"/>
        <w:gridCol w:w="396"/>
        <w:gridCol w:w="476"/>
        <w:gridCol w:w="416"/>
        <w:gridCol w:w="1056"/>
        <w:gridCol w:w="983"/>
        <w:gridCol w:w="1126"/>
        <w:gridCol w:w="949"/>
        <w:gridCol w:w="1030"/>
        <w:gridCol w:w="1104"/>
        <w:gridCol w:w="1117"/>
      </w:tblGrid>
      <w:tr>
        <w:trPr>
          <w:trHeight w:val="1268" w:hRule="exact"/>
        </w:trPr>
        <w:tc>
          <w:tcPr>
            <w:tcW w:w="432"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316" w:lineRule="auto"/>
              <w:ind w:left="116" w:right="114"/>
              <w:jc w:val="left"/>
              <w:rPr>
                <w:rFonts w:ascii="宋体" w:hAnsi="宋体" w:cs="宋体" w:eastAsia="宋体" w:hint="default"/>
                <w:sz w:val="18"/>
                <w:szCs w:val="18"/>
              </w:rPr>
            </w:pPr>
            <w:r>
              <w:rPr>
                <w:rFonts w:ascii="宋体" w:hAnsi="宋体" w:cs="宋体" w:eastAsia="宋体" w:hint="default"/>
                <w:sz w:val="18"/>
                <w:szCs w:val="18"/>
              </w:rPr>
              <w:t>姓 名</w:t>
            </w:r>
          </w:p>
        </w:tc>
        <w:tc>
          <w:tcPr>
            <w:tcW w:w="770"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396"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316" w:lineRule="auto" w:before="11"/>
              <w:ind w:left="98" w:right="96"/>
              <w:jc w:val="both"/>
              <w:rPr>
                <w:rFonts w:ascii="宋体" w:hAnsi="宋体" w:cs="宋体" w:eastAsia="宋体" w:hint="default"/>
                <w:sz w:val="18"/>
                <w:szCs w:val="18"/>
              </w:rPr>
            </w:pPr>
            <w:r>
              <w:rPr>
                <w:rFonts w:ascii="宋体" w:hAnsi="宋体" w:cs="宋体" w:eastAsia="宋体" w:hint="default"/>
                <w:sz w:val="18"/>
                <w:szCs w:val="18"/>
              </w:rPr>
              <w:t>任 职 状 态</w:t>
            </w:r>
          </w:p>
        </w:tc>
        <w:tc>
          <w:tcPr>
            <w:tcW w:w="476"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316" w:lineRule="auto"/>
              <w:ind w:left="139" w:right="137"/>
              <w:jc w:val="left"/>
              <w:rPr>
                <w:rFonts w:ascii="宋体" w:hAnsi="宋体" w:cs="宋体" w:eastAsia="宋体" w:hint="default"/>
                <w:sz w:val="18"/>
                <w:szCs w:val="18"/>
              </w:rPr>
            </w:pPr>
            <w:r>
              <w:rPr>
                <w:rFonts w:ascii="宋体" w:hAnsi="宋体" w:cs="宋体" w:eastAsia="宋体" w:hint="default"/>
                <w:sz w:val="18"/>
                <w:szCs w:val="18"/>
              </w:rPr>
              <w:t>性 别</w:t>
            </w:r>
          </w:p>
        </w:tc>
        <w:tc>
          <w:tcPr>
            <w:tcW w:w="416"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316" w:lineRule="auto"/>
              <w:ind w:left="107" w:right="107"/>
              <w:jc w:val="left"/>
              <w:rPr>
                <w:rFonts w:ascii="宋体" w:hAnsi="宋体" w:cs="宋体" w:eastAsia="宋体" w:hint="default"/>
                <w:sz w:val="18"/>
                <w:szCs w:val="18"/>
              </w:rPr>
            </w:pPr>
            <w:r>
              <w:rPr>
                <w:rFonts w:ascii="宋体" w:hAnsi="宋体" w:cs="宋体" w:eastAsia="宋体" w:hint="default"/>
                <w:sz w:val="18"/>
                <w:szCs w:val="18"/>
              </w:rPr>
              <w:t>年 龄</w:t>
            </w:r>
          </w:p>
        </w:tc>
        <w:tc>
          <w:tcPr>
            <w:tcW w:w="1056"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316" w:lineRule="auto"/>
              <w:ind w:left="338" w:right="156"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983"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316" w:lineRule="auto"/>
              <w:ind w:left="301" w:right="120" w:hanging="181"/>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1126"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期初持股数</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（股）</w:t>
            </w:r>
          </w:p>
        </w:tc>
        <w:tc>
          <w:tcPr>
            <w:tcW w:w="949"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316" w:lineRule="auto"/>
              <w:ind w:left="105" w:right="102"/>
              <w:jc w:val="left"/>
              <w:rPr>
                <w:rFonts w:ascii="宋体" w:hAnsi="宋体" w:cs="宋体" w:eastAsia="宋体" w:hint="default"/>
                <w:sz w:val="18"/>
                <w:szCs w:val="18"/>
              </w:rPr>
            </w:pPr>
            <w:r>
              <w:rPr>
                <w:rFonts w:ascii="宋体" w:hAnsi="宋体" w:cs="宋体" w:eastAsia="宋体" w:hint="default"/>
                <w:sz w:val="18"/>
                <w:szCs w:val="18"/>
              </w:rPr>
              <w:t>本期增持 股份数量</w:t>
            </w:r>
          </w:p>
          <w:p>
            <w:pPr>
              <w:pStyle w:val="TableParagraph"/>
              <w:spacing w:line="240" w:lineRule="auto" w:before="19"/>
              <w:ind w:left="195" w:right="0"/>
              <w:jc w:val="left"/>
              <w:rPr>
                <w:rFonts w:ascii="宋体" w:hAnsi="宋体" w:cs="宋体" w:eastAsia="宋体" w:hint="default"/>
                <w:sz w:val="18"/>
                <w:szCs w:val="18"/>
              </w:rPr>
            </w:pPr>
            <w:r>
              <w:rPr>
                <w:rFonts w:ascii="宋体" w:hAnsi="宋体" w:cs="宋体" w:eastAsia="宋体" w:hint="default"/>
                <w:sz w:val="18"/>
                <w:szCs w:val="18"/>
              </w:rPr>
              <w:t>（股）</w:t>
            </w:r>
          </w:p>
        </w:tc>
        <w:tc>
          <w:tcPr>
            <w:tcW w:w="1030"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316" w:lineRule="auto"/>
              <w:ind w:left="143" w:right="144"/>
              <w:jc w:val="left"/>
              <w:rPr>
                <w:rFonts w:ascii="宋体" w:hAnsi="宋体" w:cs="宋体" w:eastAsia="宋体" w:hint="default"/>
                <w:sz w:val="18"/>
                <w:szCs w:val="18"/>
              </w:rPr>
            </w:pPr>
            <w:r>
              <w:rPr>
                <w:rFonts w:ascii="宋体" w:hAnsi="宋体" w:cs="宋体" w:eastAsia="宋体" w:hint="default"/>
                <w:sz w:val="18"/>
                <w:szCs w:val="18"/>
              </w:rPr>
              <w:t>本期减持 股份数量</w:t>
            </w:r>
          </w:p>
          <w:p>
            <w:pPr>
              <w:pStyle w:val="TableParagraph"/>
              <w:spacing w:line="240" w:lineRule="auto" w:before="19"/>
              <w:ind w:left="23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1104"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316" w:lineRule="auto"/>
              <w:ind w:left="98" w:right="84" w:firstLine="84"/>
              <w:jc w:val="left"/>
              <w:rPr>
                <w:rFonts w:ascii="宋体" w:hAnsi="宋体" w:cs="宋体" w:eastAsia="宋体" w:hint="default"/>
                <w:sz w:val="18"/>
                <w:szCs w:val="18"/>
              </w:rPr>
            </w:pPr>
            <w:r>
              <w:rPr>
                <w:rFonts w:ascii="宋体" w:hAnsi="宋体" w:cs="宋体" w:eastAsia="宋体" w:hint="default"/>
                <w:sz w:val="18"/>
                <w:szCs w:val="18"/>
              </w:rPr>
              <w:t>其他增减 变动（股）</w:t>
            </w:r>
          </w:p>
        </w:tc>
        <w:tc>
          <w:tcPr>
            <w:tcW w:w="1117"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期末持股数</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（股）</w:t>
            </w:r>
          </w:p>
        </w:tc>
      </w:tr>
      <w:tr>
        <w:trPr>
          <w:trHeight w:val="644" w:hRule="exact"/>
        </w:trPr>
        <w:tc>
          <w:tcPr>
            <w:tcW w:w="43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16" w:lineRule="auto" w:before="11"/>
              <w:ind w:left="116" w:right="114"/>
              <w:jc w:val="left"/>
              <w:rPr>
                <w:rFonts w:ascii="宋体" w:hAnsi="宋体" w:cs="宋体" w:eastAsia="宋体" w:hint="default"/>
                <w:sz w:val="18"/>
                <w:szCs w:val="18"/>
              </w:rPr>
            </w:pPr>
            <w:r>
              <w:rPr>
                <w:rFonts w:ascii="宋体" w:hAnsi="宋体" w:cs="宋体" w:eastAsia="宋体" w:hint="default"/>
                <w:sz w:val="18"/>
                <w:szCs w:val="18"/>
              </w:rPr>
              <w:t>王 宁</w:t>
            </w:r>
          </w:p>
        </w:tc>
        <w:tc>
          <w:tcPr>
            <w:tcW w:w="7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1"/>
              <w:ind w:left="98" w:right="96"/>
              <w:jc w:val="left"/>
              <w:rPr>
                <w:rFonts w:ascii="宋体" w:hAnsi="宋体" w:cs="宋体" w:eastAsia="宋体" w:hint="default"/>
                <w:sz w:val="18"/>
                <w:szCs w:val="18"/>
              </w:rPr>
            </w:pPr>
            <w:r>
              <w:rPr>
                <w:rFonts w:ascii="宋体" w:hAnsi="宋体" w:cs="宋体" w:eastAsia="宋体" w:hint="default"/>
                <w:sz w:val="18"/>
                <w:szCs w:val="18"/>
              </w:rPr>
              <w:t>现 任</w:t>
            </w:r>
          </w:p>
        </w:tc>
        <w:tc>
          <w:tcPr>
            <w:tcW w:w="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57</w:t>
            </w:r>
          </w:p>
        </w:tc>
        <w:tc>
          <w:tcPr>
            <w:tcW w:w="10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86"/>
              <w:jc w:val="right"/>
              <w:rPr>
                <w:rFonts w:ascii="Times New Roman" w:hAnsi="Times New Roman" w:cs="Times New Roman" w:eastAsia="Times New Roman" w:hint="default"/>
                <w:sz w:val="18"/>
                <w:szCs w:val="18"/>
              </w:rPr>
            </w:pPr>
            <w:r>
              <w:rPr>
                <w:rFonts w:ascii="Times New Roman"/>
                <w:sz w:val="18"/>
              </w:rPr>
              <w:t>2007-7-2</w:t>
            </w:r>
          </w:p>
        </w:tc>
        <w:tc>
          <w:tcPr>
            <w:tcW w:w="9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2019-5-27</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126,958,612</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0</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z w:val="18"/>
              </w:rPr>
              <w:t>126,958,612</w:t>
            </w:r>
          </w:p>
        </w:tc>
      </w:tr>
      <w:tr>
        <w:trPr>
          <w:trHeight w:val="643" w:hRule="exact"/>
        </w:trPr>
        <w:tc>
          <w:tcPr>
            <w:tcW w:w="43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16" w:lineRule="auto" w:before="10"/>
              <w:ind w:left="116" w:right="114"/>
              <w:jc w:val="left"/>
              <w:rPr>
                <w:rFonts w:ascii="宋体" w:hAnsi="宋体" w:cs="宋体" w:eastAsia="宋体" w:hint="default"/>
                <w:sz w:val="18"/>
                <w:szCs w:val="18"/>
              </w:rPr>
            </w:pPr>
            <w:r>
              <w:rPr>
                <w:rFonts w:ascii="宋体" w:hAnsi="宋体" w:cs="宋体" w:eastAsia="宋体" w:hint="default"/>
                <w:sz w:val="18"/>
                <w:szCs w:val="18"/>
              </w:rPr>
              <w:t>李 力</w:t>
            </w:r>
          </w:p>
        </w:tc>
        <w:tc>
          <w:tcPr>
            <w:tcW w:w="770"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0"/>
              <w:ind w:left="284" w:right="105" w:hanging="181"/>
              <w:jc w:val="left"/>
              <w:rPr>
                <w:rFonts w:ascii="宋体" w:hAnsi="宋体" w:cs="宋体" w:eastAsia="宋体" w:hint="default"/>
                <w:sz w:val="18"/>
                <w:szCs w:val="18"/>
              </w:rPr>
            </w:pPr>
            <w:r>
              <w:rPr>
                <w:rFonts w:ascii="宋体" w:hAnsi="宋体" w:cs="宋体" w:eastAsia="宋体" w:hint="default"/>
                <w:sz w:val="18"/>
                <w:szCs w:val="18"/>
              </w:rPr>
              <w:t>副董事 长</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0"/>
              <w:ind w:left="98" w:right="96"/>
              <w:jc w:val="left"/>
              <w:rPr>
                <w:rFonts w:ascii="宋体" w:hAnsi="宋体" w:cs="宋体" w:eastAsia="宋体" w:hint="default"/>
                <w:sz w:val="18"/>
                <w:szCs w:val="18"/>
              </w:rPr>
            </w:pPr>
            <w:r>
              <w:rPr>
                <w:rFonts w:ascii="宋体" w:hAnsi="宋体" w:cs="宋体" w:eastAsia="宋体" w:hint="default"/>
                <w:sz w:val="18"/>
                <w:szCs w:val="18"/>
              </w:rPr>
              <w:t>现 任</w:t>
            </w:r>
          </w:p>
        </w:tc>
        <w:tc>
          <w:tcPr>
            <w:tcW w:w="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48</w:t>
            </w:r>
          </w:p>
        </w:tc>
        <w:tc>
          <w:tcPr>
            <w:tcW w:w="10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86"/>
              <w:jc w:val="right"/>
              <w:rPr>
                <w:rFonts w:ascii="Times New Roman" w:hAnsi="Times New Roman" w:cs="Times New Roman" w:eastAsia="Times New Roman" w:hint="default"/>
                <w:sz w:val="18"/>
                <w:szCs w:val="18"/>
              </w:rPr>
            </w:pPr>
            <w:r>
              <w:rPr>
                <w:rFonts w:ascii="Times New Roman"/>
                <w:sz w:val="18"/>
              </w:rPr>
              <w:t>2007-7-2</w:t>
            </w:r>
          </w:p>
        </w:tc>
        <w:tc>
          <w:tcPr>
            <w:tcW w:w="9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2019-5-27</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256,807,304</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z w:val="18"/>
              </w:rPr>
              <w:t>1,500,000</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0</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z w:val="18"/>
              </w:rPr>
              <w:t>258,307,304</w:t>
            </w:r>
          </w:p>
        </w:tc>
      </w:tr>
      <w:tr>
        <w:trPr>
          <w:trHeight w:val="956" w:hRule="exact"/>
        </w:trPr>
        <w:tc>
          <w:tcPr>
            <w:tcW w:w="43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16" w:lineRule="auto" w:before="11"/>
              <w:ind w:left="116" w:right="114"/>
              <w:jc w:val="both"/>
              <w:rPr>
                <w:rFonts w:ascii="宋体" w:hAnsi="宋体" w:cs="宋体" w:eastAsia="宋体" w:hint="default"/>
                <w:sz w:val="18"/>
                <w:szCs w:val="18"/>
              </w:rPr>
            </w:pPr>
            <w:r>
              <w:rPr>
                <w:rFonts w:ascii="宋体" w:hAnsi="宋体" w:cs="宋体" w:eastAsia="宋体" w:hint="default"/>
                <w:sz w:val="18"/>
                <w:szCs w:val="18"/>
              </w:rPr>
              <w:t>黄 松 浪</w:t>
            </w:r>
          </w:p>
        </w:tc>
        <w:tc>
          <w:tcPr>
            <w:tcW w:w="7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316" w:lineRule="auto"/>
              <w:ind w:left="284" w:right="105" w:hanging="181"/>
              <w:jc w:val="left"/>
              <w:rPr>
                <w:rFonts w:ascii="宋体" w:hAnsi="宋体" w:cs="宋体" w:eastAsia="宋体" w:hint="default"/>
                <w:sz w:val="18"/>
                <w:szCs w:val="18"/>
              </w:rPr>
            </w:pPr>
            <w:r>
              <w:rPr>
                <w:rFonts w:ascii="宋体" w:hAnsi="宋体" w:cs="宋体" w:eastAsia="宋体" w:hint="default"/>
                <w:sz w:val="18"/>
                <w:szCs w:val="18"/>
              </w:rPr>
              <w:t>副董事 长</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316" w:lineRule="auto"/>
              <w:ind w:left="98" w:right="96"/>
              <w:jc w:val="left"/>
              <w:rPr>
                <w:rFonts w:ascii="宋体" w:hAnsi="宋体" w:cs="宋体" w:eastAsia="宋体" w:hint="default"/>
                <w:sz w:val="18"/>
                <w:szCs w:val="18"/>
              </w:rPr>
            </w:pPr>
            <w:r>
              <w:rPr>
                <w:rFonts w:ascii="宋体" w:hAnsi="宋体" w:cs="宋体" w:eastAsia="宋体" w:hint="default"/>
                <w:sz w:val="18"/>
                <w:szCs w:val="18"/>
              </w:rPr>
              <w:t>现 任</w:t>
            </w:r>
          </w:p>
        </w:tc>
        <w:tc>
          <w:tcPr>
            <w:tcW w:w="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7" w:right="0"/>
              <w:jc w:val="left"/>
              <w:rPr>
                <w:rFonts w:ascii="Times New Roman" w:hAnsi="Times New Roman" w:cs="Times New Roman" w:eastAsia="Times New Roman" w:hint="default"/>
                <w:sz w:val="18"/>
                <w:szCs w:val="18"/>
              </w:rPr>
            </w:pPr>
            <w:r>
              <w:rPr>
                <w:rFonts w:ascii="Times New Roman"/>
                <w:sz w:val="18"/>
              </w:rPr>
              <w:t>50</w:t>
            </w:r>
          </w:p>
        </w:tc>
        <w:tc>
          <w:tcPr>
            <w:tcW w:w="10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86"/>
              <w:jc w:val="right"/>
              <w:rPr>
                <w:rFonts w:ascii="Times New Roman" w:hAnsi="Times New Roman" w:cs="Times New Roman" w:eastAsia="Times New Roman" w:hint="default"/>
                <w:sz w:val="18"/>
                <w:szCs w:val="18"/>
              </w:rPr>
            </w:pPr>
            <w:r>
              <w:rPr>
                <w:rFonts w:ascii="Times New Roman"/>
                <w:sz w:val="18"/>
              </w:rPr>
              <w:t>2007-7-2</w:t>
            </w:r>
          </w:p>
        </w:tc>
        <w:tc>
          <w:tcPr>
            <w:tcW w:w="9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4"/>
              <w:jc w:val="right"/>
              <w:rPr>
                <w:rFonts w:ascii="Times New Roman" w:hAnsi="Times New Roman" w:cs="Times New Roman" w:eastAsia="Times New Roman" w:hint="default"/>
                <w:sz w:val="18"/>
                <w:szCs w:val="18"/>
              </w:rPr>
            </w:pPr>
            <w:r>
              <w:rPr>
                <w:rFonts w:ascii="Times New Roman"/>
                <w:sz w:val="18"/>
              </w:rPr>
              <w:t>2019-5-27</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6"/>
              <w:jc w:val="right"/>
              <w:rPr>
                <w:rFonts w:ascii="Times New Roman" w:hAnsi="Times New Roman" w:cs="Times New Roman" w:eastAsia="Times New Roman" w:hint="default"/>
                <w:sz w:val="18"/>
                <w:szCs w:val="18"/>
              </w:rPr>
            </w:pPr>
            <w:r>
              <w:rPr>
                <w:rFonts w:ascii="Times New Roman"/>
                <w:sz w:val="18"/>
              </w:rPr>
              <w:t>114,318,403</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5"/>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7"/>
              <w:jc w:val="right"/>
              <w:rPr>
                <w:rFonts w:ascii="Times New Roman" w:hAnsi="Times New Roman" w:cs="Times New Roman" w:eastAsia="Times New Roman" w:hint="default"/>
                <w:sz w:val="18"/>
                <w:szCs w:val="18"/>
              </w:rPr>
            </w:pPr>
            <w:r>
              <w:rPr>
                <w:rFonts w:ascii="Times New Roman"/>
                <w:sz w:val="18"/>
              </w:rPr>
              <w:t>26,232,276</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6"/>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5"/>
              <w:jc w:val="right"/>
              <w:rPr>
                <w:rFonts w:ascii="Times New Roman" w:hAnsi="Times New Roman" w:cs="Times New Roman" w:eastAsia="Times New Roman" w:hint="default"/>
                <w:sz w:val="18"/>
                <w:szCs w:val="18"/>
              </w:rPr>
            </w:pPr>
            <w:r>
              <w:rPr>
                <w:rFonts w:ascii="Times New Roman"/>
                <w:sz w:val="18"/>
              </w:rPr>
              <w:t>88,086,127</w:t>
            </w:r>
          </w:p>
        </w:tc>
      </w:tr>
      <w:tr>
        <w:trPr>
          <w:trHeight w:val="956" w:hRule="exact"/>
        </w:trPr>
        <w:tc>
          <w:tcPr>
            <w:tcW w:w="43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16" w:lineRule="auto" w:before="11"/>
              <w:ind w:left="116" w:right="114"/>
              <w:jc w:val="both"/>
              <w:rPr>
                <w:rFonts w:ascii="宋体" w:hAnsi="宋体" w:cs="宋体" w:eastAsia="宋体" w:hint="default"/>
                <w:sz w:val="18"/>
                <w:szCs w:val="18"/>
              </w:rPr>
            </w:pPr>
            <w:r>
              <w:rPr>
                <w:rFonts w:ascii="宋体" w:hAnsi="宋体" w:cs="宋体" w:eastAsia="宋体" w:hint="default"/>
                <w:sz w:val="18"/>
                <w:szCs w:val="18"/>
              </w:rPr>
              <w:t>冒 大 卫</w:t>
            </w:r>
          </w:p>
        </w:tc>
        <w:tc>
          <w:tcPr>
            <w:tcW w:w="7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316" w:lineRule="auto"/>
              <w:ind w:left="194" w:right="103" w:hanging="91"/>
              <w:jc w:val="left"/>
              <w:rPr>
                <w:rFonts w:ascii="宋体" w:hAnsi="宋体" w:cs="宋体" w:eastAsia="宋体" w:hint="default"/>
                <w:sz w:val="18"/>
                <w:szCs w:val="18"/>
              </w:rPr>
            </w:pPr>
            <w:r>
              <w:rPr>
                <w:rFonts w:ascii="宋体" w:hAnsi="宋体" w:cs="宋体" w:eastAsia="宋体" w:hint="default"/>
                <w:sz w:val="18"/>
                <w:szCs w:val="18"/>
              </w:rPr>
              <w:t>董事、 总裁</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316" w:lineRule="auto"/>
              <w:ind w:left="98" w:right="96"/>
              <w:jc w:val="left"/>
              <w:rPr>
                <w:rFonts w:ascii="宋体" w:hAnsi="宋体" w:cs="宋体" w:eastAsia="宋体" w:hint="default"/>
                <w:sz w:val="18"/>
                <w:szCs w:val="18"/>
              </w:rPr>
            </w:pPr>
            <w:r>
              <w:rPr>
                <w:rFonts w:ascii="宋体" w:hAnsi="宋体" w:cs="宋体" w:eastAsia="宋体" w:hint="default"/>
                <w:sz w:val="18"/>
                <w:szCs w:val="18"/>
              </w:rPr>
              <w:t>现 任</w:t>
            </w:r>
          </w:p>
        </w:tc>
        <w:tc>
          <w:tcPr>
            <w:tcW w:w="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7" w:right="0"/>
              <w:jc w:val="left"/>
              <w:rPr>
                <w:rFonts w:ascii="Times New Roman" w:hAnsi="Times New Roman" w:cs="Times New Roman" w:eastAsia="Times New Roman" w:hint="default"/>
                <w:sz w:val="18"/>
                <w:szCs w:val="18"/>
              </w:rPr>
            </w:pPr>
            <w:r>
              <w:rPr>
                <w:rFonts w:ascii="Times New Roman"/>
                <w:sz w:val="18"/>
              </w:rPr>
              <w:t>38</w:t>
            </w:r>
          </w:p>
        </w:tc>
        <w:tc>
          <w:tcPr>
            <w:tcW w:w="10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43"/>
              <w:jc w:val="right"/>
              <w:rPr>
                <w:rFonts w:ascii="Times New Roman" w:hAnsi="Times New Roman" w:cs="Times New Roman" w:eastAsia="Times New Roman" w:hint="default"/>
                <w:sz w:val="18"/>
                <w:szCs w:val="18"/>
              </w:rPr>
            </w:pPr>
            <w:r>
              <w:rPr>
                <w:rFonts w:ascii="Times New Roman"/>
                <w:sz w:val="18"/>
              </w:rPr>
              <w:t>2018-5-18</w:t>
            </w:r>
          </w:p>
        </w:tc>
        <w:tc>
          <w:tcPr>
            <w:tcW w:w="9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4"/>
              <w:jc w:val="right"/>
              <w:rPr>
                <w:rFonts w:ascii="Times New Roman" w:hAnsi="Times New Roman" w:cs="Times New Roman" w:eastAsia="Times New Roman" w:hint="default"/>
                <w:sz w:val="18"/>
                <w:szCs w:val="18"/>
              </w:rPr>
            </w:pPr>
            <w:r>
              <w:rPr>
                <w:rFonts w:ascii="Times New Roman"/>
                <w:sz w:val="18"/>
              </w:rPr>
              <w:t>2019-5-27</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7"/>
              <w:jc w:val="right"/>
              <w:rPr>
                <w:rFonts w:ascii="Times New Roman" w:hAnsi="Times New Roman" w:cs="Times New Roman" w:eastAsia="Times New Roman" w:hint="default"/>
                <w:sz w:val="18"/>
                <w:szCs w:val="18"/>
              </w:rPr>
            </w:pPr>
            <w:r>
              <w:rPr>
                <w:rFonts w:ascii="Times New Roman"/>
                <w:sz w:val="18"/>
              </w:rPr>
              <w:t>0</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4"/>
              <w:jc w:val="right"/>
              <w:rPr>
                <w:rFonts w:ascii="Times New Roman" w:hAnsi="Times New Roman" w:cs="Times New Roman" w:eastAsia="Times New Roman" w:hint="default"/>
                <w:sz w:val="18"/>
                <w:szCs w:val="18"/>
              </w:rPr>
            </w:pPr>
            <w:r>
              <w:rPr>
                <w:rFonts w:ascii="Times New Roman"/>
                <w:sz w:val="18"/>
              </w:rPr>
              <w:t>7,178,284</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7"/>
              <w:jc w:val="right"/>
              <w:rPr>
                <w:rFonts w:ascii="Times New Roman" w:hAnsi="Times New Roman" w:cs="Times New Roman" w:eastAsia="Times New Roman" w:hint="default"/>
                <w:sz w:val="18"/>
                <w:szCs w:val="18"/>
              </w:rPr>
            </w:pPr>
            <w:r>
              <w:rPr>
                <w:rFonts w:ascii="Times New Roman"/>
                <w:sz w:val="18"/>
              </w:rPr>
              <w:t>0</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6"/>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5"/>
              <w:jc w:val="right"/>
              <w:rPr>
                <w:rFonts w:ascii="Times New Roman" w:hAnsi="Times New Roman" w:cs="Times New Roman" w:eastAsia="Times New Roman" w:hint="default"/>
                <w:sz w:val="18"/>
                <w:szCs w:val="18"/>
              </w:rPr>
            </w:pPr>
            <w:r>
              <w:rPr>
                <w:rFonts w:ascii="Times New Roman"/>
                <w:sz w:val="18"/>
              </w:rPr>
              <w:t>7,178,284</w:t>
            </w:r>
          </w:p>
        </w:tc>
      </w:tr>
      <w:tr>
        <w:trPr>
          <w:trHeight w:val="956" w:hRule="exact"/>
        </w:trPr>
        <w:tc>
          <w:tcPr>
            <w:tcW w:w="43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19" w:lineRule="auto" w:before="10"/>
              <w:ind w:left="116" w:right="114"/>
              <w:jc w:val="both"/>
              <w:rPr>
                <w:rFonts w:ascii="宋体" w:hAnsi="宋体" w:cs="宋体" w:eastAsia="宋体" w:hint="default"/>
                <w:sz w:val="18"/>
                <w:szCs w:val="18"/>
              </w:rPr>
            </w:pPr>
            <w:r>
              <w:rPr>
                <w:rFonts w:ascii="宋体" w:hAnsi="宋体" w:cs="宋体" w:eastAsia="宋体" w:hint="default"/>
                <w:sz w:val="18"/>
                <w:szCs w:val="18"/>
              </w:rPr>
              <w:t>翟 一 兵</w:t>
            </w:r>
          </w:p>
        </w:tc>
        <w:tc>
          <w:tcPr>
            <w:tcW w:w="770" w:type="dxa"/>
            <w:tcBorders>
              <w:top w:val="single" w:sz="8" w:space="0" w:color="000000"/>
              <w:left w:val="single" w:sz="8" w:space="0" w:color="000000"/>
              <w:bottom w:val="single" w:sz="8" w:space="0" w:color="000000"/>
              <w:right w:val="single" w:sz="8" w:space="0" w:color="000000"/>
            </w:tcBorders>
          </w:tcPr>
          <w:p>
            <w:pPr>
              <w:pStyle w:val="TableParagraph"/>
              <w:spacing w:line="319" w:lineRule="auto" w:before="10"/>
              <w:ind w:left="104" w:right="105"/>
              <w:jc w:val="both"/>
              <w:rPr>
                <w:rFonts w:ascii="宋体" w:hAnsi="宋体" w:cs="宋体" w:eastAsia="宋体" w:hint="default"/>
                <w:sz w:val="18"/>
                <w:szCs w:val="18"/>
              </w:rPr>
            </w:pPr>
            <w:r>
              <w:rPr>
                <w:rFonts w:ascii="宋体" w:hAnsi="宋体" w:cs="宋体" w:eastAsia="宋体" w:hint="default"/>
                <w:sz w:val="18"/>
                <w:szCs w:val="18"/>
              </w:rPr>
              <w:t>董事、 首席运 营官</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316" w:lineRule="auto"/>
              <w:ind w:left="98" w:right="96"/>
              <w:jc w:val="left"/>
              <w:rPr>
                <w:rFonts w:ascii="宋体" w:hAnsi="宋体" w:cs="宋体" w:eastAsia="宋体" w:hint="default"/>
                <w:sz w:val="18"/>
                <w:szCs w:val="18"/>
              </w:rPr>
            </w:pPr>
            <w:r>
              <w:rPr>
                <w:rFonts w:ascii="宋体" w:hAnsi="宋体" w:cs="宋体" w:eastAsia="宋体" w:hint="default"/>
                <w:sz w:val="18"/>
                <w:szCs w:val="18"/>
              </w:rPr>
              <w:t>现 任</w:t>
            </w:r>
          </w:p>
        </w:tc>
        <w:tc>
          <w:tcPr>
            <w:tcW w:w="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7" w:right="0"/>
              <w:jc w:val="left"/>
              <w:rPr>
                <w:rFonts w:ascii="Times New Roman" w:hAnsi="Times New Roman" w:cs="Times New Roman" w:eastAsia="Times New Roman" w:hint="default"/>
                <w:sz w:val="18"/>
                <w:szCs w:val="18"/>
              </w:rPr>
            </w:pPr>
            <w:r>
              <w:rPr>
                <w:rFonts w:ascii="Times New Roman"/>
                <w:sz w:val="18"/>
              </w:rPr>
              <w:t>55</w:t>
            </w:r>
          </w:p>
        </w:tc>
        <w:tc>
          <w:tcPr>
            <w:tcW w:w="10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43"/>
              <w:jc w:val="right"/>
              <w:rPr>
                <w:rFonts w:ascii="Times New Roman" w:hAnsi="Times New Roman" w:cs="Times New Roman" w:eastAsia="Times New Roman" w:hint="default"/>
                <w:sz w:val="18"/>
                <w:szCs w:val="18"/>
              </w:rPr>
            </w:pPr>
            <w:r>
              <w:rPr>
                <w:rFonts w:ascii="Times New Roman"/>
                <w:sz w:val="18"/>
              </w:rPr>
              <w:t>2013-5-20</w:t>
            </w:r>
          </w:p>
        </w:tc>
        <w:tc>
          <w:tcPr>
            <w:tcW w:w="9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04"/>
              <w:jc w:val="right"/>
              <w:rPr>
                <w:rFonts w:ascii="Times New Roman" w:hAnsi="Times New Roman" w:cs="Times New Roman" w:eastAsia="Times New Roman" w:hint="default"/>
                <w:sz w:val="18"/>
                <w:szCs w:val="18"/>
              </w:rPr>
            </w:pPr>
            <w:r>
              <w:rPr>
                <w:rFonts w:ascii="Times New Roman"/>
                <w:sz w:val="18"/>
              </w:rPr>
              <w:t>2019-5-27</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6"/>
              <w:jc w:val="right"/>
              <w:rPr>
                <w:rFonts w:ascii="Times New Roman" w:hAnsi="Times New Roman" w:cs="Times New Roman" w:eastAsia="Times New Roman" w:hint="default"/>
                <w:sz w:val="18"/>
                <w:szCs w:val="18"/>
              </w:rPr>
            </w:pPr>
            <w:r>
              <w:rPr>
                <w:rFonts w:ascii="Times New Roman"/>
                <w:sz w:val="18"/>
              </w:rPr>
              <w:t>1,802,002</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5"/>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7"/>
              <w:jc w:val="right"/>
              <w:rPr>
                <w:rFonts w:ascii="Times New Roman" w:hAnsi="Times New Roman" w:cs="Times New Roman" w:eastAsia="Times New Roman" w:hint="default"/>
                <w:sz w:val="18"/>
                <w:szCs w:val="18"/>
              </w:rPr>
            </w:pPr>
            <w:r>
              <w:rPr>
                <w:rFonts w:ascii="Times New Roman"/>
                <w:sz w:val="18"/>
              </w:rPr>
              <w:t>0</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6"/>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5"/>
              <w:jc w:val="right"/>
              <w:rPr>
                <w:rFonts w:ascii="Times New Roman" w:hAnsi="Times New Roman" w:cs="Times New Roman" w:eastAsia="Times New Roman" w:hint="default"/>
                <w:sz w:val="18"/>
                <w:szCs w:val="18"/>
              </w:rPr>
            </w:pPr>
            <w:r>
              <w:rPr>
                <w:rFonts w:ascii="Times New Roman"/>
                <w:sz w:val="18"/>
              </w:rPr>
              <w:t>1,802,002</w:t>
            </w:r>
          </w:p>
        </w:tc>
      </w:tr>
      <w:tr>
        <w:trPr>
          <w:trHeight w:val="956" w:hRule="exact"/>
        </w:trPr>
        <w:tc>
          <w:tcPr>
            <w:tcW w:w="43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16" w:lineRule="auto" w:before="11"/>
              <w:ind w:left="116" w:right="114"/>
              <w:jc w:val="both"/>
              <w:rPr>
                <w:rFonts w:ascii="宋体" w:hAnsi="宋体" w:cs="宋体" w:eastAsia="宋体" w:hint="default"/>
                <w:sz w:val="18"/>
                <w:szCs w:val="18"/>
              </w:rPr>
            </w:pPr>
            <w:r>
              <w:rPr>
                <w:rFonts w:ascii="宋体" w:hAnsi="宋体" w:cs="宋体" w:eastAsia="宋体" w:hint="default"/>
                <w:sz w:val="18"/>
                <w:szCs w:val="18"/>
              </w:rPr>
              <w:t>徐 斯 平</w:t>
            </w:r>
          </w:p>
        </w:tc>
        <w:tc>
          <w:tcPr>
            <w:tcW w:w="7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316" w:lineRule="auto"/>
              <w:ind w:left="98" w:right="96"/>
              <w:jc w:val="left"/>
              <w:rPr>
                <w:rFonts w:ascii="宋体" w:hAnsi="宋体" w:cs="宋体" w:eastAsia="宋体" w:hint="default"/>
                <w:sz w:val="18"/>
                <w:szCs w:val="18"/>
              </w:rPr>
            </w:pPr>
            <w:r>
              <w:rPr>
                <w:rFonts w:ascii="宋体" w:hAnsi="宋体" w:cs="宋体" w:eastAsia="宋体" w:hint="default"/>
                <w:sz w:val="18"/>
                <w:szCs w:val="18"/>
              </w:rPr>
              <w:t>现 任</w:t>
            </w:r>
          </w:p>
        </w:tc>
        <w:tc>
          <w:tcPr>
            <w:tcW w:w="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7" w:right="0"/>
              <w:jc w:val="left"/>
              <w:rPr>
                <w:rFonts w:ascii="Times New Roman" w:hAnsi="Times New Roman" w:cs="Times New Roman" w:eastAsia="Times New Roman" w:hint="default"/>
                <w:sz w:val="18"/>
                <w:szCs w:val="18"/>
              </w:rPr>
            </w:pPr>
            <w:r>
              <w:rPr>
                <w:rFonts w:ascii="Times New Roman"/>
                <w:sz w:val="18"/>
              </w:rPr>
              <w:t>61</w:t>
            </w:r>
          </w:p>
        </w:tc>
        <w:tc>
          <w:tcPr>
            <w:tcW w:w="10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86"/>
              <w:jc w:val="right"/>
              <w:rPr>
                <w:rFonts w:ascii="Times New Roman" w:hAnsi="Times New Roman" w:cs="Times New Roman" w:eastAsia="Times New Roman" w:hint="default"/>
                <w:sz w:val="18"/>
                <w:szCs w:val="18"/>
              </w:rPr>
            </w:pPr>
            <w:r>
              <w:rPr>
                <w:rFonts w:ascii="Times New Roman"/>
                <w:sz w:val="18"/>
              </w:rPr>
              <w:t>2007-7-2</w:t>
            </w:r>
          </w:p>
        </w:tc>
        <w:tc>
          <w:tcPr>
            <w:tcW w:w="9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4"/>
              <w:jc w:val="right"/>
              <w:rPr>
                <w:rFonts w:ascii="Times New Roman" w:hAnsi="Times New Roman" w:cs="Times New Roman" w:eastAsia="Times New Roman" w:hint="default"/>
                <w:sz w:val="18"/>
                <w:szCs w:val="18"/>
              </w:rPr>
            </w:pPr>
            <w:r>
              <w:rPr>
                <w:rFonts w:ascii="Times New Roman"/>
                <w:sz w:val="18"/>
              </w:rPr>
              <w:t>2019-5-27</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6"/>
              <w:jc w:val="right"/>
              <w:rPr>
                <w:rFonts w:ascii="Times New Roman" w:hAnsi="Times New Roman" w:cs="Times New Roman" w:eastAsia="Times New Roman" w:hint="default"/>
                <w:sz w:val="18"/>
                <w:szCs w:val="18"/>
              </w:rPr>
            </w:pPr>
            <w:r>
              <w:rPr>
                <w:rFonts w:ascii="Times New Roman"/>
                <w:sz w:val="18"/>
              </w:rPr>
              <w:t>58,307,149</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5"/>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7"/>
              <w:jc w:val="right"/>
              <w:rPr>
                <w:rFonts w:ascii="Times New Roman" w:hAnsi="Times New Roman" w:cs="Times New Roman" w:eastAsia="Times New Roman" w:hint="default"/>
                <w:sz w:val="18"/>
                <w:szCs w:val="18"/>
              </w:rPr>
            </w:pPr>
            <w:r>
              <w:rPr>
                <w:rFonts w:ascii="Times New Roman"/>
                <w:sz w:val="18"/>
              </w:rPr>
              <w:t>0</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6"/>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5"/>
              <w:jc w:val="right"/>
              <w:rPr>
                <w:rFonts w:ascii="Times New Roman" w:hAnsi="Times New Roman" w:cs="Times New Roman" w:eastAsia="Times New Roman" w:hint="default"/>
                <w:sz w:val="18"/>
                <w:szCs w:val="18"/>
              </w:rPr>
            </w:pPr>
            <w:r>
              <w:rPr>
                <w:rFonts w:ascii="Times New Roman"/>
                <w:sz w:val="18"/>
              </w:rPr>
              <w:t>58,307,149</w:t>
            </w:r>
          </w:p>
        </w:tc>
      </w:tr>
      <w:tr>
        <w:trPr>
          <w:trHeight w:val="956" w:hRule="exact"/>
        </w:trPr>
        <w:tc>
          <w:tcPr>
            <w:tcW w:w="43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16" w:lineRule="auto" w:before="11"/>
              <w:ind w:left="116" w:right="114"/>
              <w:jc w:val="both"/>
              <w:rPr>
                <w:rFonts w:ascii="宋体" w:hAnsi="宋体" w:cs="宋体" w:eastAsia="宋体" w:hint="default"/>
                <w:sz w:val="18"/>
                <w:szCs w:val="18"/>
              </w:rPr>
            </w:pPr>
            <w:r>
              <w:rPr>
                <w:rFonts w:ascii="宋体" w:hAnsi="宋体" w:cs="宋体" w:eastAsia="宋体" w:hint="default"/>
                <w:sz w:val="18"/>
                <w:szCs w:val="18"/>
              </w:rPr>
              <w:t>杨 凯 程</w:t>
            </w:r>
          </w:p>
        </w:tc>
        <w:tc>
          <w:tcPr>
            <w:tcW w:w="7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316" w:lineRule="auto"/>
              <w:ind w:left="104" w:right="105"/>
              <w:jc w:val="left"/>
              <w:rPr>
                <w:rFonts w:ascii="宋体" w:hAnsi="宋体" w:cs="宋体" w:eastAsia="宋体" w:hint="default"/>
                <w:sz w:val="18"/>
                <w:szCs w:val="18"/>
              </w:rPr>
            </w:pPr>
            <w:r>
              <w:rPr>
                <w:rFonts w:ascii="宋体" w:hAnsi="宋体" w:cs="宋体" w:eastAsia="宋体" w:hint="default"/>
                <w:sz w:val="18"/>
                <w:szCs w:val="18"/>
              </w:rPr>
              <w:t>董事、 副总裁</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316" w:lineRule="auto"/>
              <w:ind w:left="98" w:right="96"/>
              <w:jc w:val="left"/>
              <w:rPr>
                <w:rFonts w:ascii="宋体" w:hAnsi="宋体" w:cs="宋体" w:eastAsia="宋体" w:hint="default"/>
                <w:sz w:val="18"/>
                <w:szCs w:val="18"/>
              </w:rPr>
            </w:pPr>
            <w:r>
              <w:rPr>
                <w:rFonts w:ascii="宋体" w:hAnsi="宋体" w:cs="宋体" w:eastAsia="宋体" w:hint="default"/>
                <w:sz w:val="18"/>
                <w:szCs w:val="18"/>
              </w:rPr>
              <w:t>现 任</w:t>
            </w:r>
          </w:p>
        </w:tc>
        <w:tc>
          <w:tcPr>
            <w:tcW w:w="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7" w:right="0"/>
              <w:jc w:val="left"/>
              <w:rPr>
                <w:rFonts w:ascii="Times New Roman" w:hAnsi="Times New Roman" w:cs="Times New Roman" w:eastAsia="Times New Roman" w:hint="default"/>
                <w:sz w:val="18"/>
                <w:szCs w:val="18"/>
              </w:rPr>
            </w:pPr>
            <w:r>
              <w:rPr>
                <w:rFonts w:ascii="Times New Roman"/>
                <w:sz w:val="18"/>
              </w:rPr>
              <w:t>51</w:t>
            </w:r>
          </w:p>
        </w:tc>
        <w:tc>
          <w:tcPr>
            <w:tcW w:w="10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6"/>
              <w:jc w:val="right"/>
              <w:rPr>
                <w:rFonts w:ascii="Times New Roman" w:hAnsi="Times New Roman" w:cs="Times New Roman" w:eastAsia="Times New Roman" w:hint="default"/>
                <w:sz w:val="18"/>
                <w:szCs w:val="18"/>
              </w:rPr>
            </w:pPr>
            <w:r>
              <w:rPr>
                <w:rFonts w:ascii="Times New Roman"/>
                <w:sz w:val="18"/>
              </w:rPr>
              <w:t>2016-11-15</w:t>
            </w:r>
          </w:p>
        </w:tc>
        <w:tc>
          <w:tcPr>
            <w:tcW w:w="9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4"/>
              <w:jc w:val="right"/>
              <w:rPr>
                <w:rFonts w:ascii="Times New Roman" w:hAnsi="Times New Roman" w:cs="Times New Roman" w:eastAsia="Times New Roman" w:hint="default"/>
                <w:sz w:val="18"/>
                <w:szCs w:val="18"/>
              </w:rPr>
            </w:pPr>
            <w:r>
              <w:rPr>
                <w:rFonts w:ascii="Times New Roman"/>
                <w:sz w:val="18"/>
              </w:rPr>
              <w:t>2019-5-27</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6"/>
              <w:jc w:val="right"/>
              <w:rPr>
                <w:rFonts w:ascii="Times New Roman" w:hAnsi="Times New Roman" w:cs="Times New Roman" w:eastAsia="Times New Roman" w:hint="default"/>
                <w:sz w:val="18"/>
                <w:szCs w:val="18"/>
              </w:rPr>
            </w:pPr>
            <w:r>
              <w:rPr>
                <w:rFonts w:ascii="Times New Roman"/>
                <w:sz w:val="18"/>
              </w:rPr>
              <w:t>10,517,063</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5"/>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7"/>
              <w:jc w:val="right"/>
              <w:rPr>
                <w:rFonts w:ascii="Times New Roman" w:hAnsi="Times New Roman" w:cs="Times New Roman" w:eastAsia="Times New Roman" w:hint="default"/>
                <w:sz w:val="18"/>
                <w:szCs w:val="18"/>
              </w:rPr>
            </w:pPr>
            <w:r>
              <w:rPr>
                <w:rFonts w:ascii="Times New Roman"/>
                <w:sz w:val="18"/>
              </w:rPr>
              <w:t>0</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6"/>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5"/>
              <w:jc w:val="right"/>
              <w:rPr>
                <w:rFonts w:ascii="Times New Roman" w:hAnsi="Times New Roman" w:cs="Times New Roman" w:eastAsia="Times New Roman" w:hint="default"/>
                <w:sz w:val="18"/>
                <w:szCs w:val="18"/>
              </w:rPr>
            </w:pPr>
            <w:r>
              <w:rPr>
                <w:rFonts w:ascii="Times New Roman"/>
                <w:sz w:val="18"/>
              </w:rPr>
              <w:t>10,517,063</w:t>
            </w:r>
          </w:p>
        </w:tc>
      </w:tr>
      <w:tr>
        <w:trPr>
          <w:trHeight w:val="643" w:hRule="exact"/>
        </w:trPr>
        <w:tc>
          <w:tcPr>
            <w:tcW w:w="43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16" w:lineRule="auto" w:before="10"/>
              <w:ind w:left="116" w:right="114"/>
              <w:jc w:val="left"/>
              <w:rPr>
                <w:rFonts w:ascii="宋体" w:hAnsi="宋体" w:cs="宋体" w:eastAsia="宋体" w:hint="default"/>
                <w:sz w:val="18"/>
                <w:szCs w:val="18"/>
              </w:rPr>
            </w:pPr>
            <w:r>
              <w:rPr>
                <w:rFonts w:ascii="宋体" w:hAnsi="宋体" w:cs="宋体" w:eastAsia="宋体" w:hint="default"/>
                <w:sz w:val="18"/>
                <w:szCs w:val="18"/>
              </w:rPr>
              <w:t>汪 铖</w:t>
            </w:r>
          </w:p>
        </w:tc>
        <w:tc>
          <w:tcPr>
            <w:tcW w:w="7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0"/>
              <w:ind w:left="98" w:right="96"/>
              <w:jc w:val="left"/>
              <w:rPr>
                <w:rFonts w:ascii="宋体" w:hAnsi="宋体" w:cs="宋体" w:eastAsia="宋体" w:hint="default"/>
                <w:sz w:val="18"/>
                <w:szCs w:val="18"/>
              </w:rPr>
            </w:pPr>
            <w:r>
              <w:rPr>
                <w:rFonts w:ascii="宋体" w:hAnsi="宋体" w:cs="宋体" w:eastAsia="宋体" w:hint="default"/>
                <w:sz w:val="18"/>
                <w:szCs w:val="18"/>
              </w:rPr>
              <w:t>离 任</w:t>
            </w:r>
          </w:p>
        </w:tc>
        <w:tc>
          <w:tcPr>
            <w:tcW w:w="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45</w:t>
            </w:r>
          </w:p>
        </w:tc>
        <w:tc>
          <w:tcPr>
            <w:tcW w:w="10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2014-12-26</w:t>
            </w:r>
          </w:p>
        </w:tc>
        <w:tc>
          <w:tcPr>
            <w:tcW w:w="9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2018-3-20</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42,792,265</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0</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95"/>
                <w:sz w:val="18"/>
              </w:rPr>
              <w:t>-14,192,265</w:t>
            </w:r>
            <w:r>
              <w:rPr>
                <w:rFonts w:ascii="Times New Roman"/>
                <w:sz w:val="18"/>
              </w:rPr>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z w:val="18"/>
              </w:rPr>
              <w:t>28,600,000</w:t>
            </w:r>
          </w:p>
        </w:tc>
      </w:tr>
      <w:tr>
        <w:trPr>
          <w:trHeight w:val="956" w:hRule="exact"/>
        </w:trPr>
        <w:tc>
          <w:tcPr>
            <w:tcW w:w="43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16" w:lineRule="auto" w:before="11"/>
              <w:ind w:left="116" w:right="114"/>
              <w:jc w:val="both"/>
              <w:rPr>
                <w:rFonts w:ascii="宋体" w:hAnsi="宋体" w:cs="宋体" w:eastAsia="宋体" w:hint="default"/>
                <w:sz w:val="18"/>
                <w:szCs w:val="18"/>
              </w:rPr>
            </w:pPr>
            <w:r>
              <w:rPr>
                <w:rFonts w:ascii="宋体" w:hAnsi="宋体" w:cs="宋体" w:eastAsia="宋体" w:hint="default"/>
                <w:sz w:val="18"/>
                <w:szCs w:val="18"/>
              </w:rPr>
              <w:t>罗 建 北</w:t>
            </w:r>
          </w:p>
        </w:tc>
        <w:tc>
          <w:tcPr>
            <w:tcW w:w="7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316" w:lineRule="auto"/>
              <w:ind w:left="284" w:right="105" w:hanging="181"/>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316" w:lineRule="auto"/>
              <w:ind w:left="98" w:right="96"/>
              <w:jc w:val="left"/>
              <w:rPr>
                <w:rFonts w:ascii="宋体" w:hAnsi="宋体" w:cs="宋体" w:eastAsia="宋体" w:hint="default"/>
                <w:sz w:val="18"/>
                <w:szCs w:val="18"/>
              </w:rPr>
            </w:pPr>
            <w:r>
              <w:rPr>
                <w:rFonts w:ascii="宋体" w:hAnsi="宋体" w:cs="宋体" w:eastAsia="宋体" w:hint="default"/>
                <w:sz w:val="18"/>
                <w:szCs w:val="18"/>
              </w:rPr>
              <w:t>现 任</w:t>
            </w:r>
          </w:p>
        </w:tc>
        <w:tc>
          <w:tcPr>
            <w:tcW w:w="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7" w:right="0"/>
              <w:jc w:val="left"/>
              <w:rPr>
                <w:rFonts w:ascii="Times New Roman" w:hAnsi="Times New Roman" w:cs="Times New Roman" w:eastAsia="Times New Roman" w:hint="default"/>
                <w:sz w:val="18"/>
                <w:szCs w:val="18"/>
              </w:rPr>
            </w:pPr>
            <w:r>
              <w:rPr>
                <w:rFonts w:ascii="Times New Roman"/>
                <w:sz w:val="18"/>
              </w:rPr>
              <w:t>73</w:t>
            </w:r>
          </w:p>
        </w:tc>
        <w:tc>
          <w:tcPr>
            <w:tcW w:w="10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43"/>
              <w:jc w:val="right"/>
              <w:rPr>
                <w:rFonts w:ascii="Times New Roman" w:hAnsi="Times New Roman" w:cs="Times New Roman" w:eastAsia="Times New Roman" w:hint="default"/>
                <w:sz w:val="18"/>
                <w:szCs w:val="18"/>
              </w:rPr>
            </w:pPr>
            <w:r>
              <w:rPr>
                <w:rFonts w:ascii="Times New Roman"/>
                <w:sz w:val="18"/>
              </w:rPr>
              <w:t>2014-6-27</w:t>
            </w:r>
          </w:p>
        </w:tc>
        <w:tc>
          <w:tcPr>
            <w:tcW w:w="9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4"/>
              <w:jc w:val="right"/>
              <w:rPr>
                <w:rFonts w:ascii="Times New Roman" w:hAnsi="Times New Roman" w:cs="Times New Roman" w:eastAsia="Times New Roman" w:hint="default"/>
                <w:sz w:val="18"/>
                <w:szCs w:val="18"/>
              </w:rPr>
            </w:pPr>
            <w:r>
              <w:rPr>
                <w:rFonts w:ascii="Times New Roman"/>
                <w:sz w:val="18"/>
              </w:rPr>
              <w:t>2019-5-27</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7"/>
              <w:jc w:val="right"/>
              <w:rPr>
                <w:rFonts w:ascii="Times New Roman" w:hAnsi="Times New Roman" w:cs="Times New Roman" w:eastAsia="Times New Roman" w:hint="default"/>
                <w:sz w:val="18"/>
                <w:szCs w:val="18"/>
              </w:rPr>
            </w:pPr>
            <w:r>
              <w:rPr>
                <w:rFonts w:ascii="Times New Roman"/>
                <w:sz w:val="18"/>
              </w:rPr>
              <w:t>0</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5"/>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7"/>
              <w:jc w:val="right"/>
              <w:rPr>
                <w:rFonts w:ascii="Times New Roman" w:hAnsi="Times New Roman" w:cs="Times New Roman" w:eastAsia="Times New Roman" w:hint="default"/>
                <w:sz w:val="18"/>
                <w:szCs w:val="18"/>
              </w:rPr>
            </w:pPr>
            <w:r>
              <w:rPr>
                <w:rFonts w:ascii="Times New Roman"/>
                <w:sz w:val="18"/>
              </w:rPr>
              <w:t>0</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6"/>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6"/>
              <w:jc w:val="right"/>
              <w:rPr>
                <w:rFonts w:ascii="Times New Roman" w:hAnsi="Times New Roman" w:cs="Times New Roman" w:eastAsia="Times New Roman" w:hint="default"/>
                <w:sz w:val="18"/>
                <w:szCs w:val="18"/>
              </w:rPr>
            </w:pPr>
            <w:r>
              <w:rPr>
                <w:rFonts w:ascii="Times New Roman"/>
                <w:sz w:val="18"/>
              </w:rPr>
              <w:t>0</w:t>
            </w:r>
          </w:p>
        </w:tc>
      </w:tr>
      <w:tr>
        <w:trPr>
          <w:trHeight w:val="956" w:hRule="exact"/>
        </w:trPr>
        <w:tc>
          <w:tcPr>
            <w:tcW w:w="43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16" w:lineRule="auto" w:before="11"/>
              <w:ind w:left="116" w:right="114"/>
              <w:jc w:val="both"/>
              <w:rPr>
                <w:rFonts w:ascii="宋体" w:hAnsi="宋体" w:cs="宋体" w:eastAsia="宋体" w:hint="default"/>
                <w:sz w:val="18"/>
                <w:szCs w:val="18"/>
              </w:rPr>
            </w:pPr>
            <w:r>
              <w:rPr>
                <w:rFonts w:ascii="宋体" w:hAnsi="宋体" w:cs="宋体" w:eastAsia="宋体" w:hint="default"/>
                <w:sz w:val="18"/>
                <w:szCs w:val="18"/>
              </w:rPr>
              <w:t>刘 铁 民</w:t>
            </w:r>
          </w:p>
        </w:tc>
        <w:tc>
          <w:tcPr>
            <w:tcW w:w="7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316" w:lineRule="auto"/>
              <w:ind w:left="284" w:right="105" w:hanging="181"/>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316" w:lineRule="auto"/>
              <w:ind w:left="98" w:right="96"/>
              <w:jc w:val="left"/>
              <w:rPr>
                <w:rFonts w:ascii="宋体" w:hAnsi="宋体" w:cs="宋体" w:eastAsia="宋体" w:hint="default"/>
                <w:sz w:val="18"/>
                <w:szCs w:val="18"/>
              </w:rPr>
            </w:pPr>
            <w:r>
              <w:rPr>
                <w:rFonts w:ascii="宋体" w:hAnsi="宋体" w:cs="宋体" w:eastAsia="宋体" w:hint="default"/>
                <w:sz w:val="18"/>
                <w:szCs w:val="18"/>
              </w:rPr>
              <w:t>现 任</w:t>
            </w:r>
          </w:p>
        </w:tc>
        <w:tc>
          <w:tcPr>
            <w:tcW w:w="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7" w:right="0"/>
              <w:jc w:val="left"/>
              <w:rPr>
                <w:rFonts w:ascii="Times New Roman" w:hAnsi="Times New Roman" w:cs="Times New Roman" w:eastAsia="Times New Roman" w:hint="default"/>
                <w:sz w:val="18"/>
                <w:szCs w:val="18"/>
              </w:rPr>
            </w:pPr>
            <w:r>
              <w:rPr>
                <w:rFonts w:ascii="Times New Roman"/>
                <w:sz w:val="18"/>
              </w:rPr>
              <w:t>69</w:t>
            </w:r>
          </w:p>
        </w:tc>
        <w:tc>
          <w:tcPr>
            <w:tcW w:w="10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43"/>
              <w:jc w:val="right"/>
              <w:rPr>
                <w:rFonts w:ascii="Times New Roman" w:hAnsi="Times New Roman" w:cs="Times New Roman" w:eastAsia="Times New Roman" w:hint="default"/>
                <w:sz w:val="18"/>
                <w:szCs w:val="18"/>
              </w:rPr>
            </w:pPr>
            <w:r>
              <w:rPr>
                <w:rFonts w:ascii="Times New Roman"/>
                <w:sz w:val="18"/>
              </w:rPr>
              <w:t>2016-5-27</w:t>
            </w:r>
          </w:p>
        </w:tc>
        <w:tc>
          <w:tcPr>
            <w:tcW w:w="9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4"/>
              <w:jc w:val="right"/>
              <w:rPr>
                <w:rFonts w:ascii="Times New Roman" w:hAnsi="Times New Roman" w:cs="Times New Roman" w:eastAsia="Times New Roman" w:hint="default"/>
                <w:sz w:val="18"/>
                <w:szCs w:val="18"/>
              </w:rPr>
            </w:pPr>
            <w:r>
              <w:rPr>
                <w:rFonts w:ascii="Times New Roman"/>
                <w:sz w:val="18"/>
              </w:rPr>
              <w:t>2019-5-27</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7"/>
              <w:jc w:val="right"/>
              <w:rPr>
                <w:rFonts w:ascii="Times New Roman" w:hAnsi="Times New Roman" w:cs="Times New Roman" w:eastAsia="Times New Roman" w:hint="default"/>
                <w:sz w:val="18"/>
                <w:szCs w:val="18"/>
              </w:rPr>
            </w:pPr>
            <w:r>
              <w:rPr>
                <w:rFonts w:ascii="Times New Roman"/>
                <w:sz w:val="18"/>
              </w:rPr>
              <w:t>0</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5"/>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7"/>
              <w:jc w:val="right"/>
              <w:rPr>
                <w:rFonts w:ascii="Times New Roman" w:hAnsi="Times New Roman" w:cs="Times New Roman" w:eastAsia="Times New Roman" w:hint="default"/>
                <w:sz w:val="18"/>
                <w:szCs w:val="18"/>
              </w:rPr>
            </w:pPr>
            <w:r>
              <w:rPr>
                <w:rFonts w:ascii="Times New Roman"/>
                <w:sz w:val="18"/>
              </w:rPr>
              <w:t>0</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6"/>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6"/>
              <w:jc w:val="right"/>
              <w:rPr>
                <w:rFonts w:ascii="Times New Roman" w:hAnsi="Times New Roman" w:cs="Times New Roman" w:eastAsia="Times New Roman" w:hint="default"/>
                <w:sz w:val="18"/>
                <w:szCs w:val="18"/>
              </w:rPr>
            </w:pPr>
            <w:r>
              <w:rPr>
                <w:rFonts w:ascii="Times New Roman"/>
                <w:sz w:val="18"/>
              </w:rPr>
              <w:t>0</w:t>
            </w:r>
          </w:p>
        </w:tc>
      </w:tr>
      <w:tr>
        <w:trPr>
          <w:trHeight w:val="955" w:hRule="exact"/>
        </w:trPr>
        <w:tc>
          <w:tcPr>
            <w:tcW w:w="43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16" w:lineRule="auto" w:before="10"/>
              <w:ind w:left="116" w:right="114"/>
              <w:jc w:val="both"/>
              <w:rPr>
                <w:rFonts w:ascii="宋体" w:hAnsi="宋体" w:cs="宋体" w:eastAsia="宋体" w:hint="default"/>
                <w:sz w:val="18"/>
                <w:szCs w:val="18"/>
              </w:rPr>
            </w:pPr>
            <w:r>
              <w:rPr>
                <w:rFonts w:ascii="宋体" w:hAnsi="宋体" w:cs="宋体" w:eastAsia="宋体" w:hint="default"/>
                <w:sz w:val="18"/>
                <w:szCs w:val="18"/>
              </w:rPr>
              <w:t>王 雪 春</w:t>
            </w:r>
          </w:p>
        </w:tc>
        <w:tc>
          <w:tcPr>
            <w:tcW w:w="7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316" w:lineRule="auto"/>
              <w:ind w:left="284" w:right="105" w:hanging="181"/>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316" w:lineRule="auto"/>
              <w:ind w:left="98" w:right="96"/>
              <w:jc w:val="left"/>
              <w:rPr>
                <w:rFonts w:ascii="宋体" w:hAnsi="宋体" w:cs="宋体" w:eastAsia="宋体" w:hint="default"/>
                <w:sz w:val="18"/>
                <w:szCs w:val="18"/>
              </w:rPr>
            </w:pPr>
            <w:r>
              <w:rPr>
                <w:rFonts w:ascii="宋体" w:hAnsi="宋体" w:cs="宋体" w:eastAsia="宋体" w:hint="default"/>
                <w:sz w:val="18"/>
                <w:szCs w:val="18"/>
              </w:rPr>
              <w:t>现 任</w:t>
            </w:r>
          </w:p>
        </w:tc>
        <w:tc>
          <w:tcPr>
            <w:tcW w:w="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7" w:right="0"/>
              <w:jc w:val="left"/>
              <w:rPr>
                <w:rFonts w:ascii="Times New Roman" w:hAnsi="Times New Roman" w:cs="Times New Roman" w:eastAsia="Times New Roman" w:hint="default"/>
                <w:sz w:val="18"/>
                <w:szCs w:val="18"/>
              </w:rPr>
            </w:pPr>
            <w:r>
              <w:rPr>
                <w:rFonts w:ascii="Times New Roman"/>
                <w:sz w:val="18"/>
              </w:rPr>
              <w:t>53</w:t>
            </w:r>
          </w:p>
        </w:tc>
        <w:tc>
          <w:tcPr>
            <w:tcW w:w="10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43"/>
              <w:jc w:val="right"/>
              <w:rPr>
                <w:rFonts w:ascii="Times New Roman" w:hAnsi="Times New Roman" w:cs="Times New Roman" w:eastAsia="Times New Roman" w:hint="default"/>
                <w:sz w:val="18"/>
                <w:szCs w:val="18"/>
              </w:rPr>
            </w:pPr>
            <w:r>
              <w:rPr>
                <w:rFonts w:ascii="Times New Roman"/>
                <w:sz w:val="18"/>
              </w:rPr>
              <w:t>2016-5-27</w:t>
            </w:r>
          </w:p>
        </w:tc>
        <w:tc>
          <w:tcPr>
            <w:tcW w:w="9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04"/>
              <w:jc w:val="right"/>
              <w:rPr>
                <w:rFonts w:ascii="Times New Roman" w:hAnsi="Times New Roman" w:cs="Times New Roman" w:eastAsia="Times New Roman" w:hint="default"/>
                <w:sz w:val="18"/>
                <w:szCs w:val="18"/>
              </w:rPr>
            </w:pPr>
            <w:r>
              <w:rPr>
                <w:rFonts w:ascii="Times New Roman"/>
                <w:sz w:val="18"/>
              </w:rPr>
              <w:t>2019-5-27</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7"/>
              <w:jc w:val="right"/>
              <w:rPr>
                <w:rFonts w:ascii="Times New Roman" w:hAnsi="Times New Roman" w:cs="Times New Roman" w:eastAsia="Times New Roman" w:hint="default"/>
                <w:sz w:val="18"/>
                <w:szCs w:val="18"/>
              </w:rPr>
            </w:pPr>
            <w:r>
              <w:rPr>
                <w:rFonts w:ascii="Times New Roman"/>
                <w:sz w:val="18"/>
              </w:rPr>
              <w:t>0</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5"/>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7"/>
              <w:jc w:val="right"/>
              <w:rPr>
                <w:rFonts w:ascii="Times New Roman" w:hAnsi="Times New Roman" w:cs="Times New Roman" w:eastAsia="Times New Roman" w:hint="default"/>
                <w:sz w:val="18"/>
                <w:szCs w:val="18"/>
              </w:rPr>
            </w:pPr>
            <w:r>
              <w:rPr>
                <w:rFonts w:ascii="Times New Roman"/>
                <w:sz w:val="18"/>
              </w:rPr>
              <w:t>0</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6"/>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6"/>
              <w:jc w:val="right"/>
              <w:rPr>
                <w:rFonts w:ascii="Times New Roman" w:hAnsi="Times New Roman" w:cs="Times New Roman" w:eastAsia="Times New Roman" w:hint="default"/>
                <w:sz w:val="18"/>
                <w:szCs w:val="18"/>
              </w:rPr>
            </w:pPr>
            <w:r>
              <w:rPr>
                <w:rFonts w:ascii="Times New Roman"/>
                <w:sz w:val="18"/>
              </w:rPr>
              <w:t>0</w:t>
            </w:r>
          </w:p>
        </w:tc>
      </w:tr>
      <w:tr>
        <w:trPr>
          <w:trHeight w:val="831" w:hRule="exact"/>
        </w:trPr>
        <w:tc>
          <w:tcPr>
            <w:tcW w:w="43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16" w:lineRule="auto" w:before="105"/>
              <w:ind w:left="116" w:right="114"/>
              <w:jc w:val="left"/>
              <w:rPr>
                <w:rFonts w:ascii="宋体" w:hAnsi="宋体" w:cs="宋体" w:eastAsia="宋体" w:hint="default"/>
                <w:sz w:val="18"/>
                <w:szCs w:val="18"/>
              </w:rPr>
            </w:pPr>
            <w:r>
              <w:rPr>
                <w:rFonts w:ascii="宋体" w:hAnsi="宋体" w:cs="宋体" w:eastAsia="宋体" w:hint="default"/>
                <w:sz w:val="18"/>
                <w:szCs w:val="18"/>
              </w:rPr>
              <w:t>沈 阳</w:t>
            </w:r>
          </w:p>
        </w:tc>
        <w:tc>
          <w:tcPr>
            <w:tcW w:w="770"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05"/>
              <w:ind w:left="284" w:right="105" w:hanging="181"/>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05"/>
              <w:ind w:left="98" w:right="96"/>
              <w:jc w:val="left"/>
              <w:rPr>
                <w:rFonts w:ascii="宋体" w:hAnsi="宋体" w:cs="宋体" w:eastAsia="宋体" w:hint="default"/>
                <w:sz w:val="18"/>
                <w:szCs w:val="18"/>
              </w:rPr>
            </w:pPr>
            <w:r>
              <w:rPr>
                <w:rFonts w:ascii="宋体" w:hAnsi="宋体" w:cs="宋体" w:eastAsia="宋体" w:hint="default"/>
                <w:sz w:val="18"/>
                <w:szCs w:val="18"/>
              </w:rPr>
              <w:t>现 任</w:t>
            </w:r>
          </w:p>
        </w:tc>
        <w:tc>
          <w:tcPr>
            <w:tcW w:w="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23"/>
                <w:szCs w:val="23"/>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44</w:t>
            </w:r>
          </w:p>
        </w:tc>
        <w:tc>
          <w:tcPr>
            <w:tcW w:w="10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23"/>
                <w:szCs w:val="23"/>
              </w:rPr>
            </w:pPr>
          </w:p>
          <w:p>
            <w:pPr>
              <w:pStyle w:val="TableParagraph"/>
              <w:spacing w:line="240" w:lineRule="auto"/>
              <w:ind w:right="143"/>
              <w:jc w:val="right"/>
              <w:rPr>
                <w:rFonts w:ascii="Times New Roman" w:hAnsi="Times New Roman" w:cs="Times New Roman" w:eastAsia="Times New Roman" w:hint="default"/>
                <w:sz w:val="18"/>
                <w:szCs w:val="18"/>
              </w:rPr>
            </w:pPr>
            <w:r>
              <w:rPr>
                <w:rFonts w:ascii="Times New Roman"/>
                <w:sz w:val="18"/>
              </w:rPr>
              <w:t>2016-5-27</w:t>
            </w:r>
          </w:p>
        </w:tc>
        <w:tc>
          <w:tcPr>
            <w:tcW w:w="9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23"/>
                <w:szCs w:val="23"/>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2019-5-27</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23"/>
                <w:szCs w:val="23"/>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0</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23"/>
                <w:szCs w:val="2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23"/>
                <w:szCs w:val="23"/>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0</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23"/>
                <w:szCs w:val="23"/>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23"/>
                <w:szCs w:val="23"/>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900" w:right="0"/>
        </w:sectPr>
      </w:pPr>
    </w:p>
    <w:tbl>
      <w:tblPr>
        <w:tblW w:w="0" w:type="auto"/>
        <w:jc w:val="left"/>
        <w:tblInd w:w="116" w:type="dxa"/>
        <w:tblLayout w:type="fixed"/>
        <w:tblCellMar>
          <w:top w:w="0" w:type="dxa"/>
          <w:left w:w="0" w:type="dxa"/>
          <w:bottom w:w="0" w:type="dxa"/>
          <w:right w:w="0" w:type="dxa"/>
        </w:tblCellMar>
        <w:tblLook w:val="01E0"/>
      </w:tblPr>
      <w:tblGrid>
        <w:gridCol w:w="432"/>
        <w:gridCol w:w="770"/>
        <w:gridCol w:w="396"/>
        <w:gridCol w:w="476"/>
        <w:gridCol w:w="416"/>
        <w:gridCol w:w="1056"/>
        <w:gridCol w:w="983"/>
        <w:gridCol w:w="1126"/>
        <w:gridCol w:w="949"/>
        <w:gridCol w:w="1030"/>
        <w:gridCol w:w="1104"/>
        <w:gridCol w:w="1117"/>
      </w:tblGrid>
      <w:tr>
        <w:trPr>
          <w:trHeight w:val="953" w:hRule="exact"/>
        </w:trPr>
        <w:tc>
          <w:tcPr>
            <w:tcW w:w="432" w:type="dxa"/>
            <w:tcBorders>
              <w:top w:val="single" w:sz="6" w:space="0" w:color="000000"/>
              <w:left w:val="single" w:sz="8" w:space="0" w:color="000000"/>
              <w:bottom w:val="single" w:sz="8" w:space="0" w:color="000000"/>
              <w:right w:val="single" w:sz="8" w:space="0" w:color="000000"/>
            </w:tcBorders>
            <w:shd w:val="clear" w:color="auto" w:fill="D9D9D9"/>
          </w:tcPr>
          <w:p>
            <w:pPr>
              <w:pStyle w:val="TableParagraph"/>
              <w:spacing w:line="316" w:lineRule="auto" w:before="10"/>
              <w:ind w:left="116" w:right="114"/>
              <w:jc w:val="both"/>
              <w:rPr>
                <w:rFonts w:ascii="宋体" w:hAnsi="宋体" w:cs="宋体" w:eastAsia="宋体" w:hint="default"/>
                <w:sz w:val="18"/>
                <w:szCs w:val="18"/>
              </w:rPr>
            </w:pPr>
            <w:r>
              <w:rPr>
                <w:rFonts w:ascii="宋体" w:hAnsi="宋体" w:cs="宋体" w:eastAsia="宋体" w:hint="default"/>
                <w:sz w:val="18"/>
                <w:szCs w:val="18"/>
              </w:rPr>
              <w:t>李 广 刚</w:t>
            </w:r>
          </w:p>
        </w:tc>
        <w:tc>
          <w:tcPr>
            <w:tcW w:w="770" w:type="dxa"/>
            <w:tcBorders>
              <w:top w:val="single" w:sz="6"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316" w:lineRule="auto"/>
              <w:ind w:left="194" w:right="103" w:hanging="91"/>
              <w:jc w:val="left"/>
              <w:rPr>
                <w:rFonts w:ascii="宋体" w:hAnsi="宋体" w:cs="宋体" w:eastAsia="宋体" w:hint="default"/>
                <w:sz w:val="18"/>
                <w:szCs w:val="18"/>
              </w:rPr>
            </w:pPr>
            <w:r>
              <w:rPr>
                <w:rFonts w:ascii="宋体" w:hAnsi="宋体" w:cs="宋体" w:eastAsia="宋体" w:hint="default"/>
                <w:sz w:val="18"/>
                <w:szCs w:val="18"/>
              </w:rPr>
              <w:t>监事会 主席</w:t>
            </w:r>
          </w:p>
        </w:tc>
        <w:tc>
          <w:tcPr>
            <w:tcW w:w="396" w:type="dxa"/>
            <w:tcBorders>
              <w:top w:val="single" w:sz="6"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316" w:lineRule="auto"/>
              <w:ind w:left="98" w:right="96"/>
              <w:jc w:val="left"/>
              <w:rPr>
                <w:rFonts w:ascii="宋体" w:hAnsi="宋体" w:cs="宋体" w:eastAsia="宋体" w:hint="default"/>
                <w:sz w:val="18"/>
                <w:szCs w:val="18"/>
              </w:rPr>
            </w:pPr>
            <w:r>
              <w:rPr>
                <w:rFonts w:ascii="宋体" w:hAnsi="宋体" w:cs="宋体" w:eastAsia="宋体" w:hint="default"/>
                <w:sz w:val="18"/>
                <w:szCs w:val="18"/>
              </w:rPr>
              <w:t>现 任</w:t>
            </w:r>
          </w:p>
        </w:tc>
        <w:tc>
          <w:tcPr>
            <w:tcW w:w="476" w:type="dxa"/>
            <w:tcBorders>
              <w:top w:val="single" w:sz="6"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6"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7" w:right="0"/>
              <w:jc w:val="left"/>
              <w:rPr>
                <w:rFonts w:ascii="Times New Roman" w:hAnsi="Times New Roman" w:cs="Times New Roman" w:eastAsia="Times New Roman" w:hint="default"/>
                <w:sz w:val="18"/>
                <w:szCs w:val="18"/>
              </w:rPr>
            </w:pPr>
            <w:r>
              <w:rPr>
                <w:rFonts w:ascii="Times New Roman"/>
                <w:sz w:val="18"/>
              </w:rPr>
              <w:t>40</w:t>
            </w:r>
          </w:p>
        </w:tc>
        <w:tc>
          <w:tcPr>
            <w:tcW w:w="1056" w:type="dxa"/>
            <w:tcBorders>
              <w:top w:val="single" w:sz="6"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0"/>
              <w:jc w:val="center"/>
              <w:rPr>
                <w:rFonts w:ascii="Times New Roman" w:hAnsi="Times New Roman" w:cs="Times New Roman" w:eastAsia="Times New Roman" w:hint="default"/>
                <w:sz w:val="18"/>
                <w:szCs w:val="18"/>
              </w:rPr>
            </w:pPr>
            <w:r>
              <w:rPr>
                <w:rFonts w:ascii="Times New Roman"/>
                <w:sz w:val="18"/>
              </w:rPr>
              <w:t>2007-7-2</w:t>
            </w:r>
          </w:p>
        </w:tc>
        <w:tc>
          <w:tcPr>
            <w:tcW w:w="983" w:type="dxa"/>
            <w:tcBorders>
              <w:top w:val="single" w:sz="6"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0"/>
              <w:jc w:val="center"/>
              <w:rPr>
                <w:rFonts w:ascii="Times New Roman" w:hAnsi="Times New Roman" w:cs="Times New Roman" w:eastAsia="Times New Roman" w:hint="default"/>
                <w:sz w:val="18"/>
                <w:szCs w:val="18"/>
              </w:rPr>
            </w:pPr>
            <w:r>
              <w:rPr>
                <w:rFonts w:ascii="Times New Roman"/>
                <w:sz w:val="18"/>
              </w:rPr>
              <w:t>2019-5-27</w:t>
            </w:r>
          </w:p>
        </w:tc>
        <w:tc>
          <w:tcPr>
            <w:tcW w:w="1126" w:type="dxa"/>
            <w:tcBorders>
              <w:top w:val="single" w:sz="6"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7"/>
              <w:jc w:val="right"/>
              <w:rPr>
                <w:rFonts w:ascii="Times New Roman" w:hAnsi="Times New Roman" w:cs="Times New Roman" w:eastAsia="Times New Roman" w:hint="default"/>
                <w:sz w:val="18"/>
                <w:szCs w:val="18"/>
              </w:rPr>
            </w:pPr>
            <w:r>
              <w:rPr>
                <w:rFonts w:ascii="Times New Roman"/>
                <w:sz w:val="18"/>
              </w:rPr>
              <w:t>0</w:t>
            </w:r>
          </w:p>
        </w:tc>
        <w:tc>
          <w:tcPr>
            <w:tcW w:w="949" w:type="dxa"/>
            <w:tcBorders>
              <w:top w:val="single" w:sz="6"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5"/>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6"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7"/>
              <w:jc w:val="right"/>
              <w:rPr>
                <w:rFonts w:ascii="Times New Roman" w:hAnsi="Times New Roman" w:cs="Times New Roman" w:eastAsia="Times New Roman" w:hint="default"/>
                <w:sz w:val="18"/>
                <w:szCs w:val="18"/>
              </w:rPr>
            </w:pPr>
            <w:r>
              <w:rPr>
                <w:rFonts w:ascii="Times New Roman"/>
                <w:sz w:val="18"/>
              </w:rPr>
              <w:t>0</w:t>
            </w:r>
          </w:p>
        </w:tc>
        <w:tc>
          <w:tcPr>
            <w:tcW w:w="1104" w:type="dxa"/>
            <w:tcBorders>
              <w:top w:val="single" w:sz="6"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6"/>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6"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6"/>
              <w:jc w:val="right"/>
              <w:rPr>
                <w:rFonts w:ascii="Times New Roman" w:hAnsi="Times New Roman" w:cs="Times New Roman" w:eastAsia="Times New Roman" w:hint="default"/>
                <w:sz w:val="18"/>
                <w:szCs w:val="18"/>
              </w:rPr>
            </w:pPr>
            <w:r>
              <w:rPr>
                <w:rFonts w:ascii="Times New Roman"/>
                <w:sz w:val="18"/>
              </w:rPr>
              <w:t>0</w:t>
            </w:r>
          </w:p>
        </w:tc>
      </w:tr>
      <w:tr>
        <w:trPr>
          <w:trHeight w:val="957" w:hRule="exact"/>
        </w:trPr>
        <w:tc>
          <w:tcPr>
            <w:tcW w:w="43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19" w:lineRule="auto" w:before="11"/>
              <w:ind w:left="116" w:right="114"/>
              <w:jc w:val="both"/>
              <w:rPr>
                <w:rFonts w:ascii="宋体" w:hAnsi="宋体" w:cs="宋体" w:eastAsia="宋体" w:hint="default"/>
                <w:sz w:val="18"/>
                <w:szCs w:val="18"/>
              </w:rPr>
            </w:pPr>
            <w:r>
              <w:rPr>
                <w:rFonts w:ascii="宋体" w:hAnsi="宋体" w:cs="宋体" w:eastAsia="宋体" w:hint="default"/>
                <w:sz w:val="18"/>
                <w:szCs w:val="18"/>
              </w:rPr>
              <w:t>丁 彦 超</w:t>
            </w:r>
          </w:p>
        </w:tc>
        <w:tc>
          <w:tcPr>
            <w:tcW w:w="7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319" w:lineRule="auto"/>
              <w:ind w:left="98" w:right="96"/>
              <w:jc w:val="left"/>
              <w:rPr>
                <w:rFonts w:ascii="宋体" w:hAnsi="宋体" w:cs="宋体" w:eastAsia="宋体" w:hint="default"/>
                <w:sz w:val="18"/>
                <w:szCs w:val="18"/>
              </w:rPr>
            </w:pPr>
            <w:r>
              <w:rPr>
                <w:rFonts w:ascii="宋体" w:hAnsi="宋体" w:cs="宋体" w:eastAsia="宋体" w:hint="default"/>
                <w:sz w:val="18"/>
                <w:szCs w:val="18"/>
              </w:rPr>
              <w:t>现 任</w:t>
            </w:r>
          </w:p>
        </w:tc>
        <w:tc>
          <w:tcPr>
            <w:tcW w:w="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7" w:right="0"/>
              <w:jc w:val="left"/>
              <w:rPr>
                <w:rFonts w:ascii="Times New Roman" w:hAnsi="Times New Roman" w:cs="Times New Roman" w:eastAsia="Times New Roman" w:hint="default"/>
                <w:sz w:val="18"/>
                <w:szCs w:val="18"/>
              </w:rPr>
            </w:pPr>
            <w:r>
              <w:rPr>
                <w:rFonts w:ascii="Times New Roman"/>
                <w:sz w:val="18"/>
              </w:rPr>
              <w:t>50</w:t>
            </w:r>
          </w:p>
        </w:tc>
        <w:tc>
          <w:tcPr>
            <w:tcW w:w="10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sz w:val="18"/>
              </w:rPr>
              <w:t>2007-7-2</w:t>
            </w:r>
          </w:p>
        </w:tc>
        <w:tc>
          <w:tcPr>
            <w:tcW w:w="9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sz w:val="18"/>
              </w:rPr>
              <w:t>2019-5-27</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6"/>
              <w:jc w:val="right"/>
              <w:rPr>
                <w:rFonts w:ascii="Times New Roman" w:hAnsi="Times New Roman" w:cs="Times New Roman" w:eastAsia="Times New Roman" w:hint="default"/>
                <w:sz w:val="18"/>
                <w:szCs w:val="18"/>
              </w:rPr>
            </w:pPr>
            <w:r>
              <w:rPr>
                <w:rFonts w:ascii="Times New Roman"/>
                <w:sz w:val="18"/>
              </w:rPr>
              <w:t>401,335</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5"/>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7"/>
              <w:jc w:val="right"/>
              <w:rPr>
                <w:rFonts w:ascii="Times New Roman" w:hAnsi="Times New Roman" w:cs="Times New Roman" w:eastAsia="Times New Roman" w:hint="default"/>
                <w:sz w:val="18"/>
                <w:szCs w:val="18"/>
              </w:rPr>
            </w:pPr>
            <w:r>
              <w:rPr>
                <w:rFonts w:ascii="Times New Roman"/>
                <w:sz w:val="18"/>
              </w:rPr>
              <w:t>0</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6"/>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5"/>
              <w:jc w:val="right"/>
              <w:rPr>
                <w:rFonts w:ascii="Times New Roman" w:hAnsi="Times New Roman" w:cs="Times New Roman" w:eastAsia="Times New Roman" w:hint="default"/>
                <w:sz w:val="18"/>
                <w:szCs w:val="18"/>
              </w:rPr>
            </w:pPr>
            <w:r>
              <w:rPr>
                <w:rFonts w:ascii="Times New Roman"/>
                <w:sz w:val="18"/>
              </w:rPr>
              <w:t>401,335</w:t>
            </w:r>
          </w:p>
        </w:tc>
      </w:tr>
      <w:tr>
        <w:trPr>
          <w:trHeight w:val="644" w:hRule="exact"/>
        </w:trPr>
        <w:tc>
          <w:tcPr>
            <w:tcW w:w="43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16" w:lineRule="auto" w:before="11"/>
              <w:ind w:left="116" w:right="114"/>
              <w:jc w:val="left"/>
              <w:rPr>
                <w:rFonts w:ascii="宋体" w:hAnsi="宋体" w:cs="宋体" w:eastAsia="宋体" w:hint="default"/>
                <w:sz w:val="18"/>
                <w:szCs w:val="18"/>
              </w:rPr>
            </w:pPr>
            <w:r>
              <w:rPr>
                <w:rFonts w:ascii="宋体" w:hAnsi="宋体" w:cs="宋体" w:eastAsia="宋体" w:hint="default"/>
                <w:sz w:val="18"/>
                <w:szCs w:val="18"/>
              </w:rPr>
              <w:t>郝 岩</w:t>
            </w:r>
          </w:p>
        </w:tc>
        <w:tc>
          <w:tcPr>
            <w:tcW w:w="770"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1"/>
              <w:ind w:left="284" w:right="105" w:hanging="181"/>
              <w:jc w:val="left"/>
              <w:rPr>
                <w:rFonts w:ascii="宋体" w:hAnsi="宋体" w:cs="宋体" w:eastAsia="宋体" w:hint="default"/>
                <w:sz w:val="18"/>
                <w:szCs w:val="18"/>
              </w:rPr>
            </w:pPr>
            <w:r>
              <w:rPr>
                <w:rFonts w:ascii="宋体" w:hAnsi="宋体" w:cs="宋体" w:eastAsia="宋体" w:hint="default"/>
                <w:sz w:val="18"/>
                <w:szCs w:val="18"/>
              </w:rPr>
              <w:t>职工监 事</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1"/>
              <w:ind w:left="98" w:right="96"/>
              <w:jc w:val="left"/>
              <w:rPr>
                <w:rFonts w:ascii="宋体" w:hAnsi="宋体" w:cs="宋体" w:eastAsia="宋体" w:hint="default"/>
                <w:sz w:val="18"/>
                <w:szCs w:val="18"/>
              </w:rPr>
            </w:pPr>
            <w:r>
              <w:rPr>
                <w:rFonts w:ascii="宋体" w:hAnsi="宋体" w:cs="宋体" w:eastAsia="宋体" w:hint="default"/>
                <w:sz w:val="18"/>
                <w:szCs w:val="18"/>
              </w:rPr>
              <w:t>现 任</w:t>
            </w:r>
          </w:p>
        </w:tc>
        <w:tc>
          <w:tcPr>
            <w:tcW w:w="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38</w:t>
            </w:r>
          </w:p>
        </w:tc>
        <w:tc>
          <w:tcPr>
            <w:tcW w:w="10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2007-7-2</w:t>
            </w:r>
          </w:p>
        </w:tc>
        <w:tc>
          <w:tcPr>
            <w:tcW w:w="9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2019-5-27</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0</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z w:val="18"/>
              </w:rPr>
              <w:t>400</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0</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400</w:t>
            </w:r>
          </w:p>
        </w:tc>
      </w:tr>
      <w:tr>
        <w:trPr>
          <w:trHeight w:val="955" w:hRule="exact"/>
        </w:trPr>
        <w:tc>
          <w:tcPr>
            <w:tcW w:w="43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16" w:lineRule="auto" w:before="10"/>
              <w:ind w:left="116" w:right="114"/>
              <w:jc w:val="both"/>
              <w:rPr>
                <w:rFonts w:ascii="宋体" w:hAnsi="宋体" w:cs="宋体" w:eastAsia="宋体" w:hint="default"/>
                <w:sz w:val="18"/>
                <w:szCs w:val="18"/>
              </w:rPr>
            </w:pPr>
            <w:r>
              <w:rPr>
                <w:rFonts w:ascii="宋体" w:hAnsi="宋体" w:cs="宋体" w:eastAsia="宋体" w:hint="default"/>
                <w:sz w:val="18"/>
                <w:szCs w:val="18"/>
              </w:rPr>
              <w:t>徐 元 区</w:t>
            </w:r>
          </w:p>
        </w:tc>
        <w:tc>
          <w:tcPr>
            <w:tcW w:w="7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316" w:lineRule="auto"/>
              <w:ind w:left="98" w:right="96"/>
              <w:jc w:val="left"/>
              <w:rPr>
                <w:rFonts w:ascii="宋体" w:hAnsi="宋体" w:cs="宋体" w:eastAsia="宋体" w:hint="default"/>
                <w:sz w:val="18"/>
                <w:szCs w:val="18"/>
              </w:rPr>
            </w:pPr>
            <w:r>
              <w:rPr>
                <w:rFonts w:ascii="宋体" w:hAnsi="宋体" w:cs="宋体" w:eastAsia="宋体" w:hint="default"/>
                <w:sz w:val="18"/>
                <w:szCs w:val="18"/>
              </w:rPr>
              <w:t>现 任</w:t>
            </w:r>
          </w:p>
        </w:tc>
        <w:tc>
          <w:tcPr>
            <w:tcW w:w="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7" w:right="0"/>
              <w:jc w:val="left"/>
              <w:rPr>
                <w:rFonts w:ascii="Times New Roman" w:hAnsi="Times New Roman" w:cs="Times New Roman" w:eastAsia="Times New Roman" w:hint="default"/>
                <w:sz w:val="18"/>
                <w:szCs w:val="18"/>
              </w:rPr>
            </w:pPr>
            <w:r>
              <w:rPr>
                <w:rFonts w:ascii="Times New Roman"/>
                <w:sz w:val="18"/>
              </w:rPr>
              <w:t>42</w:t>
            </w:r>
          </w:p>
        </w:tc>
        <w:tc>
          <w:tcPr>
            <w:tcW w:w="10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
              <w:jc w:val="center"/>
              <w:rPr>
                <w:rFonts w:ascii="Times New Roman" w:hAnsi="Times New Roman" w:cs="Times New Roman" w:eastAsia="Times New Roman" w:hint="default"/>
                <w:sz w:val="18"/>
                <w:szCs w:val="18"/>
              </w:rPr>
            </w:pPr>
            <w:r>
              <w:rPr>
                <w:rFonts w:ascii="Times New Roman"/>
                <w:sz w:val="18"/>
              </w:rPr>
              <w:t>2016-5-27</w:t>
            </w:r>
          </w:p>
        </w:tc>
        <w:tc>
          <w:tcPr>
            <w:tcW w:w="9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0"/>
              <w:jc w:val="center"/>
              <w:rPr>
                <w:rFonts w:ascii="Times New Roman" w:hAnsi="Times New Roman" w:cs="Times New Roman" w:eastAsia="Times New Roman" w:hint="default"/>
                <w:sz w:val="18"/>
                <w:szCs w:val="18"/>
              </w:rPr>
            </w:pPr>
            <w:r>
              <w:rPr>
                <w:rFonts w:ascii="Times New Roman"/>
                <w:sz w:val="18"/>
              </w:rPr>
              <w:t>2019-5-27</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6"/>
              <w:jc w:val="right"/>
              <w:rPr>
                <w:rFonts w:ascii="Times New Roman" w:hAnsi="Times New Roman" w:cs="Times New Roman" w:eastAsia="Times New Roman" w:hint="default"/>
                <w:sz w:val="18"/>
                <w:szCs w:val="18"/>
              </w:rPr>
            </w:pPr>
            <w:r>
              <w:rPr>
                <w:rFonts w:ascii="Times New Roman"/>
                <w:sz w:val="18"/>
              </w:rPr>
              <w:t>100,000</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5"/>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7"/>
              <w:jc w:val="right"/>
              <w:rPr>
                <w:rFonts w:ascii="Times New Roman" w:hAnsi="Times New Roman" w:cs="Times New Roman" w:eastAsia="Times New Roman" w:hint="default"/>
                <w:sz w:val="18"/>
                <w:szCs w:val="18"/>
              </w:rPr>
            </w:pPr>
            <w:r>
              <w:rPr>
                <w:rFonts w:ascii="Times New Roman"/>
                <w:sz w:val="18"/>
              </w:rPr>
              <w:t>0</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6"/>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95"/>
              <w:jc w:val="right"/>
              <w:rPr>
                <w:rFonts w:ascii="Times New Roman" w:hAnsi="Times New Roman" w:cs="Times New Roman" w:eastAsia="Times New Roman" w:hint="default"/>
                <w:sz w:val="18"/>
                <w:szCs w:val="18"/>
              </w:rPr>
            </w:pPr>
            <w:r>
              <w:rPr>
                <w:rFonts w:ascii="Times New Roman"/>
                <w:sz w:val="18"/>
              </w:rPr>
              <w:t>100,000</w:t>
            </w:r>
          </w:p>
        </w:tc>
      </w:tr>
      <w:tr>
        <w:trPr>
          <w:trHeight w:val="644" w:hRule="exact"/>
        </w:trPr>
        <w:tc>
          <w:tcPr>
            <w:tcW w:w="43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16" w:lineRule="auto" w:before="11"/>
              <w:ind w:left="116" w:right="114"/>
              <w:jc w:val="left"/>
              <w:rPr>
                <w:rFonts w:ascii="宋体" w:hAnsi="宋体" w:cs="宋体" w:eastAsia="宋体" w:hint="default"/>
                <w:sz w:val="18"/>
                <w:szCs w:val="18"/>
              </w:rPr>
            </w:pPr>
            <w:r>
              <w:rPr>
                <w:rFonts w:ascii="宋体" w:hAnsi="宋体" w:cs="宋体" w:eastAsia="宋体" w:hint="default"/>
                <w:sz w:val="18"/>
                <w:szCs w:val="18"/>
              </w:rPr>
              <w:t>高 峰</w:t>
            </w:r>
          </w:p>
        </w:tc>
        <w:tc>
          <w:tcPr>
            <w:tcW w:w="7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1"/>
              <w:ind w:left="98" w:right="96"/>
              <w:jc w:val="left"/>
              <w:rPr>
                <w:rFonts w:ascii="宋体" w:hAnsi="宋体" w:cs="宋体" w:eastAsia="宋体" w:hint="default"/>
                <w:sz w:val="18"/>
                <w:szCs w:val="18"/>
              </w:rPr>
            </w:pPr>
            <w:r>
              <w:rPr>
                <w:rFonts w:ascii="宋体" w:hAnsi="宋体" w:cs="宋体" w:eastAsia="宋体" w:hint="default"/>
                <w:sz w:val="18"/>
                <w:szCs w:val="18"/>
              </w:rPr>
              <w:t>现 任</w:t>
            </w:r>
          </w:p>
        </w:tc>
        <w:tc>
          <w:tcPr>
            <w:tcW w:w="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43</w:t>
            </w:r>
          </w:p>
        </w:tc>
        <w:tc>
          <w:tcPr>
            <w:tcW w:w="10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2010-6-30</w:t>
            </w:r>
          </w:p>
        </w:tc>
        <w:tc>
          <w:tcPr>
            <w:tcW w:w="9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2019-5-27</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9,675,886</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0</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z w:val="18"/>
              </w:rPr>
              <w:t>9,675,886</w:t>
            </w:r>
          </w:p>
        </w:tc>
      </w:tr>
      <w:tr>
        <w:trPr>
          <w:trHeight w:val="643" w:hRule="exact"/>
        </w:trPr>
        <w:tc>
          <w:tcPr>
            <w:tcW w:w="43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16" w:lineRule="auto" w:before="10"/>
              <w:ind w:left="116" w:right="114"/>
              <w:jc w:val="left"/>
              <w:rPr>
                <w:rFonts w:ascii="宋体" w:hAnsi="宋体" w:cs="宋体" w:eastAsia="宋体" w:hint="default"/>
                <w:sz w:val="18"/>
                <w:szCs w:val="18"/>
              </w:rPr>
            </w:pPr>
            <w:r>
              <w:rPr>
                <w:rFonts w:ascii="宋体" w:hAnsi="宋体" w:cs="宋体" w:eastAsia="宋体" w:hint="default"/>
                <w:sz w:val="18"/>
                <w:szCs w:val="18"/>
              </w:rPr>
              <w:t>董 越</w:t>
            </w:r>
          </w:p>
        </w:tc>
        <w:tc>
          <w:tcPr>
            <w:tcW w:w="7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0"/>
              <w:ind w:left="98" w:right="96"/>
              <w:jc w:val="left"/>
              <w:rPr>
                <w:rFonts w:ascii="宋体" w:hAnsi="宋体" w:cs="宋体" w:eastAsia="宋体" w:hint="default"/>
                <w:sz w:val="18"/>
                <w:szCs w:val="18"/>
              </w:rPr>
            </w:pPr>
            <w:r>
              <w:rPr>
                <w:rFonts w:ascii="宋体" w:hAnsi="宋体" w:cs="宋体" w:eastAsia="宋体" w:hint="default"/>
                <w:sz w:val="18"/>
                <w:szCs w:val="18"/>
              </w:rPr>
              <w:t>现 任</w:t>
            </w:r>
          </w:p>
        </w:tc>
        <w:tc>
          <w:tcPr>
            <w:tcW w:w="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48</w:t>
            </w:r>
          </w:p>
        </w:tc>
        <w:tc>
          <w:tcPr>
            <w:tcW w:w="10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2016-5-27</w:t>
            </w:r>
          </w:p>
        </w:tc>
        <w:tc>
          <w:tcPr>
            <w:tcW w:w="9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2019-5-27</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0</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0</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0</w:t>
            </w:r>
          </w:p>
        </w:tc>
      </w:tr>
      <w:tr>
        <w:trPr>
          <w:trHeight w:val="956" w:hRule="exact"/>
        </w:trPr>
        <w:tc>
          <w:tcPr>
            <w:tcW w:w="43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16" w:lineRule="auto" w:before="11"/>
              <w:ind w:left="116" w:right="114"/>
              <w:jc w:val="both"/>
              <w:rPr>
                <w:rFonts w:ascii="宋体" w:hAnsi="宋体" w:cs="宋体" w:eastAsia="宋体" w:hint="default"/>
                <w:sz w:val="18"/>
                <w:szCs w:val="18"/>
              </w:rPr>
            </w:pPr>
            <w:r>
              <w:rPr>
                <w:rFonts w:ascii="宋体" w:hAnsi="宋体" w:cs="宋体" w:eastAsia="宋体" w:hint="default"/>
                <w:sz w:val="18"/>
                <w:szCs w:val="18"/>
              </w:rPr>
              <w:t>梁 德 兴</w:t>
            </w:r>
          </w:p>
        </w:tc>
        <w:tc>
          <w:tcPr>
            <w:tcW w:w="7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316" w:lineRule="auto"/>
              <w:ind w:left="98" w:right="96"/>
              <w:jc w:val="left"/>
              <w:rPr>
                <w:rFonts w:ascii="宋体" w:hAnsi="宋体" w:cs="宋体" w:eastAsia="宋体" w:hint="default"/>
                <w:sz w:val="18"/>
                <w:szCs w:val="18"/>
              </w:rPr>
            </w:pPr>
            <w:r>
              <w:rPr>
                <w:rFonts w:ascii="宋体" w:hAnsi="宋体" w:cs="宋体" w:eastAsia="宋体" w:hint="default"/>
                <w:sz w:val="18"/>
                <w:szCs w:val="18"/>
              </w:rPr>
              <w:t>现 任</w:t>
            </w:r>
          </w:p>
        </w:tc>
        <w:tc>
          <w:tcPr>
            <w:tcW w:w="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7" w:right="0"/>
              <w:jc w:val="left"/>
              <w:rPr>
                <w:rFonts w:ascii="Times New Roman" w:hAnsi="Times New Roman" w:cs="Times New Roman" w:eastAsia="Times New Roman" w:hint="default"/>
                <w:sz w:val="18"/>
                <w:szCs w:val="18"/>
              </w:rPr>
            </w:pPr>
            <w:r>
              <w:rPr>
                <w:rFonts w:ascii="Times New Roman"/>
                <w:sz w:val="18"/>
              </w:rPr>
              <w:t>44</w:t>
            </w:r>
          </w:p>
        </w:tc>
        <w:tc>
          <w:tcPr>
            <w:tcW w:w="10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
              <w:jc w:val="center"/>
              <w:rPr>
                <w:rFonts w:ascii="Times New Roman" w:hAnsi="Times New Roman" w:cs="Times New Roman" w:eastAsia="Times New Roman" w:hint="default"/>
                <w:sz w:val="18"/>
                <w:szCs w:val="18"/>
              </w:rPr>
            </w:pPr>
            <w:r>
              <w:rPr>
                <w:rFonts w:ascii="Times New Roman"/>
                <w:sz w:val="18"/>
              </w:rPr>
              <w:t>2016-5-27</w:t>
            </w:r>
          </w:p>
        </w:tc>
        <w:tc>
          <w:tcPr>
            <w:tcW w:w="9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sz w:val="18"/>
              </w:rPr>
              <w:t>2019-5-27</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6"/>
              <w:jc w:val="right"/>
              <w:rPr>
                <w:rFonts w:ascii="Times New Roman" w:hAnsi="Times New Roman" w:cs="Times New Roman" w:eastAsia="Times New Roman" w:hint="default"/>
                <w:sz w:val="18"/>
                <w:szCs w:val="18"/>
              </w:rPr>
            </w:pPr>
            <w:r>
              <w:rPr>
                <w:rFonts w:ascii="Times New Roman"/>
                <w:sz w:val="18"/>
              </w:rPr>
              <w:t>3,200</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5"/>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7"/>
              <w:jc w:val="right"/>
              <w:rPr>
                <w:rFonts w:ascii="Times New Roman" w:hAnsi="Times New Roman" w:cs="Times New Roman" w:eastAsia="Times New Roman" w:hint="default"/>
                <w:sz w:val="18"/>
                <w:szCs w:val="18"/>
              </w:rPr>
            </w:pPr>
            <w:r>
              <w:rPr>
                <w:rFonts w:ascii="Times New Roman"/>
                <w:sz w:val="18"/>
              </w:rPr>
              <w:t>0</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6"/>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5"/>
              <w:jc w:val="right"/>
              <w:rPr>
                <w:rFonts w:ascii="Times New Roman" w:hAnsi="Times New Roman" w:cs="Times New Roman" w:eastAsia="Times New Roman" w:hint="default"/>
                <w:sz w:val="18"/>
                <w:szCs w:val="18"/>
              </w:rPr>
            </w:pPr>
            <w:r>
              <w:rPr>
                <w:rFonts w:ascii="Times New Roman"/>
                <w:sz w:val="18"/>
              </w:rPr>
              <w:t>3,200</w:t>
            </w:r>
          </w:p>
        </w:tc>
      </w:tr>
      <w:tr>
        <w:trPr>
          <w:trHeight w:val="1269" w:hRule="exact"/>
        </w:trPr>
        <w:tc>
          <w:tcPr>
            <w:tcW w:w="43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316" w:lineRule="auto"/>
              <w:ind w:left="116" w:right="114"/>
              <w:jc w:val="both"/>
              <w:rPr>
                <w:rFonts w:ascii="宋体" w:hAnsi="宋体" w:cs="宋体" w:eastAsia="宋体" w:hint="default"/>
                <w:sz w:val="18"/>
                <w:szCs w:val="18"/>
              </w:rPr>
            </w:pPr>
            <w:r>
              <w:rPr>
                <w:rFonts w:ascii="宋体" w:hAnsi="宋体" w:cs="宋体" w:eastAsia="宋体" w:hint="default"/>
                <w:sz w:val="18"/>
                <w:szCs w:val="18"/>
              </w:rPr>
              <w:t>张 黔 山</w:t>
            </w:r>
          </w:p>
        </w:tc>
        <w:tc>
          <w:tcPr>
            <w:tcW w:w="770"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1"/>
              <w:ind w:left="104" w:right="103"/>
              <w:jc w:val="center"/>
              <w:rPr>
                <w:rFonts w:ascii="宋体" w:hAnsi="宋体" w:cs="宋体" w:eastAsia="宋体" w:hint="default"/>
                <w:sz w:val="18"/>
                <w:szCs w:val="18"/>
              </w:rPr>
            </w:pPr>
            <w:r>
              <w:rPr>
                <w:rFonts w:ascii="宋体" w:hAnsi="宋体" w:cs="宋体" w:eastAsia="宋体" w:hint="default"/>
                <w:sz w:val="18"/>
                <w:szCs w:val="18"/>
              </w:rPr>
              <w:t>副总 裁、董 事会秘 书</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316" w:lineRule="auto"/>
              <w:ind w:left="98" w:right="96"/>
              <w:jc w:val="left"/>
              <w:rPr>
                <w:rFonts w:ascii="宋体" w:hAnsi="宋体" w:cs="宋体" w:eastAsia="宋体" w:hint="default"/>
                <w:sz w:val="18"/>
                <w:szCs w:val="18"/>
              </w:rPr>
            </w:pPr>
            <w:r>
              <w:rPr>
                <w:rFonts w:ascii="宋体" w:hAnsi="宋体" w:cs="宋体" w:eastAsia="宋体" w:hint="default"/>
                <w:sz w:val="18"/>
                <w:szCs w:val="18"/>
              </w:rPr>
              <w:t>现 任</w:t>
            </w:r>
          </w:p>
        </w:tc>
        <w:tc>
          <w:tcPr>
            <w:tcW w:w="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48</w:t>
            </w:r>
          </w:p>
        </w:tc>
        <w:tc>
          <w:tcPr>
            <w:tcW w:w="10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2016-5-27</w:t>
            </w:r>
          </w:p>
        </w:tc>
        <w:tc>
          <w:tcPr>
            <w:tcW w:w="9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2019-5-27</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5,912,202</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0</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z w:val="18"/>
              </w:rPr>
              <w:t>5,912,202</w:t>
            </w:r>
          </w:p>
        </w:tc>
      </w:tr>
      <w:tr>
        <w:trPr>
          <w:trHeight w:val="643" w:hRule="exact"/>
        </w:trPr>
        <w:tc>
          <w:tcPr>
            <w:tcW w:w="43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16" w:lineRule="auto" w:before="10"/>
              <w:ind w:left="116" w:right="114"/>
              <w:jc w:val="left"/>
              <w:rPr>
                <w:rFonts w:ascii="宋体" w:hAnsi="宋体" w:cs="宋体" w:eastAsia="宋体" w:hint="default"/>
                <w:sz w:val="18"/>
                <w:szCs w:val="18"/>
              </w:rPr>
            </w:pPr>
            <w:r>
              <w:rPr>
                <w:rFonts w:ascii="宋体" w:hAnsi="宋体" w:cs="宋体" w:eastAsia="宋体" w:hint="default"/>
                <w:sz w:val="18"/>
                <w:szCs w:val="18"/>
              </w:rPr>
              <w:t>艾 东</w:t>
            </w:r>
          </w:p>
        </w:tc>
        <w:tc>
          <w:tcPr>
            <w:tcW w:w="7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0"/>
              <w:ind w:left="98" w:right="96"/>
              <w:jc w:val="left"/>
              <w:rPr>
                <w:rFonts w:ascii="宋体" w:hAnsi="宋体" w:cs="宋体" w:eastAsia="宋体" w:hint="default"/>
                <w:sz w:val="18"/>
                <w:szCs w:val="18"/>
              </w:rPr>
            </w:pPr>
            <w:r>
              <w:rPr>
                <w:rFonts w:ascii="宋体" w:hAnsi="宋体" w:cs="宋体" w:eastAsia="宋体" w:hint="default"/>
                <w:sz w:val="18"/>
                <w:szCs w:val="18"/>
              </w:rPr>
              <w:t>现 任</w:t>
            </w:r>
          </w:p>
        </w:tc>
        <w:tc>
          <w:tcPr>
            <w:tcW w:w="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49</w:t>
            </w:r>
          </w:p>
        </w:tc>
        <w:tc>
          <w:tcPr>
            <w:tcW w:w="10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2016-5-27</w:t>
            </w:r>
          </w:p>
        </w:tc>
        <w:tc>
          <w:tcPr>
            <w:tcW w:w="9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2019-5-27</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0</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0</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0</w:t>
            </w:r>
          </w:p>
        </w:tc>
      </w:tr>
      <w:tr>
        <w:trPr>
          <w:trHeight w:val="956" w:hRule="exact"/>
        </w:trPr>
        <w:tc>
          <w:tcPr>
            <w:tcW w:w="43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316" w:lineRule="auto"/>
              <w:ind w:left="116" w:right="114"/>
              <w:jc w:val="left"/>
              <w:rPr>
                <w:rFonts w:ascii="宋体" w:hAnsi="宋体" w:cs="宋体" w:eastAsia="宋体" w:hint="default"/>
                <w:sz w:val="18"/>
                <w:szCs w:val="18"/>
              </w:rPr>
            </w:pPr>
            <w:r>
              <w:rPr>
                <w:rFonts w:ascii="宋体" w:hAnsi="宋体" w:cs="宋体" w:eastAsia="宋体" w:hint="default"/>
                <w:sz w:val="18"/>
                <w:szCs w:val="18"/>
              </w:rPr>
              <w:t>林 红</w:t>
            </w:r>
          </w:p>
        </w:tc>
        <w:tc>
          <w:tcPr>
            <w:tcW w:w="770"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1"/>
              <w:ind w:left="104" w:right="105" w:firstLine="90"/>
              <w:jc w:val="left"/>
              <w:rPr>
                <w:rFonts w:ascii="宋体" w:hAnsi="宋体" w:cs="宋体" w:eastAsia="宋体" w:hint="default"/>
                <w:sz w:val="18"/>
                <w:szCs w:val="18"/>
              </w:rPr>
            </w:pPr>
            <w:r>
              <w:rPr>
                <w:rFonts w:ascii="宋体" w:hAnsi="宋体" w:cs="宋体" w:eastAsia="宋体" w:hint="default"/>
                <w:sz w:val="18"/>
                <w:szCs w:val="18"/>
              </w:rPr>
              <w:t>副总 裁、财 务总监</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316" w:lineRule="auto"/>
              <w:ind w:left="98" w:right="96"/>
              <w:jc w:val="left"/>
              <w:rPr>
                <w:rFonts w:ascii="宋体" w:hAnsi="宋体" w:cs="宋体" w:eastAsia="宋体" w:hint="default"/>
                <w:sz w:val="18"/>
                <w:szCs w:val="18"/>
              </w:rPr>
            </w:pPr>
            <w:r>
              <w:rPr>
                <w:rFonts w:ascii="宋体" w:hAnsi="宋体" w:cs="宋体" w:eastAsia="宋体" w:hint="default"/>
                <w:sz w:val="18"/>
                <w:szCs w:val="18"/>
              </w:rPr>
              <w:t>现 任</w:t>
            </w:r>
          </w:p>
        </w:tc>
        <w:tc>
          <w:tcPr>
            <w:tcW w:w="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7" w:right="0"/>
              <w:jc w:val="left"/>
              <w:rPr>
                <w:rFonts w:ascii="Times New Roman" w:hAnsi="Times New Roman" w:cs="Times New Roman" w:eastAsia="Times New Roman" w:hint="default"/>
                <w:sz w:val="18"/>
                <w:szCs w:val="18"/>
              </w:rPr>
            </w:pPr>
            <w:r>
              <w:rPr>
                <w:rFonts w:ascii="Times New Roman"/>
                <w:sz w:val="18"/>
              </w:rPr>
              <w:t>53</w:t>
            </w:r>
          </w:p>
        </w:tc>
        <w:tc>
          <w:tcPr>
            <w:tcW w:w="10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
              <w:jc w:val="center"/>
              <w:rPr>
                <w:rFonts w:ascii="Times New Roman" w:hAnsi="Times New Roman" w:cs="Times New Roman" w:eastAsia="Times New Roman" w:hint="default"/>
                <w:sz w:val="18"/>
                <w:szCs w:val="18"/>
              </w:rPr>
            </w:pPr>
            <w:r>
              <w:rPr>
                <w:rFonts w:ascii="Times New Roman"/>
                <w:sz w:val="18"/>
              </w:rPr>
              <w:t>2016-5-27</w:t>
            </w:r>
          </w:p>
        </w:tc>
        <w:tc>
          <w:tcPr>
            <w:tcW w:w="9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0"/>
              <w:jc w:val="center"/>
              <w:rPr>
                <w:rFonts w:ascii="Times New Roman" w:hAnsi="Times New Roman" w:cs="Times New Roman" w:eastAsia="Times New Roman" w:hint="default"/>
                <w:sz w:val="18"/>
                <w:szCs w:val="18"/>
              </w:rPr>
            </w:pPr>
            <w:r>
              <w:rPr>
                <w:rFonts w:ascii="Times New Roman"/>
                <w:sz w:val="18"/>
              </w:rPr>
              <w:t>2019-5-27</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7"/>
              <w:jc w:val="right"/>
              <w:rPr>
                <w:rFonts w:ascii="Times New Roman" w:hAnsi="Times New Roman" w:cs="Times New Roman" w:eastAsia="Times New Roman" w:hint="default"/>
                <w:sz w:val="18"/>
                <w:szCs w:val="18"/>
              </w:rPr>
            </w:pPr>
            <w:r>
              <w:rPr>
                <w:rFonts w:ascii="Times New Roman"/>
                <w:sz w:val="18"/>
              </w:rPr>
              <w:t>0</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5"/>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7"/>
              <w:jc w:val="right"/>
              <w:rPr>
                <w:rFonts w:ascii="Times New Roman" w:hAnsi="Times New Roman" w:cs="Times New Roman" w:eastAsia="Times New Roman" w:hint="default"/>
                <w:sz w:val="18"/>
                <w:szCs w:val="18"/>
              </w:rPr>
            </w:pPr>
            <w:r>
              <w:rPr>
                <w:rFonts w:ascii="Times New Roman"/>
                <w:sz w:val="18"/>
              </w:rPr>
              <w:t>0</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6"/>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96"/>
              <w:jc w:val="right"/>
              <w:rPr>
                <w:rFonts w:ascii="Times New Roman" w:hAnsi="Times New Roman" w:cs="Times New Roman" w:eastAsia="Times New Roman" w:hint="default"/>
                <w:sz w:val="18"/>
                <w:szCs w:val="18"/>
              </w:rPr>
            </w:pPr>
            <w:r>
              <w:rPr>
                <w:rFonts w:ascii="Times New Roman"/>
                <w:sz w:val="18"/>
              </w:rPr>
              <w:t>0</w:t>
            </w:r>
          </w:p>
        </w:tc>
      </w:tr>
      <w:tr>
        <w:trPr>
          <w:trHeight w:val="644" w:hRule="exact"/>
        </w:trPr>
        <w:tc>
          <w:tcPr>
            <w:tcW w:w="432" w:type="dxa"/>
            <w:tcBorders>
              <w:top w:val="single" w:sz="8" w:space="0" w:color="000000"/>
              <w:left w:val="single" w:sz="8" w:space="0" w:color="000000"/>
              <w:bottom w:val="single" w:sz="8" w:space="0" w:color="000000"/>
              <w:right w:val="single" w:sz="8" w:space="0" w:color="000000"/>
            </w:tcBorders>
            <w:shd w:val="clear" w:color="auto" w:fill="D9D9D9"/>
          </w:tcPr>
          <w:p>
            <w:pPr>
              <w:pStyle w:val="TableParagraph"/>
              <w:spacing w:line="316" w:lineRule="auto" w:before="11"/>
              <w:ind w:left="116" w:right="114"/>
              <w:jc w:val="left"/>
              <w:rPr>
                <w:rFonts w:ascii="宋体" w:hAnsi="宋体" w:cs="宋体" w:eastAsia="宋体" w:hint="default"/>
                <w:sz w:val="18"/>
                <w:szCs w:val="18"/>
              </w:rPr>
            </w:pPr>
            <w:r>
              <w:rPr>
                <w:rFonts w:ascii="宋体" w:hAnsi="宋体" w:cs="宋体" w:eastAsia="宋体" w:hint="default"/>
                <w:sz w:val="18"/>
                <w:szCs w:val="18"/>
              </w:rPr>
              <w:t>任 杰</w:t>
            </w:r>
          </w:p>
        </w:tc>
        <w:tc>
          <w:tcPr>
            <w:tcW w:w="77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316" w:lineRule="auto" w:before="11"/>
              <w:ind w:left="98" w:right="96"/>
              <w:jc w:val="left"/>
              <w:rPr>
                <w:rFonts w:ascii="宋体" w:hAnsi="宋体" w:cs="宋体" w:eastAsia="宋体" w:hint="default"/>
                <w:sz w:val="18"/>
                <w:szCs w:val="18"/>
              </w:rPr>
            </w:pPr>
            <w:r>
              <w:rPr>
                <w:rFonts w:ascii="宋体" w:hAnsi="宋体" w:cs="宋体" w:eastAsia="宋体" w:hint="default"/>
                <w:sz w:val="18"/>
                <w:szCs w:val="18"/>
              </w:rPr>
              <w:t>离 任</w:t>
            </w:r>
          </w:p>
        </w:tc>
        <w:tc>
          <w:tcPr>
            <w:tcW w:w="47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42</w:t>
            </w:r>
          </w:p>
        </w:tc>
        <w:tc>
          <w:tcPr>
            <w:tcW w:w="105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2016-5-27</w:t>
            </w:r>
          </w:p>
        </w:tc>
        <w:tc>
          <w:tcPr>
            <w:tcW w:w="9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2018-1-19</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0</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0</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0</w:t>
            </w:r>
          </w:p>
        </w:tc>
      </w:tr>
      <w:tr>
        <w:trPr>
          <w:trHeight w:val="643" w:hRule="exact"/>
        </w:trPr>
        <w:tc>
          <w:tcPr>
            <w:tcW w:w="432"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316" w:lineRule="auto" w:before="10"/>
              <w:ind w:left="116" w:right="114"/>
              <w:jc w:val="left"/>
              <w:rPr>
                <w:rFonts w:ascii="宋体" w:hAnsi="宋体" w:cs="宋体" w:eastAsia="宋体" w:hint="default"/>
                <w:sz w:val="18"/>
                <w:szCs w:val="18"/>
              </w:rPr>
            </w:pPr>
            <w:r>
              <w:rPr>
                <w:rFonts w:ascii="宋体" w:hAnsi="宋体" w:cs="宋体" w:eastAsia="宋体" w:hint="default"/>
                <w:sz w:val="18"/>
                <w:szCs w:val="18"/>
              </w:rPr>
              <w:t>合 计</w:t>
            </w:r>
          </w:p>
        </w:tc>
        <w:tc>
          <w:tcPr>
            <w:tcW w:w="770"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39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476"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416"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37" w:right="0"/>
              <w:jc w:val="left"/>
              <w:rPr>
                <w:rFonts w:ascii="Times New Roman" w:hAnsi="Times New Roman" w:cs="Times New Roman" w:eastAsia="Times New Roman" w:hint="default"/>
                <w:sz w:val="18"/>
                <w:szCs w:val="18"/>
              </w:rPr>
            </w:pPr>
            <w:r>
              <w:rPr>
                <w:rFonts w:ascii="Times New Roman"/>
                <w:sz w:val="18"/>
              </w:rPr>
              <w:t>--</w:t>
            </w:r>
          </w:p>
        </w:tc>
        <w:tc>
          <w:tcPr>
            <w:tcW w:w="1056"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983"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12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z w:val="18"/>
              </w:rPr>
              <w:t>627,595,421</w:t>
            </w:r>
          </w:p>
        </w:tc>
        <w:tc>
          <w:tcPr>
            <w:tcW w:w="9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z w:val="18"/>
              </w:rPr>
              <w:t>8,678,684</w:t>
            </w:r>
          </w:p>
        </w:tc>
        <w:tc>
          <w:tcPr>
            <w:tcW w:w="103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26,232,276</w:t>
            </w:r>
          </w:p>
        </w:tc>
        <w:tc>
          <w:tcPr>
            <w:tcW w:w="110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95"/>
                <w:sz w:val="18"/>
              </w:rPr>
              <w:t>-14,192,265</w:t>
            </w:r>
            <w:r>
              <w:rPr>
                <w:rFonts w:ascii="Times New Roman"/>
                <w:sz w:val="18"/>
              </w:rPr>
            </w:r>
          </w:p>
        </w:tc>
        <w:tc>
          <w:tcPr>
            <w:tcW w:w="111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sz w:val="18"/>
              </w:rPr>
              <w:t>595,849,564</w:t>
            </w:r>
          </w:p>
        </w:tc>
      </w:tr>
    </w:tbl>
    <w:p>
      <w:pPr>
        <w:pStyle w:val="Heading2"/>
        <w:spacing w:line="240" w:lineRule="auto" w:before="41"/>
        <w:ind w:left="234" w:right="0"/>
        <w:jc w:val="left"/>
        <w:rPr>
          <w:b w:val="0"/>
          <w:bCs w:val="0"/>
        </w:rPr>
      </w:pPr>
      <w:r>
        <w:rPr/>
        <w:pict>
          <v:shape style="position:absolute;margin-left:111.379997pt;margin-top:-32.174381pt;width:19.213702pt;height:31.125pt;mso-position-horizontal-relative:page;mso-position-vertical-relative:paragraph;z-index:2560" type="#_x0000_t75" stroked="false">
            <v:imagedata r:id="rId88" o:title=""/>
          </v:shape>
        </w:pict>
      </w:r>
      <w:bookmarkStart w:name="二、公司董事、监事、高级管理人员变动情况" w:id="132"/>
      <w:bookmarkEnd w:id="132"/>
      <w:r>
        <w:rPr>
          <w:b w:val="0"/>
          <w:bCs w:val="0"/>
        </w:rPr>
      </w:r>
      <w:r>
        <w:rPr/>
        <w:t>二、公司董事、监事、高级管理人员变动情况</w:t>
      </w:r>
      <w:r>
        <w:rPr>
          <w:b w:val="0"/>
          <w:bCs w:val="0"/>
        </w:rPr>
      </w:r>
    </w:p>
    <w:p>
      <w:pPr>
        <w:spacing w:before="165"/>
        <w:ind w:left="234" w:right="0"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7"/>
          <w:szCs w:val="7"/>
        </w:rPr>
      </w:pPr>
    </w:p>
    <w:tbl>
      <w:tblPr>
        <w:tblW w:w="0" w:type="auto"/>
        <w:jc w:val="left"/>
        <w:tblInd w:w="201" w:type="dxa"/>
        <w:tblLayout w:type="fixed"/>
        <w:tblCellMar>
          <w:top w:w="0" w:type="dxa"/>
          <w:left w:w="0" w:type="dxa"/>
          <w:bottom w:w="0" w:type="dxa"/>
          <w:right w:w="0" w:type="dxa"/>
        </w:tblCellMar>
        <w:tblLook w:val="01E0"/>
      </w:tblPr>
      <w:tblGrid>
        <w:gridCol w:w="1162"/>
        <w:gridCol w:w="1276"/>
        <w:gridCol w:w="1277"/>
        <w:gridCol w:w="1276"/>
        <w:gridCol w:w="4704"/>
      </w:tblGrid>
      <w:tr>
        <w:trPr>
          <w:trHeight w:val="402" w:hRule="exact"/>
        </w:trPr>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担任的职务</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51"/>
              <w:jc w:val="right"/>
              <w:rPr>
                <w:rFonts w:ascii="宋体" w:hAnsi="宋体" w:cs="宋体" w:eastAsia="宋体" w:hint="default"/>
                <w:sz w:val="18"/>
                <w:szCs w:val="18"/>
              </w:rPr>
            </w:pPr>
            <w:r>
              <w:rPr>
                <w:rFonts w:ascii="宋体" w:hAnsi="宋体" w:cs="宋体" w:eastAsia="宋体" w:hint="default"/>
                <w:sz w:val="18"/>
                <w:szCs w:val="18"/>
              </w:rPr>
              <w:t>类型</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47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402"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任杰</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51"/>
              <w:jc w:val="right"/>
              <w:rPr>
                <w:rFonts w:ascii="宋体" w:hAnsi="宋体" w:cs="宋体" w:eastAsia="宋体" w:hint="default"/>
                <w:sz w:val="18"/>
                <w:szCs w:val="18"/>
              </w:rPr>
            </w:pPr>
            <w:r>
              <w:rPr>
                <w:rFonts w:ascii="宋体" w:hAnsi="宋体" w:cs="宋体" w:eastAsia="宋体" w:hint="default"/>
                <w:sz w:val="18"/>
                <w:szCs w:val="18"/>
              </w:rPr>
              <w:t>离任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2018-1-19</w:t>
            </w:r>
          </w:p>
        </w:tc>
        <w:tc>
          <w:tcPr>
            <w:tcW w:w="4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个人原因</w:t>
            </w:r>
          </w:p>
        </w:tc>
      </w:tr>
      <w:tr>
        <w:trPr>
          <w:trHeight w:val="714"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汪铖</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451"/>
              <w:jc w:val="right"/>
              <w:rPr>
                <w:rFonts w:ascii="宋体" w:hAnsi="宋体" w:cs="宋体" w:eastAsia="宋体" w:hint="default"/>
                <w:sz w:val="18"/>
                <w:szCs w:val="18"/>
              </w:rPr>
            </w:pPr>
            <w:r>
              <w:rPr>
                <w:rFonts w:ascii="宋体" w:hAnsi="宋体" w:cs="宋体" w:eastAsia="宋体" w:hint="default"/>
                <w:sz w:val="18"/>
                <w:szCs w:val="18"/>
              </w:rPr>
              <w:t>离任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2018-3-20</w:t>
            </w:r>
          </w:p>
        </w:tc>
        <w:tc>
          <w:tcPr>
            <w:tcW w:w="470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9"/>
              <w:jc w:val="left"/>
              <w:rPr>
                <w:rFonts w:ascii="宋体" w:hAnsi="宋体" w:cs="宋体" w:eastAsia="宋体" w:hint="default"/>
                <w:sz w:val="18"/>
                <w:szCs w:val="18"/>
              </w:rPr>
            </w:pPr>
            <w:r>
              <w:rPr>
                <w:rFonts w:ascii="宋体" w:hAnsi="宋体" w:cs="宋体" w:eastAsia="宋体" w:hint="default"/>
                <w:spacing w:val="-2"/>
                <w:sz w:val="18"/>
                <w:szCs w:val="18"/>
              </w:rPr>
              <w:t>汪铖先生因出任北京云中融信网络科技有限公司董事长，为</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避免同业竞争、减少关联交易，特辞去神州泰岳董事职务。</w:t>
            </w:r>
          </w:p>
        </w:tc>
      </w:tr>
    </w:tbl>
    <w:p>
      <w:pPr>
        <w:spacing w:line="240" w:lineRule="auto" w:before="2"/>
        <w:rPr>
          <w:rFonts w:ascii="宋体" w:hAnsi="宋体" w:cs="宋体" w:eastAsia="宋体" w:hint="default"/>
          <w:sz w:val="18"/>
          <w:szCs w:val="18"/>
        </w:rPr>
      </w:pPr>
    </w:p>
    <w:p>
      <w:pPr>
        <w:pStyle w:val="Heading2"/>
        <w:spacing w:line="240" w:lineRule="auto" w:before="26"/>
        <w:ind w:left="234" w:right="0"/>
        <w:jc w:val="left"/>
        <w:rPr>
          <w:b w:val="0"/>
          <w:bCs w:val="0"/>
        </w:rPr>
      </w:pPr>
      <w:bookmarkStart w:name="三、任职情况" w:id="133"/>
      <w:bookmarkEnd w:id="133"/>
      <w:r>
        <w:rPr>
          <w:b w:val="0"/>
          <w:bCs w:val="0"/>
        </w:rPr>
      </w:r>
      <w:r>
        <w:rPr/>
        <w:t>三、任职情况</w:t>
      </w:r>
      <w:r>
        <w:rPr>
          <w:b w:val="0"/>
          <w:bCs w:val="0"/>
        </w:rPr>
      </w:r>
    </w:p>
    <w:p>
      <w:pPr>
        <w:spacing w:line="240" w:lineRule="auto" w:before="7"/>
        <w:rPr>
          <w:rFonts w:ascii="宋体" w:hAnsi="宋体" w:cs="宋体" w:eastAsia="宋体" w:hint="default"/>
          <w:b/>
          <w:bCs/>
          <w:sz w:val="26"/>
          <w:szCs w:val="26"/>
        </w:rPr>
      </w:pPr>
    </w:p>
    <w:p>
      <w:pPr>
        <w:pStyle w:val="Heading5"/>
        <w:spacing w:line="240" w:lineRule="auto"/>
        <w:ind w:left="234" w:right="0"/>
        <w:jc w:val="left"/>
        <w:rPr>
          <w:b w:val="0"/>
          <w:bCs w:val="0"/>
        </w:rPr>
      </w:pPr>
      <w:r>
        <w:rPr/>
        <w:t>公司现任董事、监事、高级管理人员专业背景、主要工作经历以及目前在公司的主要职责</w:t>
      </w:r>
      <w:r>
        <w:rPr>
          <w:b w:val="0"/>
          <w:bCs w:val="0"/>
        </w:rPr>
      </w:r>
    </w:p>
    <w:p>
      <w:pPr>
        <w:spacing w:line="240" w:lineRule="auto" w:before="11"/>
        <w:rPr>
          <w:rFonts w:ascii="宋体" w:hAnsi="宋体" w:cs="宋体" w:eastAsia="宋体" w:hint="default"/>
          <w:b/>
          <w:bCs/>
          <w:sz w:val="14"/>
          <w:szCs w:val="14"/>
        </w:rPr>
      </w:pPr>
    </w:p>
    <w:p>
      <w:pPr>
        <w:pStyle w:val="Heading5"/>
        <w:spacing w:line="240" w:lineRule="auto"/>
        <w:ind w:left="595" w:right="0"/>
        <w:jc w:val="left"/>
        <w:rPr>
          <w:b w:val="0"/>
          <w:bCs w:val="0"/>
        </w:rPr>
      </w:pPr>
      <w:r>
        <w:rPr>
          <w:rFonts w:ascii="Times New Roman" w:hAnsi="Times New Roman" w:cs="Times New Roman" w:eastAsia="Times New Roman" w:hint="default"/>
        </w:rPr>
        <w:t>1</w:t>
      </w:r>
      <w:r>
        <w:rPr/>
        <w:t>、董事会成员简介</w:t>
      </w:r>
      <w:r>
        <w:rPr>
          <w:b w:val="0"/>
          <w:bCs w:val="0"/>
        </w:rPr>
      </w:r>
    </w:p>
    <w:p>
      <w:pPr>
        <w:spacing w:after="0" w:line="240" w:lineRule="auto"/>
        <w:jc w:val="left"/>
        <w:sectPr>
          <w:pgSz w:w="11910" w:h="16840"/>
          <w:pgMar w:header="851" w:footer="979" w:top="1440" w:bottom="1160" w:left="900" w:right="0"/>
        </w:sectPr>
      </w:pPr>
    </w:p>
    <w:p>
      <w:pPr>
        <w:spacing w:line="240" w:lineRule="auto" w:before="7"/>
        <w:rPr>
          <w:rFonts w:ascii="宋体" w:hAnsi="宋体" w:cs="宋体" w:eastAsia="宋体" w:hint="default"/>
          <w:b/>
          <w:bCs/>
          <w:sz w:val="3"/>
          <w:szCs w:val="3"/>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518" w:lineRule="auto" w:before="83"/>
        <w:ind w:left="515" w:right="1116" w:firstLine="0"/>
        <w:jc w:val="left"/>
        <w:rPr>
          <w:rFonts w:ascii="宋体" w:hAnsi="宋体" w:cs="宋体" w:eastAsia="宋体" w:hint="default"/>
          <w:sz w:val="18"/>
          <w:szCs w:val="18"/>
        </w:rPr>
      </w:pPr>
      <w:r>
        <w:rPr>
          <w:rFonts w:ascii="宋体" w:hAnsi="宋体" w:cs="宋体" w:eastAsia="宋体" w:hint="default"/>
          <w:b/>
          <w:bCs/>
          <w:sz w:val="18"/>
          <w:szCs w:val="18"/>
        </w:rPr>
        <w:t>公司董事会由十一名董事组成，其中独立董事四名，具体如下：</w:t>
      </w:r>
      <w:r>
        <w:rPr>
          <w:rFonts w:ascii="宋体" w:hAnsi="宋体" w:cs="宋体" w:eastAsia="宋体" w:hint="default"/>
          <w:b/>
          <w:bCs/>
          <w:w w:val="99"/>
          <w:sz w:val="18"/>
          <w:szCs w:val="18"/>
        </w:rPr>
        <w:t> </w:t>
      </w:r>
      <w:r>
        <w:rPr>
          <w:rFonts w:ascii="宋体" w:hAnsi="宋体" w:cs="宋体" w:eastAsia="宋体" w:hint="default"/>
          <w:b/>
          <w:bCs/>
          <w:sz w:val="18"/>
          <w:szCs w:val="18"/>
        </w:rPr>
        <w:t>王宁</w:t>
      </w:r>
      <w:r>
        <w:rPr>
          <w:rFonts w:ascii="宋体" w:hAnsi="宋体" w:cs="宋体" w:eastAsia="宋体" w:hint="default"/>
          <w:sz w:val="18"/>
          <w:szCs w:val="18"/>
        </w:rPr>
        <w:t>先生，现任北京神州泰岳软件股份有限公司董事长。</w:t>
      </w:r>
      <w:r>
        <w:rPr>
          <w:rFonts w:ascii="Times New Roman" w:hAnsi="Times New Roman" w:cs="Times New Roman" w:eastAsia="Times New Roman" w:hint="default"/>
          <w:sz w:val="18"/>
          <w:szCs w:val="18"/>
        </w:rPr>
        <w:t>1961 </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年出生，中国国籍，无永久境外居留权。毕业于河北大</w:t>
      </w:r>
    </w:p>
    <w:p>
      <w:pPr>
        <w:pStyle w:val="BodyText"/>
        <w:spacing w:line="237" w:lineRule="exact"/>
        <w:ind w:right="0"/>
        <w:jc w:val="left"/>
      </w:pPr>
      <w:r>
        <w:rPr>
          <w:spacing w:val="-5"/>
        </w:rPr>
        <w:t>学，理学、法学双学士，荣获</w:t>
      </w:r>
      <w:r>
        <w:rPr>
          <w:spacing w:val="-51"/>
        </w:rPr>
        <w:t> </w:t>
      </w:r>
      <w:r>
        <w:rPr>
          <w:rFonts w:ascii="Times New Roman" w:hAnsi="Times New Roman" w:cs="Times New Roman" w:eastAsia="Times New Roman" w:hint="default"/>
        </w:rPr>
        <w:t>2006</w:t>
      </w:r>
      <w:r>
        <w:rPr>
          <w:rFonts w:ascii="Times New Roman" w:hAnsi="Times New Roman" w:cs="Times New Roman" w:eastAsia="Times New Roman" w:hint="default"/>
          <w:spacing w:val="-6"/>
        </w:rPr>
        <w:t> </w:t>
      </w:r>
      <w:r>
        <w:rPr/>
        <w:t>年</w:t>
      </w:r>
      <w:r>
        <w:rPr>
          <w:rFonts w:ascii="Times New Roman" w:hAnsi="Times New Roman" w:cs="Times New Roman" w:eastAsia="Times New Roman" w:hint="default"/>
        </w:rPr>
        <w:t>“</w:t>
      </w:r>
      <w:r>
        <w:rPr/>
        <w:t>中国软件企业十大领军人物</w:t>
      </w:r>
      <w:r>
        <w:rPr>
          <w:rFonts w:ascii="Times New Roman" w:hAnsi="Times New Roman" w:cs="Times New Roman" w:eastAsia="Times New Roman" w:hint="default"/>
        </w:rPr>
        <w:t>”</w:t>
      </w:r>
      <w:r>
        <w:rPr/>
        <w:t>、</w:t>
      </w:r>
      <w:r>
        <w:rPr>
          <w:rFonts w:ascii="Times New Roman" w:hAnsi="Times New Roman" w:cs="Times New Roman" w:eastAsia="Times New Roman" w:hint="default"/>
        </w:rPr>
        <w:t>2009</w:t>
      </w:r>
      <w:r>
        <w:rPr>
          <w:rFonts w:ascii="Times New Roman" w:hAnsi="Times New Roman" w:cs="Times New Roman" w:eastAsia="Times New Roman" w:hint="default"/>
          <w:spacing w:val="-6"/>
        </w:rPr>
        <w:t> </w:t>
      </w:r>
      <w:r>
        <w:rPr/>
        <w:t>年</w:t>
      </w:r>
      <w:r>
        <w:rPr>
          <w:rFonts w:ascii="Times New Roman" w:hAnsi="Times New Roman" w:cs="Times New Roman" w:eastAsia="Times New Roman" w:hint="default"/>
        </w:rPr>
        <w:t>“</w:t>
      </w:r>
      <w:r>
        <w:rPr/>
        <w:t>中国软件产业发展功勋人物</w:t>
      </w:r>
      <w:r>
        <w:rPr>
          <w:rFonts w:ascii="Times New Roman" w:hAnsi="Times New Roman" w:cs="Times New Roman" w:eastAsia="Times New Roman" w:hint="default"/>
        </w:rPr>
        <w:t>”</w:t>
      </w:r>
      <w:r>
        <w:rPr/>
        <w:t>及</w:t>
      </w:r>
      <w:r>
        <w:rPr>
          <w:rFonts w:ascii="Times New Roman" w:hAnsi="Times New Roman" w:cs="Times New Roman" w:eastAsia="Times New Roman" w:hint="default"/>
        </w:rPr>
        <w:t>“</w:t>
      </w:r>
      <w:r>
        <w:rPr/>
        <w:t>中国软件产业</w:t>
      </w:r>
    </w:p>
    <w:p>
      <w:pPr>
        <w:spacing w:line="240" w:lineRule="auto" w:before="10"/>
        <w:rPr>
          <w:rFonts w:ascii="宋体" w:hAnsi="宋体" w:cs="宋体" w:eastAsia="宋体" w:hint="default"/>
          <w:sz w:val="16"/>
          <w:szCs w:val="16"/>
        </w:rPr>
      </w:pPr>
    </w:p>
    <w:p>
      <w:pPr>
        <w:pStyle w:val="BodyText"/>
        <w:spacing w:line="451" w:lineRule="auto"/>
        <w:ind w:right="1125"/>
        <w:jc w:val="left"/>
        <w:rPr>
          <w:rFonts w:ascii="Times New Roman" w:hAnsi="Times New Roman" w:cs="Times New Roman" w:eastAsia="Times New Roman" w:hint="default"/>
        </w:rPr>
      </w:pPr>
      <w:r>
        <w:rPr/>
        <w:t>杰出企业家</w:t>
      </w:r>
      <w:r>
        <w:rPr>
          <w:rFonts w:ascii="Times New Roman" w:hAnsi="Times New Roman" w:cs="Times New Roman" w:eastAsia="Times New Roman" w:hint="default"/>
        </w:rPr>
        <w:t>”</w:t>
      </w:r>
      <w:r>
        <w:rPr/>
        <w:t>。曾任河北大学校团委书记、河北大学出版社社长、联想集团工控公司电脑部经理、北京新海拓科技公司总经</w:t>
      </w:r>
      <w:r>
        <w:rPr>
          <w:spacing w:val="-77"/>
        </w:rPr>
        <w:t> </w:t>
      </w:r>
      <w:r>
        <w:rPr>
          <w:spacing w:val="-77"/>
        </w:rPr>
      </w:r>
      <w:r>
        <w:rPr/>
        <w:t>理，北京神州泰岳科技有限公司副总经理、总经理。</w:t>
      </w:r>
      <w:r>
        <w:rPr>
          <w:rFonts w:ascii="Times New Roman" w:hAnsi="Times New Roman" w:cs="Times New Roman" w:eastAsia="Times New Roman" w:hint="default"/>
        </w:rPr>
        <w:t>2001</w:t>
      </w:r>
      <w:r>
        <w:rPr>
          <w:rFonts w:ascii="Times New Roman" w:hAnsi="Times New Roman" w:cs="Times New Roman" w:eastAsia="Times New Roman" w:hint="default"/>
          <w:spacing w:val="-7"/>
        </w:rPr>
        <w:t> </w:t>
      </w:r>
      <w:r>
        <w:rPr/>
        <w:t>年</w:t>
      </w:r>
      <w:r>
        <w:rPr>
          <w:spacing w:val="-52"/>
        </w:rPr>
        <w:t> </w:t>
      </w:r>
      <w:r>
        <w:rPr>
          <w:rFonts w:ascii="Times New Roman" w:hAnsi="Times New Roman" w:cs="Times New Roman" w:eastAsia="Times New Roman" w:hint="default"/>
        </w:rPr>
        <w:t>5</w:t>
      </w:r>
      <w:r>
        <w:rPr>
          <w:rFonts w:ascii="Times New Roman" w:hAnsi="Times New Roman" w:cs="Times New Roman" w:eastAsia="Times New Roman" w:hint="default"/>
          <w:spacing w:val="-7"/>
        </w:rPr>
        <w:t> </w:t>
      </w:r>
      <w:r>
        <w:rPr/>
        <w:t>月至今担任神州泰岳公司董事长，其中，</w:t>
      </w:r>
      <w:r>
        <w:rPr>
          <w:rFonts w:ascii="Times New Roman" w:hAnsi="Times New Roman" w:cs="Times New Roman" w:eastAsia="Times New Roman" w:hint="default"/>
        </w:rPr>
        <w:t>2001</w:t>
      </w:r>
      <w:r>
        <w:rPr>
          <w:rFonts w:ascii="Times New Roman" w:hAnsi="Times New Roman" w:cs="Times New Roman" w:eastAsia="Times New Roman" w:hint="default"/>
          <w:spacing w:val="-7"/>
        </w:rPr>
        <w:t> </w:t>
      </w:r>
      <w:r>
        <w:rPr/>
        <w:t>年</w:t>
      </w:r>
      <w:r>
        <w:rPr>
          <w:spacing w:val="-52"/>
        </w:rPr>
        <w:t> </w:t>
      </w:r>
      <w:r>
        <w:rPr>
          <w:rFonts w:ascii="Times New Roman" w:hAnsi="Times New Roman" w:cs="Times New Roman" w:eastAsia="Times New Roman" w:hint="default"/>
        </w:rPr>
        <w:t>5</w:t>
      </w:r>
      <w:r>
        <w:rPr>
          <w:rFonts w:ascii="Times New Roman" w:hAnsi="Times New Roman" w:cs="Times New Roman" w:eastAsia="Times New Roman" w:hint="default"/>
          <w:spacing w:val="-6"/>
        </w:rPr>
        <w:t> </w:t>
      </w:r>
      <w:r>
        <w:rPr/>
        <w:t>月至</w:t>
      </w:r>
      <w:r>
        <w:rPr>
          <w:spacing w:val="-52"/>
        </w:rPr>
        <w:t> </w:t>
      </w:r>
      <w:r>
        <w:rPr>
          <w:rFonts w:ascii="Times New Roman" w:hAnsi="Times New Roman" w:cs="Times New Roman" w:eastAsia="Times New Roman" w:hint="default"/>
        </w:rPr>
        <w:t>2007</w:t>
      </w:r>
    </w:p>
    <w:p>
      <w:pPr>
        <w:pStyle w:val="BodyText"/>
        <w:spacing w:line="451" w:lineRule="auto" w:before="42"/>
        <w:ind w:right="1120"/>
        <w:jc w:val="left"/>
      </w:pPr>
      <w:r>
        <w:rPr/>
        <w:t>年</w:t>
      </w:r>
      <w:r>
        <w:rPr>
          <w:spacing w:val="-37"/>
        </w:rPr>
        <w:t> </w:t>
      </w:r>
      <w:r>
        <w:rPr>
          <w:rFonts w:ascii="Times New Roman" w:hAnsi="Times New Roman" w:cs="Times New Roman" w:eastAsia="Times New Roman" w:hint="default"/>
        </w:rPr>
        <w:t>7</w:t>
      </w:r>
      <w:r>
        <w:rPr>
          <w:rFonts w:ascii="Times New Roman" w:hAnsi="Times New Roman" w:cs="Times New Roman" w:eastAsia="Times New Roman" w:hint="default"/>
          <w:spacing w:val="8"/>
        </w:rPr>
        <w:t> </w:t>
      </w:r>
      <w:r>
        <w:rPr>
          <w:spacing w:val="-2"/>
        </w:rPr>
        <w:t>月，曾任公司财务负责人、总经理。兼任北京启天同信科技有限公司董事、北京神州良品电子商务科技股份有限公司董</w:t>
      </w:r>
      <w:r>
        <w:rPr>
          <w:spacing w:val="-88"/>
        </w:rPr>
        <w:t> </w:t>
      </w:r>
      <w:r>
        <w:rPr>
          <w:spacing w:val="-88"/>
        </w:rPr>
      </w:r>
      <w:r>
        <w:rPr/>
        <w:t>事长、北京华泰德丰技术有限公司董事长、北京创董创新实业有限公司董事长、北京善聚投资管理有限公司执行董事。</w:t>
      </w:r>
    </w:p>
    <w:p>
      <w:pPr>
        <w:pStyle w:val="BodyText"/>
        <w:spacing w:line="465" w:lineRule="auto" w:before="113"/>
        <w:ind w:right="1130" w:firstLine="361"/>
        <w:jc w:val="both"/>
      </w:pPr>
      <w:r>
        <w:rPr>
          <w:rFonts w:ascii="宋体" w:hAnsi="宋体" w:cs="宋体" w:eastAsia="宋体" w:hint="default"/>
          <w:b/>
          <w:bCs/>
          <w:spacing w:val="-2"/>
        </w:rPr>
        <w:t>李力</w:t>
      </w:r>
      <w:r>
        <w:rPr>
          <w:spacing w:val="-2"/>
        </w:rPr>
        <w:t>先生</w:t>
      </w:r>
      <w:r>
        <w:rPr>
          <w:rFonts w:ascii="宋体" w:hAnsi="宋体" w:cs="宋体" w:eastAsia="宋体" w:hint="default"/>
          <w:b/>
          <w:bCs/>
          <w:spacing w:val="-2"/>
        </w:rPr>
        <w:t>，</w:t>
      </w:r>
      <w:r>
        <w:rPr>
          <w:spacing w:val="-2"/>
        </w:rPr>
        <w:t>现任北京神州泰岳软件股份有限公司副董事长。</w:t>
      </w:r>
      <w:r>
        <w:rPr>
          <w:rFonts w:ascii="Times New Roman" w:hAnsi="Times New Roman" w:cs="Times New Roman" w:eastAsia="Times New Roman" w:hint="default"/>
          <w:spacing w:val="-2"/>
        </w:rPr>
        <w:t>1971</w:t>
      </w:r>
      <w:r>
        <w:rPr>
          <w:spacing w:val="-2"/>
        </w:rPr>
        <w:t>年出生，中国国籍，新加坡永久居留权。毕业于首都经</w:t>
      </w:r>
      <w:r>
        <w:rPr/>
        <w:t> </w:t>
      </w:r>
      <w:r>
        <w:rPr>
          <w:spacing w:val="-5"/>
        </w:rPr>
        <w:t>贸大学，曾任北京力霸科技有限公司副总经理。李力先生作为主要创始人，历任神州泰岳公司董事、常务副总经理、总经理。</w:t>
      </w:r>
      <w:r>
        <w:rPr>
          <w:spacing w:val="-79"/>
        </w:rPr>
        <w:t> </w:t>
      </w:r>
      <w:r>
        <w:rPr>
          <w:spacing w:val="-79"/>
        </w:rPr>
      </w:r>
      <w:r>
        <w:rPr/>
        <w:t>兼任北京启天同信科技有限公司董事、神州泰岳（香港）有限公司董事、中建智能技术有限公司董事。</w:t>
      </w:r>
    </w:p>
    <w:p>
      <w:pPr>
        <w:pStyle w:val="BodyText"/>
        <w:spacing w:line="456" w:lineRule="auto" w:before="101"/>
        <w:ind w:right="1129" w:firstLine="361"/>
        <w:jc w:val="both"/>
      </w:pPr>
      <w:r>
        <w:rPr>
          <w:rFonts w:ascii="宋体" w:hAnsi="宋体" w:cs="宋体" w:eastAsia="宋体" w:hint="default"/>
          <w:b/>
          <w:bCs/>
          <w:spacing w:val="-2"/>
        </w:rPr>
        <w:t>黄松浪</w:t>
      </w:r>
      <w:r>
        <w:rPr>
          <w:spacing w:val="-2"/>
        </w:rPr>
        <w:t>先生，现任北京神州泰岳软件股份有限公司副董事长。</w:t>
      </w:r>
      <w:r>
        <w:rPr>
          <w:rFonts w:ascii="Times New Roman" w:hAnsi="Times New Roman" w:cs="Times New Roman" w:eastAsia="Times New Roman" w:hint="default"/>
          <w:spacing w:val="-2"/>
        </w:rPr>
        <w:t>1968</w:t>
      </w:r>
      <w:r>
        <w:rPr>
          <w:spacing w:val="-2"/>
        </w:rPr>
        <w:t>年出生，中国国籍，无永久境外居留权。毕业于清华</w:t>
      </w:r>
      <w:r>
        <w:rPr/>
        <w:t> </w:t>
      </w:r>
      <w:r>
        <w:rPr>
          <w:spacing w:val="-5"/>
          <w:w w:val="99"/>
        </w:rPr>
        <w:t>大学，软件工程硕士学位，</w:t>
      </w:r>
      <w:r>
        <w:rPr>
          <w:rFonts w:ascii="Times New Roman" w:hAnsi="Times New Roman" w:cs="Times New Roman" w:eastAsia="Times New Roman" w:hint="default"/>
          <w:spacing w:val="-5"/>
          <w:w w:val="99"/>
        </w:rPr>
        <w:t>2002</w:t>
      </w:r>
      <w:r>
        <w:rPr>
          <w:spacing w:val="-5"/>
          <w:w w:val="99"/>
        </w:rPr>
        <w:t>年获美国新泽西州立大学</w:t>
      </w:r>
      <w:r>
        <w:rPr>
          <w:rFonts w:ascii="Times New Roman" w:hAnsi="Times New Roman" w:cs="Times New Roman" w:eastAsia="Times New Roman" w:hint="default"/>
          <w:spacing w:val="-5"/>
          <w:w w:val="99"/>
        </w:rPr>
        <w:t>Rutgers</w:t>
      </w:r>
      <w:r>
        <w:rPr>
          <w:spacing w:val="-5"/>
          <w:w w:val="99"/>
        </w:rPr>
        <w:t>商学院</w:t>
      </w:r>
      <w:r>
        <w:rPr>
          <w:rFonts w:ascii="Times New Roman" w:hAnsi="Times New Roman" w:cs="Times New Roman" w:eastAsia="Times New Roman" w:hint="default"/>
          <w:spacing w:val="-5"/>
          <w:w w:val="99"/>
        </w:rPr>
        <w:t>EMBA</w:t>
      </w:r>
      <w:r>
        <w:rPr>
          <w:spacing w:val="-5"/>
          <w:w w:val="99"/>
        </w:rPr>
        <w:t>学位；曾任吉通通信有限公司技术总体部经理、</w:t>
      </w:r>
      <w:r>
        <w:rPr>
          <w:spacing w:val="-45"/>
          <w:w w:val="99"/>
        </w:rPr>
        <w:t> </w:t>
      </w:r>
      <w:r>
        <w:rPr>
          <w:spacing w:val="-45"/>
          <w:w w:val="99"/>
        </w:rPr>
      </w:r>
      <w:r>
        <w:rPr>
          <w:spacing w:val="-4"/>
        </w:rPr>
        <w:t>中国惠普有限公司软件业务部总经理、上海联盈数码技术有限公司董事、总经理；</w:t>
      </w:r>
      <w:r>
        <w:rPr>
          <w:rFonts w:ascii="Times New Roman" w:hAnsi="Times New Roman" w:cs="Times New Roman" w:eastAsia="Times New Roman" w:hint="default"/>
          <w:spacing w:val="-4"/>
        </w:rPr>
        <w:t>2007</w:t>
      </w:r>
      <w:r>
        <w:rPr>
          <w:spacing w:val="-4"/>
        </w:rPr>
        <w:t>年</w:t>
      </w:r>
      <w:r>
        <w:rPr>
          <w:rFonts w:ascii="Times New Roman" w:hAnsi="Times New Roman" w:cs="Times New Roman" w:eastAsia="Times New Roman" w:hint="default"/>
          <w:spacing w:val="-4"/>
        </w:rPr>
        <w:t>7</w:t>
      </w:r>
      <w:r>
        <w:rPr>
          <w:spacing w:val="-4"/>
        </w:rPr>
        <w:t>月至今担任公司副董事长，其中，</w:t>
      </w:r>
      <w:r>
        <w:rPr>
          <w:spacing w:val="-37"/>
        </w:rPr>
        <w:t> </w:t>
      </w:r>
      <w:r>
        <w:rPr>
          <w:spacing w:val="-37"/>
        </w:rPr>
      </w:r>
      <w:r>
        <w:rPr>
          <w:rFonts w:ascii="Times New Roman" w:hAnsi="Times New Roman" w:cs="Times New Roman" w:eastAsia="Times New Roman" w:hint="default"/>
          <w:spacing w:val="-2"/>
        </w:rPr>
        <w:t>2007</w:t>
      </w:r>
      <w:r>
        <w:rPr>
          <w:spacing w:val="-2"/>
        </w:rPr>
        <w:t>年</w:t>
      </w:r>
      <w:r>
        <w:rPr>
          <w:rFonts w:ascii="Times New Roman" w:hAnsi="Times New Roman" w:cs="Times New Roman" w:eastAsia="Times New Roman" w:hint="default"/>
          <w:spacing w:val="-2"/>
        </w:rPr>
        <w:t>7</w:t>
      </w:r>
      <w:r>
        <w:rPr>
          <w:spacing w:val="-2"/>
        </w:rPr>
        <w:t>月至</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5</w:t>
      </w:r>
      <w:r>
        <w:rPr>
          <w:spacing w:val="-2"/>
        </w:rPr>
        <w:t>月兼任神州泰岳公司董事会秘书。现兼任大连华信计算机技术股份有限公司董事、重庆新媒农信科技有</w:t>
      </w:r>
      <w:r>
        <w:rPr>
          <w:spacing w:val="-54"/>
        </w:rPr>
        <w:t> </w:t>
      </w:r>
      <w:r>
        <w:rPr>
          <w:spacing w:val="-54"/>
        </w:rPr>
      </w:r>
      <w:r>
        <w:rPr>
          <w:spacing w:val="-2"/>
        </w:rPr>
        <w:t>限公司执行董事、重庆新媒亿网科技有限公司执行董事、重庆新迈峰科技有限公司执行董事、北京启天同信科技有限公司董</w:t>
      </w:r>
      <w:r>
        <w:rPr>
          <w:spacing w:val="-66"/>
        </w:rPr>
        <w:t> </w:t>
      </w:r>
      <w:r>
        <w:rPr>
          <w:spacing w:val="-66"/>
        </w:rPr>
      </w:r>
      <w:r>
        <w:rPr/>
        <w:t>事。</w:t>
      </w:r>
    </w:p>
    <w:p>
      <w:pPr>
        <w:pStyle w:val="BodyText"/>
        <w:spacing w:line="460" w:lineRule="auto" w:before="109"/>
        <w:ind w:right="1129" w:firstLine="361"/>
        <w:jc w:val="both"/>
      </w:pPr>
      <w:r>
        <w:rPr>
          <w:rFonts w:ascii="宋体" w:hAnsi="宋体" w:cs="宋体" w:eastAsia="宋体" w:hint="default"/>
          <w:b/>
          <w:bCs/>
          <w:spacing w:val="-2"/>
        </w:rPr>
        <w:t>冒大卫</w:t>
      </w:r>
      <w:r>
        <w:rPr>
          <w:spacing w:val="-2"/>
        </w:rPr>
        <w:t>先生，现任北京神州泰岳软件股份有限公司董事兼总裁。</w:t>
      </w:r>
      <w:r>
        <w:rPr>
          <w:rFonts w:ascii="Times New Roman" w:hAnsi="Times New Roman" w:cs="Times New Roman" w:eastAsia="Times New Roman" w:hint="default"/>
          <w:spacing w:val="-2"/>
        </w:rPr>
        <w:t>1980</w:t>
      </w:r>
      <w:r>
        <w:rPr>
          <w:spacing w:val="-2"/>
        </w:rPr>
        <w:t>年出生，中国国籍，无永久境外居留权。毕业于北</w:t>
      </w:r>
      <w:r>
        <w:rPr/>
        <w:t> </w:t>
      </w:r>
      <w:r>
        <w:rPr>
          <w:spacing w:val="-2"/>
        </w:rPr>
        <w:t>京大学，研究生学历，博士学位，副教授。曾任北京大学光华管理学院团委书记、北京大学光华管理学院党委副书记、北京</w:t>
      </w:r>
      <w:r>
        <w:rPr>
          <w:spacing w:val="-68"/>
        </w:rPr>
        <w:t> </w:t>
      </w:r>
      <w:r>
        <w:rPr>
          <w:spacing w:val="-68"/>
        </w:rPr>
      </w:r>
      <w:r>
        <w:rPr/>
        <w:t>大学光华管理学院党委书记、北京大学财务部部长、后勤结算中心主任兼北京大学医学部副主任。</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18</w:t>
      </w:r>
      <w:r>
        <w:rPr/>
        <w:t>日任神州泰</w:t>
      </w:r>
      <w:r>
        <w:rPr>
          <w:spacing w:val="-81"/>
        </w:rPr>
        <w:t> </w:t>
      </w:r>
      <w:r>
        <w:rPr/>
        <w:t>岳公司董事，</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28</w:t>
      </w:r>
      <w:r>
        <w:rPr/>
        <w:t>日任神州泰岳公司总裁。</w:t>
      </w:r>
    </w:p>
    <w:p>
      <w:pPr>
        <w:pStyle w:val="BodyText"/>
        <w:spacing w:line="460" w:lineRule="auto" w:before="75"/>
        <w:ind w:right="1129" w:firstLine="361"/>
        <w:jc w:val="both"/>
      </w:pPr>
      <w:r>
        <w:rPr>
          <w:rFonts w:ascii="宋体" w:hAnsi="宋体" w:cs="宋体" w:eastAsia="宋体" w:hint="default"/>
          <w:b/>
          <w:bCs/>
          <w:spacing w:val="-2"/>
        </w:rPr>
        <w:t>翟一兵</w:t>
      </w:r>
      <w:r>
        <w:rPr>
          <w:spacing w:val="-2"/>
        </w:rPr>
        <w:t>先生，现任北京神州泰岳软件股份有限公司董事兼首席运营官。</w:t>
      </w:r>
      <w:r>
        <w:rPr>
          <w:rFonts w:ascii="Times New Roman" w:hAnsi="Times New Roman" w:cs="Times New Roman" w:eastAsia="Times New Roman" w:hint="default"/>
          <w:spacing w:val="-2"/>
        </w:rPr>
        <w:t>1963</w:t>
      </w:r>
      <w:r>
        <w:rPr>
          <w:spacing w:val="-2"/>
        </w:rPr>
        <w:t>年出生，中国国籍，无永久境外居留权，教</w:t>
      </w:r>
      <w:r>
        <w:rPr/>
        <w:t> </w:t>
      </w:r>
      <w:r>
        <w:rPr>
          <w:spacing w:val="-2"/>
        </w:rPr>
        <w:t>授级高级工程师。</w:t>
      </w:r>
      <w:r>
        <w:rPr>
          <w:rFonts w:ascii="Times New Roman" w:hAnsi="Times New Roman" w:cs="Times New Roman" w:eastAsia="Times New Roman" w:hint="default"/>
          <w:spacing w:val="-2"/>
        </w:rPr>
        <w:t>1986</w:t>
      </w:r>
      <w:r>
        <w:rPr>
          <w:spacing w:val="-2"/>
        </w:rPr>
        <w:t>年毕业于北京邮电学院无线电工程专业，同年留校任计算机工程系助教；先后获得挪威商学院硕士学</w:t>
      </w:r>
      <w:r>
        <w:rPr>
          <w:spacing w:val="-62"/>
        </w:rPr>
        <w:t> </w:t>
      </w:r>
      <w:r>
        <w:rPr>
          <w:spacing w:val="-62"/>
        </w:rPr>
      </w:r>
      <w:r>
        <w:rPr>
          <w:spacing w:val="-2"/>
        </w:rPr>
        <w:t>位和法国雷恩商学院博士学位。曾在邮电部电信总局工作，任科员、主任、局长助理；在地方挂职锻炼任职副市长；中国移</w:t>
      </w:r>
      <w:r>
        <w:rPr>
          <w:spacing w:val="-67"/>
        </w:rPr>
        <w:t> </w:t>
      </w:r>
      <w:r>
        <w:rPr>
          <w:spacing w:val="-67"/>
        </w:rPr>
      </w:r>
      <w:r>
        <w:rPr>
          <w:spacing w:val="-2"/>
        </w:rPr>
        <w:t>动通信集团公司筹备办公室主任、网络部副部长；在中国联合通信有限公司工作期间曾任移动部、增值业务部、营销部副总</w:t>
      </w:r>
      <w:r>
        <w:rPr>
          <w:spacing w:val="-66"/>
        </w:rPr>
        <w:t> </w:t>
      </w:r>
      <w:r>
        <w:rPr>
          <w:spacing w:val="-66"/>
        </w:rPr>
      </w:r>
      <w:r>
        <w:rPr/>
        <w:t>经理、联通时科信息技术有限公司董事、首席执行官</w:t>
      </w:r>
      <w:r>
        <w:rPr>
          <w:rFonts w:ascii="Times New Roman" w:hAnsi="Times New Roman" w:cs="Times New Roman" w:eastAsia="Times New Roman" w:hint="default"/>
        </w:rPr>
        <w:t>(CEO)</w:t>
      </w:r>
      <w:r>
        <w:rPr/>
        <w:t>；</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3</w:t>
      </w:r>
      <w:r>
        <w:rPr/>
        <w:t>月，担任神州泰岳公司首席运营官</w:t>
      </w:r>
      <w:r>
        <w:rPr>
          <w:rFonts w:ascii="Times New Roman" w:hAnsi="Times New Roman" w:cs="Times New Roman" w:eastAsia="Times New Roman" w:hint="default"/>
        </w:rPr>
        <w:t>(COO)</w:t>
      </w:r>
      <w:r>
        <w:rPr/>
        <w:t>。</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5</w:t>
      </w:r>
      <w:r>
        <w:rPr/>
        <w:t>月</w:t>
      </w:r>
      <w:r>
        <w:rPr>
          <w:spacing w:val="-75"/>
        </w:rPr>
        <w:t> </w:t>
      </w:r>
      <w:r>
        <w:rPr/>
        <w:t>至今担任公司董事兼首席运营官。</w:t>
      </w:r>
    </w:p>
    <w:p>
      <w:pPr>
        <w:pStyle w:val="BodyText"/>
        <w:spacing w:line="451" w:lineRule="auto" w:before="105"/>
        <w:ind w:right="1129" w:firstLine="361"/>
        <w:jc w:val="both"/>
      </w:pPr>
      <w:r>
        <w:rPr>
          <w:rFonts w:ascii="宋体" w:hAnsi="宋体" w:cs="宋体" w:eastAsia="宋体" w:hint="default"/>
          <w:b/>
          <w:bCs/>
          <w:spacing w:val="-2"/>
        </w:rPr>
        <w:t>徐斯平</w:t>
      </w:r>
      <w:r>
        <w:rPr>
          <w:spacing w:val="-2"/>
        </w:rPr>
        <w:t>先生，现任北京神州泰岳软件股份有限公司董事。</w:t>
      </w:r>
      <w:r>
        <w:rPr>
          <w:rFonts w:ascii="Times New Roman" w:hAnsi="Times New Roman" w:cs="Times New Roman" w:eastAsia="Times New Roman" w:hint="default"/>
          <w:spacing w:val="-2"/>
        </w:rPr>
        <w:t>1958</w:t>
      </w:r>
      <w:r>
        <w:rPr>
          <w:spacing w:val="-2"/>
        </w:rPr>
        <w:t>年出生，中国国籍，无永久境外居留权。毕业于大连理工</w:t>
      </w:r>
      <w:r>
        <w:rPr/>
        <w:t> 大学，曾先后任职于国家计委、国家经贸委、香港江胜集团、北京思乐信息技术有限公司；</w:t>
      </w:r>
      <w:r>
        <w:rPr>
          <w:rFonts w:ascii="Times New Roman" w:hAnsi="Times New Roman" w:cs="Times New Roman" w:eastAsia="Times New Roman" w:hint="default"/>
        </w:rPr>
        <w:t>2005</w:t>
      </w:r>
      <w:r>
        <w:rPr/>
        <w:t>年</w:t>
      </w:r>
      <w:r>
        <w:rPr>
          <w:rFonts w:ascii="Times New Roman" w:hAnsi="Times New Roman" w:cs="Times New Roman" w:eastAsia="Times New Roman" w:hint="default"/>
        </w:rPr>
        <w:t>6</w:t>
      </w:r>
      <w:r>
        <w:rPr/>
        <w:t>月至今任神州泰岳公司</w:t>
      </w:r>
      <w:r>
        <w:rPr>
          <w:spacing w:val="-82"/>
        </w:rPr>
        <w:t> </w:t>
      </w:r>
      <w:r>
        <w:rPr>
          <w:spacing w:val="-82"/>
        </w:rPr>
      </w:r>
      <w:r>
        <w:rPr>
          <w:spacing w:val="-2"/>
        </w:rPr>
        <w:t>董事。兼任北京互联时代通讯科技有限公司董事、北京启天同信科技有限公司董事、上海大渡新物流有限公司执行董事及总</w:t>
      </w:r>
    </w:p>
    <w:p>
      <w:pPr>
        <w:spacing w:after="0" w:line="451" w:lineRule="auto"/>
        <w:jc w:val="both"/>
        <w:sectPr>
          <w:pgSz w:w="11910" w:h="16840"/>
          <w:pgMar w:header="851" w:footer="979" w:top="1400" w:bottom="1160" w:left="980" w:right="0"/>
        </w:sectPr>
      </w:pPr>
    </w:p>
    <w:p>
      <w:pPr>
        <w:spacing w:line="240" w:lineRule="auto" w:before="2"/>
        <w:rPr>
          <w:rFonts w:ascii="宋体" w:hAnsi="宋体" w:cs="宋体" w:eastAsia="宋体" w:hint="default"/>
          <w:sz w:val="8"/>
          <w:szCs w:val="8"/>
        </w:rPr>
      </w:pPr>
    </w:p>
    <w:p>
      <w:pPr>
        <w:pStyle w:val="BodyText"/>
        <w:spacing w:line="516" w:lineRule="auto" w:before="44"/>
        <w:ind w:left="515" w:right="0" w:hanging="362"/>
        <w:jc w:val="left"/>
      </w:pPr>
      <w:r>
        <w:rPr/>
        <w:t>经理、北京顺通典当有限责任公司董事。 </w:t>
      </w:r>
      <w:r>
        <w:rPr>
          <w:rFonts w:ascii="宋体" w:hAnsi="宋体" w:cs="宋体" w:eastAsia="宋体" w:hint="default"/>
          <w:b/>
          <w:bCs/>
          <w:spacing w:val="-2"/>
        </w:rPr>
        <w:t>杨凯程</w:t>
      </w:r>
      <w:r>
        <w:rPr>
          <w:spacing w:val="-2"/>
        </w:rPr>
        <w:t>先生，现任北京神州泰岳软件股份有限公司董事、副总裁。</w:t>
      </w:r>
      <w:r>
        <w:rPr>
          <w:rFonts w:ascii="Times New Roman" w:hAnsi="Times New Roman" w:cs="Times New Roman" w:eastAsia="Times New Roman" w:hint="default"/>
          <w:spacing w:val="-2"/>
        </w:rPr>
        <w:t>1968</w:t>
      </w:r>
      <w:r>
        <w:rPr>
          <w:spacing w:val="-2"/>
        </w:rPr>
        <w:t>年出生，中国国籍，无永久境外居留权。毕业于</w:t>
      </w:r>
    </w:p>
    <w:p>
      <w:pPr>
        <w:pStyle w:val="BodyText"/>
        <w:spacing w:line="468" w:lineRule="auto"/>
        <w:ind w:left="0" w:right="1129"/>
        <w:jc w:val="right"/>
      </w:pPr>
      <w:r>
        <w:rPr>
          <w:spacing w:val="-2"/>
        </w:rPr>
        <w:t>国防科学技术大学，软件工程硕士学位。曾荣获中国人民解放军三等军功一次，国防科技技术进步奖二等奖三次和三等奖三</w:t>
      </w:r>
      <w:r>
        <w:rPr>
          <w:spacing w:val="-77"/>
        </w:rPr>
        <w:t> </w:t>
      </w:r>
      <w:r>
        <w:rPr>
          <w:spacing w:val="-77"/>
        </w:rPr>
      </w:r>
      <w:r>
        <w:rPr>
          <w:spacing w:val="-2"/>
        </w:rPr>
        <w:t>次。曾任总装备部系统工程研究所助理研究员、中国惠普有限公司高级技术顾问和高级产品经理、上海联盈数码技术有限公</w:t>
      </w:r>
      <w:r>
        <w:rPr>
          <w:spacing w:val="-75"/>
        </w:rPr>
        <w:t> </w:t>
      </w:r>
      <w:r>
        <w:rPr>
          <w:spacing w:val="-75"/>
        </w:rPr>
      </w:r>
      <w:r>
        <w:rPr>
          <w:spacing w:val="-2"/>
        </w:rPr>
        <w:t>司常务副总经理、神州泰岳副总经理、酷六网首席技术官、东南融通集团高级总监、文思海辉集团副总裁；</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11</w:t>
      </w:r>
      <w:r>
        <w:rPr>
          <w:spacing w:val="-2"/>
        </w:rPr>
        <w:t>月担任</w:t>
      </w:r>
      <w:r>
        <w:rPr>
          <w:spacing w:val="-69"/>
        </w:rPr>
        <w:t> </w:t>
      </w:r>
      <w:r>
        <w:rPr>
          <w:spacing w:val="-69"/>
        </w:rPr>
      </w:r>
      <w:r>
        <w:rPr>
          <w:spacing w:val="-5"/>
        </w:rPr>
        <w:t>神州泰岳公司董事、副总裁，兼任中科鼎富（北京）科技发展有限公司执行董事、大理白族自治州苍洱公益关爱中心理事长。</w:t>
      </w:r>
    </w:p>
    <w:p>
      <w:pPr>
        <w:pStyle w:val="BodyText"/>
        <w:spacing w:line="451" w:lineRule="auto" w:before="101"/>
        <w:ind w:right="1129" w:firstLine="361"/>
        <w:jc w:val="both"/>
      </w:pPr>
      <w:r>
        <w:rPr>
          <w:rFonts w:ascii="宋体" w:hAnsi="宋体" w:cs="宋体" w:eastAsia="宋体" w:hint="default"/>
          <w:b/>
          <w:bCs/>
          <w:spacing w:val="-2"/>
        </w:rPr>
        <w:t>罗建北</w:t>
      </w:r>
      <w:r>
        <w:rPr>
          <w:spacing w:val="-2"/>
        </w:rPr>
        <w:t>女士，现任北京神州泰岳软件股份有限公司独立董事。</w:t>
      </w:r>
      <w:r>
        <w:rPr>
          <w:rFonts w:ascii="Times New Roman" w:hAnsi="Times New Roman" w:cs="Times New Roman" w:eastAsia="Times New Roman" w:hint="default"/>
          <w:spacing w:val="-2"/>
        </w:rPr>
        <w:t>1945</w:t>
      </w:r>
      <w:r>
        <w:rPr>
          <w:spacing w:val="-2"/>
        </w:rPr>
        <w:t>年</w:t>
      </w:r>
      <w:r>
        <w:rPr>
          <w:rFonts w:ascii="Times New Roman" w:hAnsi="Times New Roman" w:cs="Times New Roman" w:eastAsia="Times New Roman" w:hint="default"/>
          <w:spacing w:val="-2"/>
        </w:rPr>
        <w:t>11</w:t>
      </w:r>
      <w:r>
        <w:rPr>
          <w:spacing w:val="-2"/>
        </w:rPr>
        <w:t>月出生，中国国籍，无永久境外居留权，本科学</w:t>
      </w:r>
      <w:r>
        <w:rPr/>
        <w:t> </w:t>
      </w:r>
      <w:r>
        <w:rPr>
          <w:spacing w:val="-2"/>
        </w:rPr>
        <w:t>历、研究员。</w:t>
      </w:r>
      <w:r>
        <w:rPr>
          <w:rFonts w:ascii="Times New Roman" w:hAnsi="Times New Roman" w:cs="Times New Roman" w:eastAsia="Times New Roman" w:hint="default"/>
          <w:spacing w:val="-2"/>
        </w:rPr>
        <w:t>1970</w:t>
      </w:r>
      <w:r>
        <w:rPr>
          <w:spacing w:val="-2"/>
        </w:rPr>
        <w:t>年至</w:t>
      </w:r>
      <w:r>
        <w:rPr>
          <w:rFonts w:ascii="Times New Roman" w:hAnsi="Times New Roman" w:cs="Times New Roman" w:eastAsia="Times New Roman" w:hint="default"/>
          <w:spacing w:val="-2"/>
        </w:rPr>
        <w:t>1994</w:t>
      </w:r>
      <w:r>
        <w:rPr>
          <w:spacing w:val="-2"/>
        </w:rPr>
        <w:t>年</w:t>
      </w:r>
      <w:r>
        <w:rPr>
          <w:rFonts w:ascii="Times New Roman" w:hAnsi="Times New Roman" w:cs="Times New Roman" w:eastAsia="Times New Roman" w:hint="default"/>
          <w:spacing w:val="-2"/>
        </w:rPr>
        <w:t>3</w:t>
      </w:r>
      <w:r>
        <w:rPr>
          <w:spacing w:val="-2"/>
        </w:rPr>
        <w:t>月任清华大学计算机系党委书记、副教授；</w:t>
      </w:r>
      <w:r>
        <w:rPr>
          <w:rFonts w:ascii="Times New Roman" w:hAnsi="Times New Roman" w:cs="Times New Roman" w:eastAsia="Times New Roman" w:hint="default"/>
          <w:spacing w:val="-2"/>
        </w:rPr>
        <w:t>1994</w:t>
      </w:r>
      <w:r>
        <w:rPr>
          <w:spacing w:val="-2"/>
        </w:rPr>
        <w:t>年</w:t>
      </w:r>
      <w:r>
        <w:rPr>
          <w:rFonts w:ascii="Times New Roman" w:hAnsi="Times New Roman" w:cs="Times New Roman" w:eastAsia="Times New Roman" w:hint="default"/>
          <w:spacing w:val="-2"/>
        </w:rPr>
        <w:t>4</w:t>
      </w:r>
      <w:r>
        <w:rPr>
          <w:spacing w:val="-2"/>
        </w:rPr>
        <w:t>月至</w:t>
      </w:r>
      <w:r>
        <w:rPr>
          <w:rFonts w:ascii="Times New Roman" w:hAnsi="Times New Roman" w:cs="Times New Roman" w:eastAsia="Times New Roman" w:hint="default"/>
          <w:spacing w:val="-2"/>
        </w:rPr>
        <w:t>1996</w:t>
      </w:r>
      <w:r>
        <w:rPr>
          <w:spacing w:val="-2"/>
        </w:rPr>
        <w:t>年</w:t>
      </w:r>
      <w:r>
        <w:rPr>
          <w:rFonts w:ascii="Times New Roman" w:hAnsi="Times New Roman" w:cs="Times New Roman" w:eastAsia="Times New Roman" w:hint="default"/>
          <w:spacing w:val="-2"/>
        </w:rPr>
        <w:t>12</w:t>
      </w:r>
      <w:r>
        <w:rPr>
          <w:spacing w:val="-2"/>
        </w:rPr>
        <w:t>月任清华大学软件技术中心</w:t>
      </w:r>
      <w:r>
        <w:rPr>
          <w:spacing w:val="-46"/>
        </w:rPr>
        <w:t> </w:t>
      </w:r>
      <w:r>
        <w:rPr>
          <w:spacing w:val="-2"/>
        </w:rPr>
        <w:t>主任；</w:t>
      </w:r>
      <w:r>
        <w:rPr>
          <w:rFonts w:ascii="Times New Roman" w:hAnsi="Times New Roman" w:cs="Times New Roman" w:eastAsia="Times New Roman" w:hint="default"/>
          <w:spacing w:val="-2"/>
        </w:rPr>
        <w:t>1997</w:t>
      </w:r>
      <w:r>
        <w:rPr>
          <w:spacing w:val="-2"/>
        </w:rPr>
        <w:t>年</w:t>
      </w:r>
      <w:r>
        <w:rPr>
          <w:rFonts w:ascii="Times New Roman" w:hAnsi="Times New Roman" w:cs="Times New Roman" w:eastAsia="Times New Roman" w:hint="default"/>
          <w:spacing w:val="-2"/>
        </w:rPr>
        <w:t>1</w:t>
      </w:r>
      <w:r>
        <w:rPr>
          <w:spacing w:val="-2"/>
        </w:rPr>
        <w:t>月至</w:t>
      </w:r>
      <w:r>
        <w:rPr>
          <w:rFonts w:ascii="Times New Roman" w:hAnsi="Times New Roman" w:cs="Times New Roman" w:eastAsia="Times New Roman" w:hint="default"/>
          <w:spacing w:val="-2"/>
        </w:rPr>
        <w:t>1999</w:t>
      </w:r>
      <w:r>
        <w:rPr>
          <w:spacing w:val="-2"/>
        </w:rPr>
        <w:t>年</w:t>
      </w:r>
      <w:r>
        <w:rPr>
          <w:rFonts w:ascii="Times New Roman" w:hAnsi="Times New Roman" w:cs="Times New Roman" w:eastAsia="Times New Roman" w:hint="default"/>
          <w:spacing w:val="-2"/>
        </w:rPr>
        <w:t>2</w:t>
      </w:r>
      <w:r>
        <w:rPr>
          <w:spacing w:val="-2"/>
        </w:rPr>
        <w:t>月任清华同方股份有限公司董事、常务副总裁；</w:t>
      </w:r>
      <w:r>
        <w:rPr>
          <w:rFonts w:ascii="Times New Roman" w:hAnsi="Times New Roman" w:cs="Times New Roman" w:eastAsia="Times New Roman" w:hint="default"/>
          <w:spacing w:val="-2"/>
        </w:rPr>
        <w:t>1999</w:t>
      </w:r>
      <w:r>
        <w:rPr>
          <w:spacing w:val="-2"/>
        </w:rPr>
        <w:t>年</w:t>
      </w:r>
      <w:r>
        <w:rPr>
          <w:rFonts w:ascii="Times New Roman" w:hAnsi="Times New Roman" w:cs="Times New Roman" w:eastAsia="Times New Roman" w:hint="default"/>
          <w:spacing w:val="-2"/>
        </w:rPr>
        <w:t>3</w:t>
      </w:r>
      <w:r>
        <w:rPr>
          <w:spacing w:val="-2"/>
        </w:rPr>
        <w:t>月至</w:t>
      </w:r>
      <w:r>
        <w:rPr>
          <w:rFonts w:ascii="Times New Roman" w:hAnsi="Times New Roman" w:cs="Times New Roman" w:eastAsia="Times New Roman" w:hint="default"/>
          <w:spacing w:val="-2"/>
        </w:rPr>
        <w:t>2009</w:t>
      </w:r>
      <w:r>
        <w:rPr>
          <w:spacing w:val="-2"/>
        </w:rPr>
        <w:t>年</w:t>
      </w:r>
      <w:r>
        <w:rPr>
          <w:rFonts w:ascii="Times New Roman" w:hAnsi="Times New Roman" w:cs="Times New Roman" w:eastAsia="Times New Roman" w:hint="default"/>
          <w:spacing w:val="-2"/>
        </w:rPr>
        <w:t>3</w:t>
      </w:r>
      <w:r>
        <w:rPr>
          <w:spacing w:val="-2"/>
        </w:rPr>
        <w:t>月任清华科技园副主任、启</w:t>
      </w:r>
      <w:r>
        <w:rPr>
          <w:spacing w:val="-45"/>
        </w:rPr>
        <w:t> </w:t>
      </w:r>
      <w:r>
        <w:rPr>
          <w:spacing w:val="-45"/>
        </w:rPr>
      </w:r>
      <w:r>
        <w:rPr>
          <w:spacing w:val="-2"/>
        </w:rPr>
        <w:t>迪控股股份有限公司副总裁；</w:t>
      </w:r>
      <w:r>
        <w:rPr>
          <w:rFonts w:ascii="Times New Roman" w:hAnsi="Times New Roman" w:cs="Times New Roman" w:eastAsia="Times New Roman" w:hint="default"/>
          <w:spacing w:val="-2"/>
        </w:rPr>
        <w:t>2009</w:t>
      </w:r>
      <w:r>
        <w:rPr>
          <w:spacing w:val="-2"/>
        </w:rPr>
        <w:t>年</w:t>
      </w:r>
      <w:r>
        <w:rPr>
          <w:rFonts w:ascii="Times New Roman" w:hAnsi="Times New Roman" w:cs="Times New Roman" w:eastAsia="Times New Roman" w:hint="default"/>
          <w:spacing w:val="-2"/>
        </w:rPr>
        <w:t>4</w:t>
      </w:r>
      <w:r>
        <w:rPr>
          <w:spacing w:val="-2"/>
        </w:rPr>
        <w:t>月正式退休。</w:t>
      </w:r>
      <w:r>
        <w:rPr>
          <w:rFonts w:ascii="Times New Roman" w:hAnsi="Times New Roman" w:cs="Times New Roman" w:eastAsia="Times New Roman" w:hint="default"/>
          <w:spacing w:val="-2"/>
        </w:rPr>
        <w:t>2014</w:t>
      </w:r>
      <w:r>
        <w:rPr>
          <w:spacing w:val="-2"/>
        </w:rPr>
        <w:t>年</w:t>
      </w:r>
      <w:r>
        <w:rPr>
          <w:rFonts w:ascii="Times New Roman" w:hAnsi="Times New Roman" w:cs="Times New Roman" w:eastAsia="Times New Roman" w:hint="default"/>
          <w:spacing w:val="-2"/>
        </w:rPr>
        <w:t>6</w:t>
      </w:r>
      <w:r>
        <w:rPr>
          <w:spacing w:val="-2"/>
        </w:rPr>
        <w:t>月至今担任公司独立董事。兼任双清诚德科技（北京）有限公司</w:t>
      </w:r>
      <w:r>
        <w:rPr>
          <w:spacing w:val="-56"/>
        </w:rPr>
        <w:t> </w:t>
      </w:r>
      <w:r>
        <w:rPr>
          <w:spacing w:val="-56"/>
        </w:rPr>
      </w:r>
      <w:r>
        <w:rPr/>
        <w:t>董事、苏州清桥电子科技有限公司董事。</w:t>
      </w:r>
    </w:p>
    <w:p>
      <w:pPr>
        <w:pStyle w:val="BodyText"/>
        <w:spacing w:line="460" w:lineRule="auto" w:before="112"/>
        <w:ind w:right="1129" w:firstLine="361"/>
        <w:jc w:val="both"/>
      </w:pPr>
      <w:r>
        <w:rPr>
          <w:rFonts w:ascii="宋体" w:hAnsi="宋体" w:cs="宋体" w:eastAsia="宋体" w:hint="default"/>
          <w:b/>
          <w:bCs/>
          <w:spacing w:val="-2"/>
        </w:rPr>
        <w:t>刘铁民</w:t>
      </w:r>
      <w:r>
        <w:rPr>
          <w:spacing w:val="-2"/>
        </w:rPr>
        <w:t>先生，现任北京神州泰岳软件股份有限公司独立董事。</w:t>
      </w:r>
      <w:r>
        <w:rPr>
          <w:rFonts w:ascii="Times New Roman" w:hAnsi="Times New Roman" w:cs="Times New Roman" w:eastAsia="Times New Roman" w:hint="default"/>
          <w:spacing w:val="-2"/>
        </w:rPr>
        <w:t>1949</w:t>
      </w:r>
      <w:r>
        <w:rPr>
          <w:spacing w:val="-2"/>
        </w:rPr>
        <w:t>年</w:t>
      </w:r>
      <w:r>
        <w:rPr>
          <w:rFonts w:ascii="Times New Roman" w:hAnsi="Times New Roman" w:cs="Times New Roman" w:eastAsia="Times New Roman" w:hint="default"/>
          <w:spacing w:val="-2"/>
        </w:rPr>
        <w:t>10</w:t>
      </w:r>
      <w:r>
        <w:rPr>
          <w:spacing w:val="-2"/>
        </w:rPr>
        <w:t>月出生，中国国籍，无永久境外居留权。曾先后</w:t>
      </w:r>
      <w:r>
        <w:rPr/>
        <w:t> </w:t>
      </w:r>
      <w:r>
        <w:rPr>
          <w:spacing w:val="-2"/>
        </w:rPr>
        <w:t>任职中国医科大学讲师；煤炭部职业医学研究所室主任、讲师；比利时兰纳肯医学研究所访问学者；煤炭部职业医学研究所</w:t>
      </w:r>
      <w:r>
        <w:rPr>
          <w:spacing w:val="-66"/>
        </w:rPr>
        <w:t> </w:t>
      </w:r>
      <w:r>
        <w:rPr>
          <w:spacing w:val="-66"/>
        </w:rPr>
      </w:r>
      <w:r>
        <w:rPr>
          <w:spacing w:val="-2"/>
        </w:rPr>
        <w:t>室主任、副研；劳动部劳动保护科学技术研究所副所长、研究员；国家经贸委安全科学技术研究中心副主任、研究员；国家</w:t>
      </w:r>
      <w:r>
        <w:rPr>
          <w:spacing w:val="-68"/>
        </w:rPr>
        <w:t> </w:t>
      </w:r>
      <w:r>
        <w:rPr>
          <w:spacing w:val="-68"/>
        </w:rPr>
      </w:r>
      <w:r>
        <w:rPr>
          <w:spacing w:val="-2"/>
        </w:rPr>
        <w:t>经贸委安全科学技术研究中心主任、研究员；</w:t>
      </w:r>
      <w:r>
        <w:rPr>
          <w:rFonts w:ascii="Times New Roman" w:hAnsi="Times New Roman" w:cs="Times New Roman" w:eastAsia="Times New Roman" w:hint="default"/>
          <w:spacing w:val="-2"/>
        </w:rPr>
        <w:t>“</w:t>
      </w:r>
      <w:r>
        <w:rPr>
          <w:spacing w:val="-2"/>
        </w:rPr>
        <w:t>国家安全生产监督管理局安全科学技术研究中心</w:t>
      </w:r>
      <w:r>
        <w:rPr>
          <w:rFonts w:ascii="Times New Roman" w:hAnsi="Times New Roman" w:cs="Times New Roman" w:eastAsia="Times New Roman" w:hint="default"/>
          <w:spacing w:val="-2"/>
        </w:rPr>
        <w:t>”</w:t>
      </w:r>
      <w:r>
        <w:rPr>
          <w:spacing w:val="-2"/>
        </w:rPr>
        <w:t>主任、研究员；中国安全生</w:t>
      </w:r>
      <w:r>
        <w:rPr>
          <w:spacing w:val="-44"/>
        </w:rPr>
        <w:t> </w:t>
      </w:r>
      <w:r>
        <w:rPr>
          <w:spacing w:val="-44"/>
        </w:rPr>
      </w:r>
      <w:r>
        <w:rPr>
          <w:spacing w:val="-2"/>
        </w:rPr>
        <w:t>产科学研究院院长、研究员；</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7</w:t>
      </w:r>
      <w:r>
        <w:rPr>
          <w:spacing w:val="-2"/>
        </w:rPr>
        <w:t>月至今任中国安全生产协会副会长；</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5</w:t>
      </w:r>
      <w:r>
        <w:rPr>
          <w:spacing w:val="-2"/>
        </w:rPr>
        <w:t>月至今担任神州泰岳公司独立董事；兼任</w:t>
      </w:r>
      <w:r>
        <w:rPr>
          <w:spacing w:val="-55"/>
        </w:rPr>
        <w:t> </w:t>
      </w:r>
      <w:r>
        <w:rPr>
          <w:spacing w:val="-55"/>
        </w:rPr>
      </w:r>
      <w:r>
        <w:rPr/>
        <w:t>中国船舶重工集团应急预警与救援装备股份有限公司独立董事。</w:t>
      </w:r>
    </w:p>
    <w:p>
      <w:pPr>
        <w:pStyle w:val="BodyText"/>
        <w:spacing w:line="240" w:lineRule="auto" w:before="105"/>
        <w:ind w:left="0" w:right="1132"/>
        <w:jc w:val="right"/>
      </w:pPr>
      <w:r>
        <w:rPr>
          <w:rFonts w:ascii="宋体" w:hAnsi="宋体" w:cs="宋体" w:eastAsia="宋体" w:hint="default"/>
          <w:b/>
          <w:bCs/>
        </w:rPr>
        <w:t>王雪春</w:t>
      </w:r>
      <w:r>
        <w:rPr/>
        <w:t>先生</w:t>
      </w:r>
      <w:r>
        <w:rPr>
          <w:rFonts w:ascii="宋体" w:hAnsi="宋体" w:cs="宋体" w:eastAsia="宋体" w:hint="default"/>
          <w:b/>
          <w:bCs/>
        </w:rPr>
        <w:t>，</w:t>
      </w:r>
      <w:r>
        <w:rPr/>
        <w:t>现任北京神州泰岳软件股份有限公司独立董事。</w:t>
      </w:r>
      <w:r>
        <w:rPr>
          <w:rFonts w:ascii="Times New Roman" w:hAnsi="Times New Roman" w:cs="Times New Roman" w:eastAsia="Times New Roman" w:hint="default"/>
        </w:rPr>
        <w:t>1965</w:t>
      </w:r>
      <w:r>
        <w:rPr/>
        <w:t>年出生，中国国籍、无永久境外居留权。</w:t>
      </w:r>
      <w:r>
        <w:rPr>
          <w:rFonts w:ascii="Times New Roman" w:hAnsi="Times New Roman" w:cs="Times New Roman" w:eastAsia="Times New Roman" w:hint="default"/>
        </w:rPr>
        <w:t>1988</w:t>
      </w:r>
      <w:r>
        <w:rPr/>
        <w:t>年</w:t>
      </w:r>
      <w:r>
        <w:rPr>
          <w:rFonts w:ascii="Times New Roman" w:hAnsi="Times New Roman" w:cs="Times New Roman" w:eastAsia="Times New Roman" w:hint="default"/>
        </w:rPr>
        <w:t>7</w:t>
      </w:r>
      <w:r>
        <w:rPr/>
        <w:t>月</w:t>
      </w:r>
    </w:p>
    <w:p>
      <w:pPr>
        <w:spacing w:line="240" w:lineRule="auto" w:before="9"/>
        <w:rPr>
          <w:rFonts w:ascii="宋体" w:hAnsi="宋体" w:cs="宋体" w:eastAsia="宋体" w:hint="default"/>
          <w:sz w:val="16"/>
          <w:szCs w:val="16"/>
        </w:rPr>
      </w:pPr>
    </w:p>
    <w:p>
      <w:pPr>
        <w:pStyle w:val="BodyText"/>
        <w:spacing w:line="451" w:lineRule="auto"/>
        <w:ind w:right="1130"/>
        <w:jc w:val="both"/>
      </w:pPr>
      <w:r>
        <w:rPr>
          <w:rFonts w:ascii="Times New Roman" w:hAnsi="Times New Roman" w:cs="Times New Roman" w:eastAsia="Times New Roman" w:hint="default"/>
          <w:spacing w:val="-1"/>
        </w:rPr>
        <w:t>-2000</w:t>
      </w:r>
      <w:r>
        <w:rPr>
          <w:spacing w:val="-1"/>
        </w:rPr>
        <w:t>年</w:t>
      </w:r>
      <w:r>
        <w:rPr>
          <w:rFonts w:ascii="Times New Roman" w:hAnsi="Times New Roman" w:cs="Times New Roman" w:eastAsia="Times New Roman" w:hint="default"/>
          <w:spacing w:val="-1"/>
        </w:rPr>
        <w:t>10</w:t>
      </w:r>
      <w:r>
        <w:rPr>
          <w:spacing w:val="-1"/>
        </w:rPr>
        <w:t>月，任东北财经大学职业技术学院教师；</w:t>
      </w:r>
      <w:r>
        <w:rPr>
          <w:rFonts w:ascii="Times New Roman" w:hAnsi="Times New Roman" w:cs="Times New Roman" w:eastAsia="Times New Roman" w:hint="default"/>
          <w:spacing w:val="-1"/>
        </w:rPr>
        <w:t>2000</w:t>
      </w:r>
      <w:r>
        <w:rPr>
          <w:spacing w:val="-1"/>
        </w:rPr>
        <w:t>年</w:t>
      </w:r>
      <w:r>
        <w:rPr>
          <w:rFonts w:ascii="Times New Roman" w:hAnsi="Times New Roman" w:cs="Times New Roman" w:eastAsia="Times New Roman" w:hint="default"/>
          <w:spacing w:val="-1"/>
        </w:rPr>
        <w:t>10</w:t>
      </w:r>
      <w:r>
        <w:rPr>
          <w:spacing w:val="-1"/>
        </w:rPr>
        <w:t>月</w:t>
      </w:r>
      <w:r>
        <w:rPr>
          <w:rFonts w:ascii="Times New Roman" w:hAnsi="Times New Roman" w:cs="Times New Roman" w:eastAsia="Times New Roman" w:hint="default"/>
          <w:spacing w:val="-1"/>
        </w:rPr>
        <w:t>-2001</w:t>
      </w:r>
      <w:r>
        <w:rPr>
          <w:spacing w:val="-1"/>
        </w:rPr>
        <w:t>年</w:t>
      </w:r>
      <w:r>
        <w:rPr>
          <w:rFonts w:ascii="Times New Roman" w:hAnsi="Times New Roman" w:cs="Times New Roman" w:eastAsia="Times New Roman" w:hint="default"/>
          <w:spacing w:val="-1"/>
        </w:rPr>
        <w:t>10</w:t>
      </w:r>
      <w:r>
        <w:rPr>
          <w:spacing w:val="-1"/>
        </w:rPr>
        <w:t>月，任大连欣鑫会计师事务所审计经理；</w:t>
      </w:r>
      <w:r>
        <w:rPr>
          <w:rFonts w:ascii="Times New Roman" w:hAnsi="Times New Roman" w:cs="Times New Roman" w:eastAsia="Times New Roman" w:hint="default"/>
          <w:spacing w:val="-1"/>
        </w:rPr>
        <w:t>2001</w:t>
      </w:r>
      <w:r>
        <w:rPr>
          <w:spacing w:val="-1"/>
        </w:rPr>
        <w:t>年</w:t>
      </w:r>
      <w:r>
        <w:rPr>
          <w:rFonts w:ascii="Times New Roman" w:hAnsi="Times New Roman" w:cs="Times New Roman" w:eastAsia="Times New Roman" w:hint="default"/>
          <w:spacing w:val="-1"/>
        </w:rPr>
        <w:t>10 </w:t>
      </w:r>
      <w:r>
        <w:rPr/>
        <w:t>月</w:t>
      </w:r>
      <w:r>
        <w:rPr>
          <w:rFonts w:ascii="Times New Roman" w:hAnsi="Times New Roman" w:cs="Times New Roman" w:eastAsia="Times New Roman" w:hint="default"/>
        </w:rPr>
        <w:t>-2005</w:t>
      </w:r>
      <w:r>
        <w:rPr/>
        <w:t>年</w:t>
      </w:r>
      <w:r>
        <w:rPr>
          <w:rFonts w:ascii="Times New Roman" w:hAnsi="Times New Roman" w:cs="Times New Roman" w:eastAsia="Times New Roman" w:hint="default"/>
        </w:rPr>
        <w:t>3</w:t>
      </w:r>
      <w:r>
        <w:rPr/>
        <w:t>月，任中国华录集团有限公司内审、子公司财务总监；</w:t>
      </w:r>
      <w:r>
        <w:rPr>
          <w:rFonts w:ascii="Times New Roman" w:hAnsi="Times New Roman" w:cs="Times New Roman" w:eastAsia="Times New Roman" w:hint="default"/>
        </w:rPr>
        <w:t>2005</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3</w:t>
      </w:r>
      <w:r>
        <w:rPr/>
        <w:t>月，任北京博华百校教育投资集团有</w:t>
      </w:r>
      <w:r>
        <w:rPr>
          <w:spacing w:val="-30"/>
        </w:rPr>
        <w:t> </w:t>
      </w:r>
      <w:r>
        <w:rPr>
          <w:spacing w:val="-30"/>
        </w:rPr>
      </w:r>
      <w:r>
        <w:rPr>
          <w:spacing w:val="-1"/>
        </w:rPr>
        <w:t>限公司财务总监；</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-11</w:t>
      </w:r>
      <w:r>
        <w:rPr>
          <w:spacing w:val="-1"/>
        </w:rPr>
        <w:t>月，任北京佳文映画文化传媒有限责任公司副总经理；</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11</w:t>
      </w:r>
      <w:r>
        <w:rPr>
          <w:spacing w:val="-1"/>
        </w:rPr>
        <w:t>月至今，任北京邮电大学世</w:t>
      </w:r>
      <w:r>
        <w:rPr>
          <w:spacing w:val="-84"/>
        </w:rPr>
        <w:t> </w:t>
      </w:r>
      <w:r>
        <w:rPr>
          <w:spacing w:val="-84"/>
        </w:rPr>
      </w:r>
      <w:r>
        <w:rPr/>
        <w:t>纪学院总会计师。</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5</w:t>
      </w:r>
      <w:r>
        <w:rPr/>
        <w:t>月至今担任神州泰岳公司独立董事。兼任北京立思辰科技股份有限公司独立董事、北京北陆药业</w:t>
      </w:r>
      <w:r>
        <w:rPr>
          <w:spacing w:val="-83"/>
        </w:rPr>
        <w:t> </w:t>
      </w:r>
      <w:r>
        <w:rPr>
          <w:spacing w:val="-83"/>
        </w:rPr>
      </w:r>
      <w:r>
        <w:rPr/>
        <w:t>股份有限公司独立董事。</w:t>
      </w:r>
    </w:p>
    <w:p>
      <w:pPr>
        <w:pStyle w:val="BodyText"/>
        <w:spacing w:line="460" w:lineRule="auto" w:before="113"/>
        <w:ind w:right="1130" w:firstLine="361"/>
        <w:jc w:val="both"/>
      </w:pPr>
      <w:r>
        <w:rPr>
          <w:rFonts w:ascii="宋体" w:hAnsi="宋体" w:cs="宋体" w:eastAsia="宋体" w:hint="default"/>
          <w:b/>
          <w:bCs/>
          <w:spacing w:val="-2"/>
        </w:rPr>
        <w:t>沈阳</w:t>
      </w:r>
      <w:r>
        <w:rPr>
          <w:spacing w:val="-2"/>
        </w:rPr>
        <w:t>先生，现任北京神州泰岳软件股份有限公司独立董事。</w:t>
      </w:r>
      <w:r>
        <w:rPr>
          <w:rFonts w:ascii="Times New Roman" w:hAnsi="Times New Roman" w:cs="Times New Roman" w:eastAsia="Times New Roman" w:hint="default"/>
          <w:spacing w:val="-2"/>
        </w:rPr>
        <w:t>1974</w:t>
      </w:r>
      <w:r>
        <w:rPr>
          <w:spacing w:val="-2"/>
        </w:rPr>
        <w:t>年出生，中国国籍、无永久境外居留权，清华大学新闻</w:t>
      </w:r>
      <w:r>
        <w:rPr/>
        <w:t> </w:t>
      </w:r>
      <w:r>
        <w:rPr>
          <w:spacing w:val="-2"/>
        </w:rPr>
        <w:t>与传播学院教授，博士生导师，清华大学新闻研究中心研究员。曾任武汉大学信息管理学院，教授、博士生导师，武汉大学</w:t>
      </w:r>
      <w:r>
        <w:rPr>
          <w:spacing w:val="-68"/>
        </w:rPr>
        <w:t> </w:t>
      </w:r>
      <w:r>
        <w:rPr>
          <w:spacing w:val="-68"/>
        </w:rPr>
      </w:r>
      <w:r>
        <w:rPr>
          <w:spacing w:val="-1"/>
        </w:rPr>
        <w:t>新闻与传播学院兼职教授博导，武汉大学计算机学院硕导，中国人民大学新闻学院兼职教授，美国</w:t>
      </w:r>
      <w:r>
        <w:rPr>
          <w:rFonts w:ascii="Times New Roman" w:hAnsi="Times New Roman" w:cs="Times New Roman" w:eastAsia="Times New Roman" w:hint="default"/>
          <w:spacing w:val="-1"/>
        </w:rPr>
        <w:t>PSU</w:t>
      </w:r>
      <w:r>
        <w:rPr>
          <w:spacing w:val="-1"/>
        </w:rPr>
        <w:t>等校访问学者。</w:t>
      </w:r>
      <w:r>
        <w:rPr>
          <w:rFonts w:ascii="Times New Roman" w:hAnsi="Times New Roman" w:cs="Times New Roman" w:eastAsia="Times New Roman" w:hint="default"/>
          <w:spacing w:val="-1"/>
        </w:rPr>
        <w:t>2016</w:t>
      </w:r>
      <w:r>
        <w:rPr>
          <w:rFonts w:ascii="Times New Roman" w:hAnsi="Times New Roman" w:cs="Times New Roman" w:eastAsia="Times New Roman" w:hint="default"/>
        </w:rPr>
        <w:t> </w:t>
      </w:r>
      <w:r>
        <w:rPr/>
        <w:t>年</w:t>
      </w:r>
      <w:r>
        <w:rPr>
          <w:rFonts w:ascii="Times New Roman" w:hAnsi="Times New Roman" w:cs="Times New Roman" w:eastAsia="Times New Roman" w:hint="default"/>
        </w:rPr>
        <w:t>5</w:t>
      </w:r>
      <w:r>
        <w:rPr/>
        <w:t>月至今担任神州泰岳公司独立董事。</w:t>
      </w:r>
    </w:p>
    <w:p>
      <w:pPr>
        <w:pStyle w:val="BodyText"/>
        <w:spacing w:line="489" w:lineRule="auto" w:before="74"/>
        <w:ind w:left="515" w:right="1115"/>
        <w:jc w:val="left"/>
      </w:pPr>
      <w:r>
        <w:rPr>
          <w:rFonts w:ascii="Times New Roman" w:hAnsi="Times New Roman" w:cs="Times New Roman" w:eastAsia="Times New Roman" w:hint="default"/>
          <w:b/>
          <w:bCs/>
        </w:rPr>
        <w:t>2</w:t>
      </w:r>
      <w:r>
        <w:rPr>
          <w:rFonts w:ascii="宋体" w:hAnsi="宋体" w:cs="宋体" w:eastAsia="宋体" w:hint="default"/>
          <w:b/>
          <w:bCs/>
        </w:rPr>
        <w:t>、监事</w:t>
      </w:r>
      <w:r>
        <w:rPr>
          <w:rFonts w:ascii="宋体" w:hAnsi="宋体" w:cs="宋体" w:eastAsia="宋体" w:hint="default"/>
          <w:b/>
          <w:bCs/>
          <w:spacing w:val="1"/>
          <w:w w:val="99"/>
        </w:rPr>
        <w:t> </w:t>
      </w:r>
      <w:r>
        <w:rPr>
          <w:rFonts w:ascii="宋体" w:hAnsi="宋体" w:cs="宋体" w:eastAsia="宋体" w:hint="default"/>
          <w:b/>
          <w:bCs/>
          <w:spacing w:val="-2"/>
        </w:rPr>
        <w:t>李广刚</w:t>
      </w:r>
      <w:r>
        <w:rPr>
          <w:spacing w:val="-2"/>
        </w:rPr>
        <w:t>先生</w:t>
      </w:r>
      <w:r>
        <w:rPr>
          <w:rFonts w:ascii="宋体" w:hAnsi="宋体" w:cs="宋体" w:eastAsia="宋体" w:hint="default"/>
          <w:b/>
          <w:bCs/>
          <w:spacing w:val="-2"/>
        </w:rPr>
        <w:t>，</w:t>
      </w:r>
      <w:r>
        <w:rPr>
          <w:spacing w:val="-2"/>
        </w:rPr>
        <w:t>公司监事会主席。</w:t>
      </w:r>
      <w:r>
        <w:rPr>
          <w:rFonts w:ascii="Times New Roman" w:hAnsi="Times New Roman" w:cs="Times New Roman" w:eastAsia="Times New Roman" w:hint="default"/>
          <w:spacing w:val="-2"/>
        </w:rPr>
        <w:t>1978</w:t>
      </w:r>
      <w:r>
        <w:rPr>
          <w:spacing w:val="-2"/>
        </w:rPr>
        <w:t>年出生，中国国籍，无永久境外居留权。毕业于济南大学；曾任北京泰立特科技发</w:t>
      </w:r>
    </w:p>
    <w:p>
      <w:pPr>
        <w:spacing w:after="0" w:line="489" w:lineRule="auto"/>
        <w:jc w:val="left"/>
        <w:sectPr>
          <w:pgSz w:w="11910" w:h="16840"/>
          <w:pgMar w:header="851" w:footer="979" w:top="1400" w:bottom="1160" w:left="980" w:right="0"/>
        </w:sectPr>
      </w:pPr>
    </w:p>
    <w:p>
      <w:pPr>
        <w:spacing w:line="240" w:lineRule="auto" w:before="1"/>
        <w:rPr>
          <w:rFonts w:ascii="宋体" w:hAnsi="宋体" w:cs="宋体" w:eastAsia="宋体" w:hint="default"/>
          <w:sz w:val="8"/>
          <w:szCs w:val="8"/>
        </w:rPr>
      </w:pPr>
    </w:p>
    <w:p>
      <w:pPr>
        <w:pStyle w:val="BodyText"/>
        <w:spacing w:line="451" w:lineRule="auto" w:before="44"/>
        <w:ind w:right="1032"/>
        <w:jc w:val="left"/>
      </w:pPr>
      <w:r>
        <w:rPr/>
        <w:t>展有限公司青岛分公司软件工程师、北京新晨科技股份有限公司客户经理、联盈数码公司客户经理；</w:t>
      </w:r>
      <w:r>
        <w:rPr>
          <w:rFonts w:ascii="Times New Roman" w:hAnsi="Times New Roman" w:cs="Times New Roman" w:eastAsia="Times New Roman" w:hint="default"/>
        </w:rPr>
        <w:t>2005</w:t>
      </w:r>
      <w:r>
        <w:rPr/>
        <w:t>年加入神州泰岳，</w:t>
      </w:r>
      <w:r>
        <w:rPr>
          <w:spacing w:val="-84"/>
        </w:rPr>
        <w:t> </w:t>
      </w:r>
      <w:r>
        <w:rPr>
          <w:spacing w:val="-84"/>
        </w:rPr>
      </w:r>
      <w:r>
        <w:rPr/>
        <w:t>历任公司销售经理、销售总监、政企事业部副总经理、正启分公司副总经理、正启分公司总经理。</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7</w:t>
      </w:r>
      <w:r>
        <w:rPr/>
        <w:t>月至今担任公司</w:t>
      </w:r>
      <w:r>
        <w:rPr>
          <w:spacing w:val="-81"/>
        </w:rPr>
        <w:t> </w:t>
      </w:r>
      <w:r>
        <w:rPr>
          <w:spacing w:val="-81"/>
        </w:rPr>
      </w:r>
      <w:r>
        <w:rPr/>
        <w:t>监事会主席。</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月任中科鼎富（北京）科技发展有限公司总经理。</w:t>
      </w:r>
    </w:p>
    <w:p>
      <w:pPr>
        <w:pStyle w:val="BodyText"/>
        <w:spacing w:line="470" w:lineRule="auto" w:before="83"/>
        <w:ind w:right="1129" w:firstLine="361"/>
        <w:jc w:val="right"/>
      </w:pPr>
      <w:r>
        <w:rPr>
          <w:rFonts w:ascii="宋体" w:hAnsi="宋体" w:cs="宋体" w:eastAsia="宋体" w:hint="default"/>
          <w:b/>
          <w:bCs/>
          <w:spacing w:val="-2"/>
        </w:rPr>
        <w:t>丁彦超</w:t>
      </w:r>
      <w:r>
        <w:rPr>
          <w:spacing w:val="-2"/>
        </w:rPr>
        <w:t>先生，公司监事。</w:t>
      </w:r>
      <w:r>
        <w:rPr>
          <w:rFonts w:ascii="Times New Roman" w:hAnsi="Times New Roman" w:cs="Times New Roman" w:eastAsia="Times New Roman" w:hint="default"/>
          <w:spacing w:val="-2"/>
        </w:rPr>
        <w:t>1968</w:t>
      </w:r>
      <w:r>
        <w:rPr>
          <w:spacing w:val="-2"/>
        </w:rPr>
        <w:t>年出生，中国国籍，无永久境外居留权。毕业于西北大学计算机系；曾任天津石化公司计</w:t>
      </w:r>
      <w:r>
        <w:rPr/>
        <w:t> </w:t>
      </w:r>
      <w:r>
        <w:rPr>
          <w:spacing w:val="-5"/>
        </w:rPr>
        <w:t>算机中心软件工程师，</w:t>
      </w:r>
      <w:r>
        <w:rPr>
          <w:rFonts w:ascii="Times New Roman" w:hAnsi="Times New Roman" w:cs="Times New Roman" w:eastAsia="Times New Roman" w:hint="default"/>
          <w:spacing w:val="-5"/>
        </w:rPr>
        <w:t>2002</w:t>
      </w:r>
      <w:r>
        <w:rPr>
          <w:spacing w:val="-5"/>
        </w:rPr>
        <w:t>年至今历任公司研发工程师、网管项目管理部技术主管；</w:t>
      </w:r>
      <w:r>
        <w:rPr>
          <w:rFonts w:ascii="Times New Roman" w:hAnsi="Times New Roman" w:cs="Times New Roman" w:eastAsia="Times New Roman" w:hint="default"/>
          <w:spacing w:val="-5"/>
        </w:rPr>
        <w:t>2008</w:t>
      </w:r>
      <w:r>
        <w:rPr>
          <w:spacing w:val="-5"/>
        </w:rPr>
        <w:t>年至今任公司项目管理部技术主管。</w:t>
      </w:r>
      <w:r>
        <w:rPr>
          <w:spacing w:val="-70"/>
        </w:rPr>
        <w:t> </w:t>
      </w:r>
      <w:r>
        <w:rPr>
          <w:rFonts w:ascii="宋体" w:hAnsi="宋体" w:cs="宋体" w:eastAsia="宋体" w:hint="default"/>
          <w:b/>
          <w:bCs/>
        </w:rPr>
        <w:t>郝岩</w:t>
      </w:r>
      <w:r>
        <w:rPr/>
        <w:t>女士，公司职工监事。</w:t>
      </w:r>
      <w:r>
        <w:rPr>
          <w:rFonts w:ascii="Times New Roman" w:hAnsi="Times New Roman" w:cs="Times New Roman" w:eastAsia="Times New Roman" w:hint="default"/>
        </w:rPr>
        <w:t>1980</w:t>
      </w:r>
      <w:r>
        <w:rPr/>
        <w:t>年出生，中国国籍，无永久境外居留权。毕业于北京林业大学；</w:t>
      </w:r>
      <w:r>
        <w:rPr>
          <w:rFonts w:ascii="Times New Roman" w:hAnsi="Times New Roman" w:cs="Times New Roman" w:eastAsia="Times New Roman" w:hint="default"/>
        </w:rPr>
        <w:t>2004</w:t>
      </w:r>
      <w:r>
        <w:rPr/>
        <w:t>年</w:t>
      </w:r>
      <w:r>
        <w:rPr>
          <w:rFonts w:ascii="Times New Roman" w:hAnsi="Times New Roman" w:cs="Times New Roman" w:eastAsia="Times New Roman" w:hint="default"/>
        </w:rPr>
        <w:t>8</w:t>
      </w:r>
      <w:r>
        <w:rPr/>
        <w:t>月至今历任公</w:t>
      </w:r>
    </w:p>
    <w:p>
      <w:pPr>
        <w:pStyle w:val="BodyText"/>
        <w:spacing w:line="240" w:lineRule="auto" w:before="28"/>
        <w:ind w:right="0"/>
        <w:jc w:val="left"/>
      </w:pPr>
      <w:r>
        <w:rPr/>
        <w:t>司行政部经理助理、经理。</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7</w:t>
      </w:r>
      <w:r>
        <w:rPr/>
        <w:t>月起任公司职工监事。</w:t>
      </w:r>
    </w:p>
    <w:p>
      <w:pPr>
        <w:spacing w:line="240" w:lineRule="auto" w:before="9"/>
        <w:rPr>
          <w:rFonts w:ascii="宋体" w:hAnsi="宋体" w:cs="宋体" w:eastAsia="宋体" w:hint="default"/>
          <w:sz w:val="19"/>
          <w:szCs w:val="19"/>
        </w:rPr>
      </w:pPr>
    </w:p>
    <w:p>
      <w:pPr>
        <w:spacing w:line="451" w:lineRule="auto" w:before="0"/>
        <w:ind w:left="515" w:right="5279"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、高级管理人员</w:t>
      </w:r>
      <w:r>
        <w:rPr>
          <w:rFonts w:ascii="宋体" w:hAnsi="宋体" w:cs="宋体" w:eastAsia="宋体" w:hint="default"/>
          <w:b/>
          <w:bCs/>
          <w:w w:val="99"/>
          <w:sz w:val="18"/>
          <w:szCs w:val="18"/>
        </w:rPr>
        <w:t> </w:t>
      </w:r>
      <w:r>
        <w:rPr>
          <w:rFonts w:ascii="宋体" w:hAnsi="宋体" w:cs="宋体" w:eastAsia="宋体" w:hint="default"/>
          <w:b/>
          <w:bCs/>
          <w:sz w:val="18"/>
          <w:szCs w:val="18"/>
        </w:rPr>
        <w:t>截止</w:t>
      </w:r>
      <w:r>
        <w:rPr>
          <w:rFonts w:ascii="Times New Roman" w:hAnsi="Times New Roman" w:cs="Times New Roman" w:eastAsia="Times New Roman" w:hint="default"/>
          <w:b/>
          <w:bCs/>
          <w:sz w:val="18"/>
          <w:szCs w:val="18"/>
        </w:rPr>
        <w:t>2018</w:t>
      </w:r>
      <w:r>
        <w:rPr>
          <w:rFonts w:ascii="宋体" w:hAnsi="宋体" w:cs="宋体" w:eastAsia="宋体" w:hint="default"/>
          <w:b/>
          <w:bCs/>
          <w:sz w:val="18"/>
          <w:szCs w:val="18"/>
        </w:rPr>
        <w:t>年</w:t>
      </w:r>
      <w:r>
        <w:rPr>
          <w:rFonts w:ascii="Times New Roman" w:hAnsi="Times New Roman" w:cs="Times New Roman" w:eastAsia="Times New Roman" w:hint="default"/>
          <w:b/>
          <w:bCs/>
          <w:sz w:val="18"/>
          <w:szCs w:val="18"/>
        </w:rPr>
        <w:t>12</w:t>
      </w:r>
      <w:r>
        <w:rPr>
          <w:rFonts w:ascii="宋体" w:hAnsi="宋体" w:cs="宋体" w:eastAsia="宋体" w:hint="default"/>
          <w:b/>
          <w:bCs/>
          <w:sz w:val="18"/>
          <w:szCs w:val="18"/>
        </w:rPr>
        <w:t>月</w:t>
      </w:r>
      <w:r>
        <w:rPr>
          <w:rFonts w:ascii="Times New Roman" w:hAnsi="Times New Roman" w:cs="Times New Roman" w:eastAsia="Times New Roman" w:hint="default"/>
          <w:b/>
          <w:bCs/>
          <w:sz w:val="18"/>
          <w:szCs w:val="18"/>
        </w:rPr>
        <w:t>31</w:t>
      </w:r>
      <w:r>
        <w:rPr>
          <w:rFonts w:ascii="宋体" w:hAnsi="宋体" w:cs="宋体" w:eastAsia="宋体" w:hint="default"/>
          <w:b/>
          <w:bCs/>
          <w:sz w:val="18"/>
          <w:szCs w:val="18"/>
        </w:rPr>
        <w:t>日，公司高级管理人员具体情况如下：</w:t>
      </w:r>
      <w:r>
        <w:rPr>
          <w:rFonts w:ascii="宋体" w:hAnsi="宋体" w:cs="宋体" w:eastAsia="宋体" w:hint="default"/>
          <w:b/>
          <w:bCs/>
          <w:w w:val="99"/>
          <w:sz w:val="18"/>
          <w:szCs w:val="18"/>
        </w:rPr>
        <w:t> </w:t>
      </w:r>
      <w:r>
        <w:rPr>
          <w:rFonts w:ascii="宋体" w:hAnsi="宋体" w:cs="宋体" w:eastAsia="宋体" w:hint="default"/>
          <w:b/>
          <w:bCs/>
          <w:sz w:val="18"/>
          <w:szCs w:val="18"/>
        </w:rPr>
        <w:t>冒大卫</w:t>
      </w:r>
      <w:r>
        <w:rPr>
          <w:rFonts w:ascii="宋体" w:hAnsi="宋体" w:cs="宋体" w:eastAsia="宋体" w:hint="default"/>
          <w:sz w:val="18"/>
          <w:szCs w:val="18"/>
        </w:rPr>
        <w:t>先生，公司总裁，简历见本节之</w:t>
      </w:r>
      <w:r>
        <w:rPr>
          <w:rFonts w:ascii="Times New Roman" w:hAnsi="Times New Roman" w:cs="Times New Roman" w:eastAsia="Times New Roman" w:hint="default"/>
          <w:sz w:val="18"/>
          <w:szCs w:val="18"/>
        </w:rPr>
        <w:t>“1</w:t>
      </w:r>
      <w:r>
        <w:rPr>
          <w:rFonts w:ascii="宋体" w:hAnsi="宋体" w:cs="宋体" w:eastAsia="宋体" w:hint="default"/>
          <w:sz w:val="18"/>
          <w:szCs w:val="18"/>
        </w:rPr>
        <w:t>、董事会成员简介</w:t>
      </w:r>
      <w:r>
        <w:rPr>
          <w:rFonts w:ascii="Times New Roman" w:hAnsi="Times New Roman" w:cs="Times New Roman" w:eastAsia="Times New Roman" w:hint="default"/>
          <w:sz w:val="18"/>
          <w:szCs w:val="18"/>
        </w:rPr>
        <w:t>”</w:t>
      </w:r>
      <w:r>
        <w:rPr>
          <w:rFonts w:ascii="宋体" w:hAnsi="宋体" w:cs="宋体" w:eastAsia="宋体" w:hint="default"/>
          <w:sz w:val="18"/>
          <w:szCs w:val="18"/>
        </w:rPr>
        <w:t>。 </w:t>
      </w:r>
      <w:r>
        <w:rPr>
          <w:rFonts w:ascii="宋体" w:hAnsi="宋体" w:cs="宋体" w:eastAsia="宋体" w:hint="default"/>
          <w:b/>
          <w:bCs/>
          <w:sz w:val="18"/>
          <w:szCs w:val="18"/>
        </w:rPr>
        <w:t>翟一兵</w:t>
      </w:r>
      <w:r>
        <w:rPr>
          <w:rFonts w:ascii="宋体" w:hAnsi="宋体" w:cs="宋体" w:eastAsia="宋体" w:hint="default"/>
          <w:sz w:val="18"/>
          <w:szCs w:val="18"/>
        </w:rPr>
        <w:t>先生，首席运营官，简历见本节之</w:t>
      </w:r>
      <w:r>
        <w:rPr>
          <w:rFonts w:ascii="Times New Roman" w:hAnsi="Times New Roman" w:cs="Times New Roman" w:eastAsia="Times New Roman" w:hint="default"/>
          <w:sz w:val="18"/>
          <w:szCs w:val="18"/>
        </w:rPr>
        <w:t>“1</w:t>
      </w:r>
      <w:r>
        <w:rPr>
          <w:rFonts w:ascii="宋体" w:hAnsi="宋体" w:cs="宋体" w:eastAsia="宋体" w:hint="default"/>
          <w:sz w:val="18"/>
          <w:szCs w:val="18"/>
        </w:rPr>
        <w:t>、董事会成员简介</w:t>
      </w:r>
      <w:r>
        <w:rPr>
          <w:rFonts w:ascii="Times New Roman" w:hAnsi="Times New Roman" w:cs="Times New Roman" w:eastAsia="Times New Roman" w:hint="default"/>
          <w:sz w:val="18"/>
          <w:szCs w:val="18"/>
        </w:rPr>
        <w:t>”</w:t>
      </w:r>
      <w:r>
        <w:rPr>
          <w:rFonts w:ascii="宋体" w:hAnsi="宋体" w:cs="宋体" w:eastAsia="宋体" w:hint="default"/>
          <w:sz w:val="18"/>
          <w:szCs w:val="18"/>
        </w:rPr>
        <w:t>。 </w:t>
      </w:r>
      <w:r>
        <w:rPr>
          <w:rFonts w:ascii="宋体" w:hAnsi="宋体" w:cs="宋体" w:eastAsia="宋体" w:hint="default"/>
          <w:b/>
          <w:bCs/>
          <w:sz w:val="18"/>
          <w:szCs w:val="18"/>
        </w:rPr>
        <w:t>杨凯程</w:t>
      </w:r>
      <w:r>
        <w:rPr>
          <w:rFonts w:ascii="宋体" w:hAnsi="宋体" w:cs="宋体" w:eastAsia="宋体" w:hint="default"/>
          <w:sz w:val="18"/>
          <w:szCs w:val="18"/>
        </w:rPr>
        <w:t>先生，公司副总裁，简历见本节之</w:t>
      </w:r>
      <w:r>
        <w:rPr>
          <w:rFonts w:ascii="Times New Roman" w:hAnsi="Times New Roman" w:cs="Times New Roman" w:eastAsia="Times New Roman" w:hint="default"/>
          <w:sz w:val="18"/>
          <w:szCs w:val="18"/>
        </w:rPr>
        <w:t>“1</w:t>
      </w:r>
      <w:r>
        <w:rPr>
          <w:rFonts w:ascii="宋体" w:hAnsi="宋体" w:cs="宋体" w:eastAsia="宋体" w:hint="default"/>
          <w:sz w:val="18"/>
          <w:szCs w:val="18"/>
        </w:rPr>
        <w:t>、董事会成员简介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BodyText"/>
        <w:spacing w:line="451" w:lineRule="auto" w:before="84"/>
        <w:ind w:right="1129" w:firstLine="361"/>
        <w:jc w:val="both"/>
      </w:pPr>
      <w:r>
        <w:rPr>
          <w:rFonts w:ascii="宋体" w:hAnsi="宋体" w:cs="宋体" w:eastAsia="宋体" w:hint="default"/>
          <w:b/>
          <w:bCs/>
          <w:spacing w:val="-2"/>
        </w:rPr>
        <w:t>徐元区</w:t>
      </w:r>
      <w:r>
        <w:rPr>
          <w:spacing w:val="-2"/>
        </w:rPr>
        <w:t>先生，北京神州泰岳软件股份有限公司副总裁。</w:t>
      </w:r>
      <w:r>
        <w:rPr>
          <w:rFonts w:ascii="Times New Roman" w:hAnsi="Times New Roman" w:cs="Times New Roman" w:eastAsia="Times New Roman" w:hint="default"/>
          <w:spacing w:val="-2"/>
        </w:rPr>
        <w:t>1976</w:t>
      </w:r>
      <w:r>
        <w:rPr>
          <w:spacing w:val="-2"/>
        </w:rPr>
        <w:t>年出生，中国国籍，无永久境外居留权。毕业于北京信息工</w:t>
      </w:r>
      <w:r>
        <w:rPr/>
        <w:t> </w:t>
      </w:r>
      <w:r>
        <w:rPr>
          <w:spacing w:val="-2"/>
        </w:rPr>
        <w:t>程学院，通信工程学士学位，</w:t>
      </w:r>
      <w:r>
        <w:rPr>
          <w:rFonts w:ascii="Times New Roman" w:hAnsi="Times New Roman" w:cs="Times New Roman" w:eastAsia="Times New Roman" w:hint="default"/>
          <w:spacing w:val="-2"/>
        </w:rPr>
        <w:t>2007</w:t>
      </w:r>
      <w:r>
        <w:rPr>
          <w:spacing w:val="-2"/>
        </w:rPr>
        <w:t>年获北京邮电大学软件工程硕士学位；曾任北京信息工程学院团委副书记、北京多润信息</w:t>
      </w:r>
      <w:r>
        <w:rPr>
          <w:spacing w:val="-62"/>
        </w:rPr>
        <w:t> </w:t>
      </w:r>
      <w:r>
        <w:rPr>
          <w:spacing w:val="-62"/>
        </w:rPr>
      </w:r>
      <w:r>
        <w:rPr/>
        <w:t>科技有限公司</w:t>
      </w:r>
      <w:r>
        <w:rPr>
          <w:rFonts w:ascii="Times New Roman" w:hAnsi="Times New Roman" w:cs="Times New Roman" w:eastAsia="Times New Roman" w:hint="default"/>
        </w:rPr>
        <w:t>CTO</w:t>
      </w:r>
      <w:r>
        <w:rPr/>
        <w:t>、微软（中国）有限公司</w:t>
      </w:r>
      <w:r>
        <w:rPr>
          <w:rFonts w:ascii="Times New Roman" w:hAnsi="Times New Roman" w:cs="Times New Roman" w:eastAsia="Times New Roman" w:hint="default"/>
        </w:rPr>
        <w:t>MCS</w:t>
      </w:r>
      <w:r>
        <w:rPr/>
        <w:t>部资深顾问、北京新媒传信科技有限公司副总经理；现任公司副总裁。</w:t>
      </w:r>
    </w:p>
    <w:p>
      <w:pPr>
        <w:pStyle w:val="BodyText"/>
        <w:spacing w:line="451" w:lineRule="auto" w:before="83"/>
        <w:ind w:right="1131" w:firstLine="361"/>
        <w:jc w:val="both"/>
      </w:pPr>
      <w:r>
        <w:rPr>
          <w:rFonts w:ascii="宋体" w:hAnsi="宋体" w:cs="宋体" w:eastAsia="宋体" w:hint="default"/>
          <w:b/>
          <w:bCs/>
          <w:spacing w:val="-2"/>
        </w:rPr>
        <w:t>高峰</w:t>
      </w:r>
      <w:r>
        <w:rPr>
          <w:spacing w:val="-2"/>
        </w:rPr>
        <w:t>先生，北京神州泰岳软件股份有限公司副总裁。</w:t>
      </w:r>
      <w:r>
        <w:rPr>
          <w:rFonts w:ascii="Times New Roman" w:hAnsi="Times New Roman" w:cs="Times New Roman" w:eastAsia="Times New Roman" w:hint="default"/>
          <w:spacing w:val="-2"/>
        </w:rPr>
        <w:t>1976</w:t>
      </w:r>
      <w:r>
        <w:rPr>
          <w:spacing w:val="-2"/>
        </w:rPr>
        <w:t>年出生，中国国籍，无永久境外居留权。毕业于沈阳航空工业</w:t>
      </w:r>
      <w:r>
        <w:rPr/>
        <w:t> </w:t>
      </w:r>
      <w:r>
        <w:rPr>
          <w:spacing w:val="-2"/>
        </w:rPr>
        <w:t>学院；</w:t>
      </w:r>
      <w:r>
        <w:rPr>
          <w:rFonts w:ascii="Times New Roman" w:hAnsi="Times New Roman" w:cs="Times New Roman" w:eastAsia="Times New Roman" w:hint="default"/>
          <w:spacing w:val="-2"/>
        </w:rPr>
        <w:t>2002</w:t>
      </w:r>
      <w:r>
        <w:rPr>
          <w:spacing w:val="-2"/>
        </w:rPr>
        <w:t>年至今历任公司销售经理、高级销售经理、行业销售总监、副总裁。现兼任北京神州泰岳信息安全技术有限公司</w:t>
      </w:r>
      <w:r>
        <w:rPr>
          <w:spacing w:val="-62"/>
        </w:rPr>
        <w:t> </w:t>
      </w:r>
      <w:hyperlink r:id="rId89">
        <w:r>
          <w:rPr>
            <w:spacing w:val="-62"/>
          </w:rPr>
        </w:r>
        <w:r>
          <w:rPr/>
          <w:t>总经理、新疆神州泰岳智能科技有限公司</w:t>
        </w:r>
      </w:hyperlink>
      <w:r>
        <w:rPr/>
        <w:t>执行董事。</w:t>
      </w:r>
    </w:p>
    <w:p>
      <w:pPr>
        <w:pStyle w:val="BodyText"/>
        <w:spacing w:line="460" w:lineRule="auto" w:before="112"/>
        <w:ind w:right="1130" w:firstLine="361"/>
        <w:jc w:val="both"/>
      </w:pPr>
      <w:r>
        <w:rPr>
          <w:rFonts w:ascii="宋体" w:hAnsi="宋体" w:cs="宋体" w:eastAsia="宋体" w:hint="default"/>
          <w:b/>
          <w:bCs/>
          <w:spacing w:val="-5"/>
        </w:rPr>
        <w:t>董越</w:t>
      </w:r>
      <w:r>
        <w:rPr>
          <w:spacing w:val="-5"/>
        </w:rPr>
        <w:t>先生，北京神州泰岳软件股份有限公司副总裁。</w:t>
      </w:r>
      <w:r>
        <w:rPr>
          <w:rFonts w:ascii="Times New Roman" w:hAnsi="Times New Roman" w:cs="Times New Roman" w:eastAsia="Times New Roman" w:hint="default"/>
          <w:spacing w:val="-5"/>
        </w:rPr>
        <w:t>1970</w:t>
      </w:r>
      <w:r>
        <w:rPr>
          <w:spacing w:val="-5"/>
        </w:rPr>
        <w:t>年出生，中国国籍，无永久境外居留权。毕业于北京邮电大学，</w:t>
      </w:r>
      <w:r>
        <w:rPr/>
        <w:t> </w:t>
      </w:r>
      <w:r>
        <w:rPr>
          <w:spacing w:val="-2"/>
        </w:rPr>
        <w:t>通信与电子系统专业硕士学位，</w:t>
      </w:r>
      <w:r>
        <w:rPr>
          <w:rFonts w:ascii="Times New Roman" w:hAnsi="Times New Roman" w:cs="Times New Roman" w:eastAsia="Times New Roman" w:hint="default"/>
          <w:spacing w:val="-2"/>
        </w:rPr>
        <w:t>2005</w:t>
      </w:r>
      <w:r>
        <w:rPr>
          <w:spacing w:val="-2"/>
        </w:rPr>
        <w:t>年获挪威管理学院信息通信管理专业工商管理硕士学位；曾任中国电信信元公众信息发</w:t>
      </w:r>
      <w:r>
        <w:rPr>
          <w:spacing w:val="-60"/>
        </w:rPr>
        <w:t> </w:t>
      </w:r>
      <w:r>
        <w:rPr>
          <w:spacing w:val="-60"/>
        </w:rPr>
      </w:r>
      <w:r>
        <w:rPr>
          <w:spacing w:val="-2"/>
        </w:rPr>
        <w:t>展有限责任公司总经理助理、中国电信数据通信事业部规划计划处副处长、中国联通增值业务部移动互联网中心经理、中国</w:t>
      </w:r>
      <w:r>
        <w:rPr>
          <w:spacing w:val="-66"/>
        </w:rPr>
        <w:t> </w:t>
      </w:r>
      <w:r>
        <w:rPr>
          <w:spacing w:val="-66"/>
        </w:rPr>
      </w:r>
      <w:r>
        <w:rPr/>
        <w:t>联通营销部一中心经理、联通时科信息技术有限公司总经理助理、副总经理；现任公司副总裁、网络技术分公司总经理。</w:t>
      </w:r>
    </w:p>
    <w:p>
      <w:pPr>
        <w:pStyle w:val="BodyText"/>
        <w:spacing w:line="451" w:lineRule="auto" w:before="105"/>
        <w:ind w:right="1042" w:firstLine="361"/>
        <w:jc w:val="both"/>
      </w:pPr>
      <w:r>
        <w:rPr>
          <w:rFonts w:ascii="宋体" w:hAnsi="宋体" w:cs="宋体" w:eastAsia="宋体" w:hint="default"/>
          <w:b/>
          <w:bCs/>
          <w:spacing w:val="-2"/>
        </w:rPr>
        <w:t>梁德兴</w:t>
      </w:r>
      <w:r>
        <w:rPr>
          <w:spacing w:val="-2"/>
        </w:rPr>
        <w:t>先生，北京神州泰岳软件股份有限公司副总裁。</w:t>
      </w:r>
      <w:r>
        <w:rPr>
          <w:rFonts w:ascii="Times New Roman" w:hAnsi="Times New Roman" w:cs="Times New Roman" w:eastAsia="Times New Roman" w:hint="default"/>
          <w:spacing w:val="-2"/>
        </w:rPr>
        <w:t>1975</w:t>
      </w:r>
      <w:r>
        <w:rPr>
          <w:spacing w:val="-2"/>
        </w:rPr>
        <w:t>年出生，中国国籍，无永久境外居留权。毕业于哈尔滨理工</w:t>
      </w:r>
      <w:r>
        <w:rPr/>
        <w:t> 大学，获得精密仪器专业学士学位，</w:t>
      </w:r>
      <w:r>
        <w:rPr>
          <w:rFonts w:ascii="Times New Roman" w:hAnsi="Times New Roman" w:cs="Times New Roman" w:eastAsia="Times New Roman" w:hint="default"/>
        </w:rPr>
        <w:t>2008</w:t>
      </w:r>
      <w:r>
        <w:rPr/>
        <w:t>年获北京大学光华管理学院</w:t>
      </w:r>
      <w:r>
        <w:rPr>
          <w:rFonts w:ascii="Times New Roman" w:hAnsi="Times New Roman" w:cs="Times New Roman" w:eastAsia="Times New Roman" w:hint="default"/>
        </w:rPr>
        <w:t>MBA</w:t>
      </w:r>
      <w:r>
        <w:rPr/>
        <w:t>学位。曾任北京齿轮总厂质检员、北京冠群金辰</w:t>
      </w:r>
      <w:r>
        <w:rPr>
          <w:spacing w:val="-47"/>
        </w:rPr>
        <w:t> </w:t>
      </w:r>
      <w:r>
        <w:rPr>
          <w:spacing w:val="-47"/>
        </w:rPr>
      </w:r>
      <w:r>
        <w:rPr/>
        <w:t>软件公司研发经理；</w:t>
      </w:r>
      <w:r>
        <w:rPr>
          <w:rFonts w:ascii="Times New Roman" w:hAnsi="Times New Roman" w:cs="Times New Roman" w:eastAsia="Times New Roman" w:hint="default"/>
        </w:rPr>
        <w:t>2002</w:t>
      </w:r>
      <w:r>
        <w:rPr/>
        <w:t>年</w:t>
      </w:r>
      <w:r>
        <w:rPr>
          <w:rFonts w:ascii="Times New Roman" w:hAnsi="Times New Roman" w:cs="Times New Roman" w:eastAsia="Times New Roman" w:hint="default"/>
        </w:rPr>
        <w:t>9</w:t>
      </w:r>
      <w:r>
        <w:rPr/>
        <w:t>月加入北京神州泰岳软件股份有限公司，先后任信息安全事业部总监、副总经理，运维服务中</w:t>
      </w:r>
      <w:r>
        <w:rPr>
          <w:spacing w:val="-83"/>
        </w:rPr>
        <w:t> </w:t>
      </w:r>
      <w:r>
        <w:rPr>
          <w:spacing w:val="-83"/>
        </w:rPr>
      </w:r>
      <w:r>
        <w:rPr/>
        <w:t>心总经理、人力资源部总经理、市场部总经理，现担任公司副总裁，兼任安徽省泰岳祥升软件有限公司执行董事、总经理。</w:t>
      </w:r>
    </w:p>
    <w:p>
      <w:pPr>
        <w:pStyle w:val="BodyText"/>
        <w:spacing w:line="463" w:lineRule="auto" w:before="114"/>
        <w:ind w:right="1131" w:firstLine="361"/>
        <w:jc w:val="both"/>
      </w:pPr>
      <w:r>
        <w:rPr>
          <w:rFonts w:ascii="宋体" w:hAnsi="宋体" w:cs="宋体" w:eastAsia="宋体" w:hint="default"/>
          <w:b/>
          <w:bCs/>
          <w:spacing w:val="-2"/>
        </w:rPr>
        <w:t>张黔山</w:t>
      </w:r>
      <w:r>
        <w:rPr>
          <w:spacing w:val="-2"/>
        </w:rPr>
        <w:t>先生，北京神州泰岳软件股份有限公司副总裁兼董事会秘书。</w:t>
      </w:r>
      <w:r>
        <w:rPr>
          <w:rFonts w:ascii="Times New Roman" w:hAnsi="Times New Roman" w:cs="Times New Roman" w:eastAsia="Times New Roman" w:hint="default"/>
          <w:spacing w:val="-2"/>
        </w:rPr>
        <w:t>1971</w:t>
      </w:r>
      <w:r>
        <w:rPr>
          <w:spacing w:val="-2"/>
        </w:rPr>
        <w:t>年出生，北京大学工商管理硕士；曾任北京西</w:t>
      </w:r>
      <w:r>
        <w:rPr/>
        <w:t> </w:t>
      </w:r>
      <w:r>
        <w:rPr>
          <w:spacing w:val="-2"/>
        </w:rPr>
        <w:t>单商场股份有限公司证券部副部长、大鹏证券投资银行高级经理、北京德业投资有限公司总经理、互联无限（北京）科技有</w:t>
      </w:r>
      <w:r>
        <w:rPr>
          <w:spacing w:val="-66"/>
        </w:rPr>
        <w:t> </w:t>
      </w:r>
      <w:r>
        <w:rPr>
          <w:spacing w:val="-66"/>
        </w:rPr>
      </w:r>
      <w:r>
        <w:rPr>
          <w:spacing w:val="-2"/>
        </w:rPr>
        <w:t>限公司副总经理；现任公司副总裁、董事会秘书，兼任公司资本运营中心总经理，北京神州良品电子商务科技股份有限公司</w:t>
      </w:r>
    </w:p>
    <w:p>
      <w:pPr>
        <w:spacing w:after="0" w:line="463" w:lineRule="auto"/>
        <w:jc w:val="both"/>
        <w:sectPr>
          <w:pgSz w:w="11910" w:h="16840"/>
          <w:pgMar w:header="851" w:footer="979" w:top="1400" w:bottom="1160" w:left="980" w:right="0"/>
        </w:sectPr>
      </w:pPr>
    </w:p>
    <w:p>
      <w:pPr>
        <w:spacing w:line="240" w:lineRule="auto" w:before="2"/>
        <w:rPr>
          <w:rFonts w:ascii="宋体" w:hAnsi="宋体" w:cs="宋体" w:eastAsia="宋体" w:hint="default"/>
          <w:sz w:val="8"/>
          <w:szCs w:val="8"/>
        </w:rPr>
      </w:pPr>
    </w:p>
    <w:p>
      <w:pPr>
        <w:pStyle w:val="BodyText"/>
        <w:spacing w:line="240" w:lineRule="auto" w:before="44"/>
        <w:ind w:right="0"/>
        <w:jc w:val="left"/>
      </w:pPr>
      <w:r>
        <w:rPr/>
        <w:t>董事。</w:t>
      </w:r>
    </w:p>
    <w:p>
      <w:pPr>
        <w:spacing w:line="240" w:lineRule="auto" w:before="10"/>
        <w:rPr>
          <w:rFonts w:ascii="宋体" w:hAnsi="宋体" w:cs="宋体" w:eastAsia="宋体" w:hint="default"/>
          <w:sz w:val="20"/>
          <w:szCs w:val="20"/>
        </w:rPr>
      </w:pPr>
    </w:p>
    <w:p>
      <w:pPr>
        <w:pStyle w:val="BodyText"/>
        <w:spacing w:line="465" w:lineRule="auto"/>
        <w:ind w:right="1130" w:firstLine="361"/>
        <w:jc w:val="both"/>
      </w:pPr>
      <w:r>
        <w:rPr>
          <w:rFonts w:ascii="宋体" w:hAnsi="宋体" w:cs="宋体" w:eastAsia="宋体" w:hint="default"/>
          <w:b/>
          <w:bCs/>
          <w:spacing w:val="-2"/>
        </w:rPr>
        <w:t>艾东</w:t>
      </w:r>
      <w:r>
        <w:rPr>
          <w:spacing w:val="-2"/>
        </w:rPr>
        <w:t>先生，北京神州泰岳软件股份有限公司副总裁。</w:t>
      </w:r>
      <w:r>
        <w:rPr>
          <w:rFonts w:ascii="Times New Roman" w:hAnsi="Times New Roman" w:cs="Times New Roman" w:eastAsia="Times New Roman" w:hint="default"/>
          <w:spacing w:val="-2"/>
        </w:rPr>
        <w:t>1969</w:t>
      </w:r>
      <w:r>
        <w:rPr>
          <w:spacing w:val="-2"/>
        </w:rPr>
        <w:t>年出生，中国国籍，无永久境外居留权。毕业于西北纺织工学</w:t>
      </w:r>
      <w:r>
        <w:rPr/>
        <w:t> </w:t>
      </w:r>
      <w:r>
        <w:rPr>
          <w:spacing w:val="-2"/>
        </w:rPr>
        <w:t>院，机械制造专业；曾任西安仪表厂销售处销售经理、北京高阳圣思园科技有限公司西南区总经理、西区总经理，北京神州</w:t>
      </w:r>
      <w:r>
        <w:rPr>
          <w:spacing w:val="-66"/>
        </w:rPr>
        <w:t> </w:t>
      </w:r>
      <w:r>
        <w:rPr>
          <w:spacing w:val="-66"/>
        </w:rPr>
      </w:r>
      <w:r>
        <w:rPr/>
        <w:t>泰岳软件股份有限公司重庆销售经理，西区总经理；现任公司副总裁、信息技术分公司总经理。</w:t>
      </w:r>
    </w:p>
    <w:p>
      <w:pPr>
        <w:pStyle w:val="BodyText"/>
        <w:spacing w:line="468" w:lineRule="auto" w:before="101"/>
        <w:ind w:right="1032" w:firstLine="361"/>
        <w:jc w:val="left"/>
      </w:pPr>
      <w:r>
        <w:rPr>
          <w:rFonts w:ascii="宋体" w:hAnsi="宋体" w:cs="宋体" w:eastAsia="宋体" w:hint="default"/>
          <w:b/>
          <w:bCs/>
          <w:spacing w:val="-5"/>
        </w:rPr>
        <w:t>林红</w:t>
      </w:r>
      <w:r>
        <w:rPr>
          <w:spacing w:val="-5"/>
        </w:rPr>
        <w:t>女士，北京神州泰岳软件股份有限公司副总裁兼财务总监。</w:t>
      </w:r>
      <w:r>
        <w:rPr>
          <w:rFonts w:ascii="Times New Roman" w:hAnsi="Times New Roman" w:cs="Times New Roman" w:eastAsia="Times New Roman" w:hint="default"/>
          <w:spacing w:val="-5"/>
        </w:rPr>
        <w:t>1965</w:t>
      </w:r>
      <w:r>
        <w:rPr>
          <w:spacing w:val="-5"/>
        </w:rPr>
        <w:t>年出生，中国国籍，无永久境外居留权。本科学历，</w:t>
      </w:r>
      <w:r>
        <w:rPr/>
        <w:t> </w:t>
      </w:r>
      <w:r>
        <w:rPr>
          <w:spacing w:val="-2"/>
        </w:rPr>
        <w:t>高级会计师职称。曾任北京市海淀区畜牧水产总公司出纳、主管会计，北京市直机动车检测场财务经理、北京神州泰岳计算</w:t>
      </w:r>
      <w:r>
        <w:rPr>
          <w:spacing w:val="-66"/>
        </w:rPr>
        <w:t> </w:t>
      </w:r>
      <w:r>
        <w:rPr>
          <w:spacing w:val="-66"/>
        </w:rPr>
      </w:r>
      <w:r>
        <w:rPr/>
        <w:t>机公司财务部副经理、北京神州泰岳软件股份有限公司财务部总经理，现任公司副总裁、财务总监、财务管理中心总经理。</w:t>
      </w:r>
      <w:r>
        <w:rPr>
          <w:spacing w:val="-85"/>
        </w:rPr>
        <w:t> </w:t>
      </w:r>
      <w:r>
        <w:rPr>
          <w:spacing w:val="-85"/>
        </w:rPr>
      </w:r>
      <w:r>
        <w:rPr/>
        <w:t>兼任富思特新材料科技发展股份有限公司独立董事。</w:t>
      </w:r>
    </w:p>
    <w:p>
      <w:pPr>
        <w:pStyle w:val="Heading5"/>
        <w:spacing w:line="240" w:lineRule="auto" w:before="100"/>
        <w:ind w:right="0"/>
        <w:jc w:val="left"/>
        <w:rPr>
          <w:b w:val="0"/>
          <w:bCs w:val="0"/>
        </w:rPr>
      </w:pPr>
      <w:r>
        <w:rPr/>
        <w:t>在股东单位任职情况</w:t>
      </w:r>
      <w:r>
        <w:rPr>
          <w:b w:val="0"/>
          <w:bCs w:val="0"/>
        </w:rPr>
      </w:r>
    </w:p>
    <w:p>
      <w:pPr>
        <w:spacing w:line="240" w:lineRule="auto" w:before="12"/>
        <w:rPr>
          <w:rFonts w:ascii="宋体" w:hAnsi="宋体" w:cs="宋体" w:eastAsia="宋体" w:hint="default"/>
          <w:b/>
          <w:bCs/>
          <w:sz w:val="20"/>
          <w:szCs w:val="20"/>
        </w:rPr>
      </w:pPr>
    </w:p>
    <w:p>
      <w:pPr>
        <w:spacing w:line="489" w:lineRule="auto" w:before="0"/>
        <w:ind w:left="154" w:right="912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b/>
          <w:bCs/>
          <w:sz w:val="18"/>
          <w:szCs w:val="18"/>
        </w:rPr>
        <w:t>在其他单位任职情况</w:t>
      </w:r>
      <w:r>
        <w:rPr>
          <w:rFonts w:ascii="宋体" w:hAnsi="宋体" w:cs="宋体" w:eastAsia="宋体" w:hint="default"/>
          <w:sz w:val="18"/>
          <w:szCs w:val="18"/>
        </w:rPr>
      </w:r>
    </w:p>
    <w:p>
      <w:pPr>
        <w:spacing w:before="8"/>
        <w:ind w:left="154" w:right="0"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6"/>
          <w:szCs w:val="6"/>
        </w:rPr>
      </w:pPr>
    </w:p>
    <w:tbl>
      <w:tblPr>
        <w:tblW w:w="0" w:type="auto"/>
        <w:jc w:val="left"/>
        <w:tblInd w:w="121" w:type="dxa"/>
        <w:tblLayout w:type="fixed"/>
        <w:tblCellMar>
          <w:top w:w="0" w:type="dxa"/>
          <w:left w:w="0" w:type="dxa"/>
          <w:bottom w:w="0" w:type="dxa"/>
          <w:right w:w="0" w:type="dxa"/>
        </w:tblCellMar>
        <w:tblLook w:val="01E0"/>
      </w:tblPr>
      <w:tblGrid>
        <w:gridCol w:w="1215"/>
        <w:gridCol w:w="3491"/>
        <w:gridCol w:w="1559"/>
        <w:gridCol w:w="1278"/>
        <w:gridCol w:w="1150"/>
        <w:gridCol w:w="1002"/>
      </w:tblGrid>
      <w:tr>
        <w:trPr>
          <w:trHeight w:val="1025"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任职人员姓名</w:t>
            </w:r>
          </w:p>
        </w:tc>
        <w:tc>
          <w:tcPr>
            <w:tcW w:w="34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其他单位名称</w:t>
            </w:r>
          </w:p>
        </w:tc>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594" w:right="53" w:hanging="540"/>
              <w:jc w:val="left"/>
              <w:rPr>
                <w:rFonts w:ascii="宋体" w:hAnsi="宋体" w:cs="宋体" w:eastAsia="宋体" w:hint="default"/>
                <w:sz w:val="18"/>
                <w:szCs w:val="18"/>
              </w:rPr>
            </w:pPr>
            <w:r>
              <w:rPr>
                <w:rFonts w:ascii="宋体" w:hAnsi="宋体" w:cs="宋体" w:eastAsia="宋体" w:hint="default"/>
                <w:sz w:val="18"/>
                <w:szCs w:val="18"/>
              </w:rPr>
              <w:t>在其他单位担任的 职务</w:t>
            </w:r>
          </w:p>
        </w:tc>
        <w:tc>
          <w:tcPr>
            <w:tcW w:w="1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任期起始日期</w:t>
            </w:r>
          </w:p>
        </w:tc>
        <w:tc>
          <w:tcPr>
            <w:tcW w:w="11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任期终止日期</w:t>
            </w:r>
          </w:p>
        </w:tc>
        <w:tc>
          <w:tcPr>
            <w:tcW w:w="10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5" w:right="44"/>
              <w:jc w:val="center"/>
              <w:rPr>
                <w:rFonts w:ascii="宋体" w:hAnsi="宋体" w:cs="宋体" w:eastAsia="宋体" w:hint="default"/>
                <w:sz w:val="18"/>
                <w:szCs w:val="18"/>
              </w:rPr>
            </w:pPr>
            <w:r>
              <w:rPr>
                <w:rFonts w:ascii="宋体" w:hAnsi="宋体" w:cs="宋体" w:eastAsia="宋体" w:hint="default"/>
                <w:sz w:val="18"/>
                <w:szCs w:val="18"/>
              </w:rPr>
              <w:t>在其他单位 是否领取报 酬津贴</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北京互联时代通讯科技有限公司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2002-06-14</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北京神州良品电子商务科技股份有限公司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2011-12-27</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北京华泰德丰技术有限公司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2011-11-03</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北京启天同信科技有限公司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2003-09-12</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北京善聚投资管理有限公司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2013-06-28</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北京创董创新实业有限公司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6"/>
              <w:jc w:val="center"/>
              <w:rPr>
                <w:rFonts w:ascii="Times New Roman" w:hAnsi="Times New Roman" w:cs="Times New Roman" w:eastAsia="Times New Roman" w:hint="default"/>
                <w:sz w:val="18"/>
                <w:szCs w:val="18"/>
              </w:rPr>
            </w:pPr>
            <w:r>
              <w:rPr>
                <w:rFonts w:ascii="Times New Roman"/>
                <w:sz w:val="18"/>
              </w:rPr>
              <w:t>2017-08-11</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北京德青源农业科技股份有限公司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2018-02-02</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北京互联时代通讯科技有限公司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2002-06-14</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神州泰岳（香港）有限公司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2011-11-23</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北京启天同信科技有限公司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2003-09-12</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Ultrapower 360 Pte Ltd</w:t>
            </w:r>
            <w:r>
              <w:rPr>
                <w:rFonts w:ascii="宋体" w:hAnsi="宋体" w:cs="宋体" w:eastAsia="宋体" w:hint="default"/>
                <w:sz w:val="18"/>
                <w:szCs w:val="18"/>
              </w:rPr>
              <w:t>（</w:t>
            </w:r>
            <w:r>
              <w:rPr>
                <w:rFonts w:ascii="Times New Roman" w:hAnsi="Times New Roman" w:cs="Times New Roman" w:eastAsia="Times New Roman" w:hint="default"/>
                <w:sz w:val="18"/>
                <w:szCs w:val="18"/>
              </w:rPr>
              <w:t>360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2014-03-07</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2018-12-01</w:t>
            </w: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中建智能技术有限公司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2018-10-29</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黄松浪</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重庆新媒农信科技有限公司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2010-08-09</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黄松浪</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大连华信计算机技术股份有限公司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2012-02-14</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黄松浪</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重庆新媒亿网科技有限公司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2012-03-12</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黄松浪</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重庆新迈峰科技有限公司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2012-03-12</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黄松浪</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北京神州泰岳系统集成有限公司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2013-03-28</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04"/>
              <w:jc w:val="righ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right"/>
        <w:rPr>
          <w:rFonts w:ascii="宋体" w:hAnsi="宋体" w:cs="宋体" w:eastAsia="宋体" w:hint="default"/>
          <w:sz w:val="18"/>
          <w:szCs w:val="18"/>
        </w:rPr>
        <w:sectPr>
          <w:pgSz w:w="11910" w:h="16840"/>
          <w:pgMar w:header="851" w:footer="979" w:top="1400" w:bottom="1160" w:left="980" w:right="0"/>
        </w:sectPr>
      </w:pPr>
    </w:p>
    <w:tbl>
      <w:tblPr>
        <w:tblW w:w="0" w:type="auto"/>
        <w:jc w:val="left"/>
        <w:tblInd w:w="101" w:type="dxa"/>
        <w:tblLayout w:type="fixed"/>
        <w:tblCellMar>
          <w:top w:w="0" w:type="dxa"/>
          <w:left w:w="0" w:type="dxa"/>
          <w:bottom w:w="0" w:type="dxa"/>
          <w:right w:w="0" w:type="dxa"/>
        </w:tblCellMar>
        <w:tblLook w:val="01E0"/>
      </w:tblPr>
      <w:tblGrid>
        <w:gridCol w:w="1215"/>
        <w:gridCol w:w="3491"/>
        <w:gridCol w:w="1559"/>
        <w:gridCol w:w="1278"/>
        <w:gridCol w:w="1150"/>
        <w:gridCol w:w="1002"/>
      </w:tblGrid>
      <w:tr>
        <w:trPr>
          <w:trHeight w:val="414" w:hRule="exact"/>
        </w:trPr>
        <w:tc>
          <w:tcPr>
            <w:tcW w:w="1215"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黄松浪</w:t>
            </w:r>
          </w:p>
        </w:tc>
        <w:tc>
          <w:tcPr>
            <w:tcW w:w="349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北京启天同信科技有限公司</w:t>
            </w:r>
          </w:p>
        </w:tc>
        <w:tc>
          <w:tcPr>
            <w:tcW w:w="155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27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2013-09-16</w:t>
            </w:r>
          </w:p>
        </w:tc>
        <w:tc>
          <w:tcPr>
            <w:tcW w:w="1150" w:type="dxa"/>
            <w:tcBorders>
              <w:top w:val="single" w:sz="10" w:space="0" w:color="000000"/>
              <w:left w:val="single" w:sz="4" w:space="0" w:color="000000"/>
              <w:bottom w:val="single" w:sz="4" w:space="0" w:color="000000"/>
              <w:right w:val="single" w:sz="4" w:space="0" w:color="000000"/>
            </w:tcBorders>
          </w:tcPr>
          <w:p>
            <w:pPr/>
          </w:p>
        </w:tc>
        <w:tc>
          <w:tcPr>
            <w:tcW w:w="100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2"/>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hAnsi="宋体" w:cs="宋体" w:eastAsia="宋体" w:hint="default"/>
                <w:sz w:val="18"/>
                <w:szCs w:val="18"/>
              </w:rPr>
              <w:t>黄松浪</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北京善聚投资管理有限公司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总经理</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Times New Roman" w:hAnsi="Times New Roman" w:cs="Times New Roman" w:eastAsia="Times New Roman" w:hint="default"/>
                <w:sz w:val="18"/>
                <w:szCs w:val="18"/>
              </w:rPr>
            </w:pPr>
            <w:r>
              <w:rPr>
                <w:rFonts w:ascii="Times New Roman"/>
                <w:sz w:val="18"/>
              </w:rPr>
              <w:t>2013-06-28</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hAnsi="宋体" w:cs="宋体" w:eastAsia="宋体" w:hint="default"/>
                <w:sz w:val="18"/>
                <w:szCs w:val="18"/>
              </w:rPr>
              <w:t>黄松浪</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北京泰岳阳光科技有限公司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执行董事、总经理</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Times New Roman" w:hAnsi="Times New Roman" w:cs="Times New Roman" w:eastAsia="Times New Roman" w:hint="default"/>
                <w:sz w:val="18"/>
                <w:szCs w:val="18"/>
              </w:rPr>
            </w:pPr>
            <w:r>
              <w:rPr>
                <w:rFonts w:ascii="Times New Roman"/>
                <w:sz w:val="18"/>
              </w:rPr>
              <w:t>2017-04-17</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宋体" w:hAnsi="宋体" w:cs="宋体" w:eastAsia="宋体" w:hint="default"/>
                <w:sz w:val="18"/>
                <w:szCs w:val="18"/>
              </w:rPr>
            </w:pPr>
            <w:r>
              <w:rPr>
                <w:rFonts w:ascii="宋体" w:hAnsi="宋体" w:cs="宋体" w:eastAsia="宋体" w:hint="default"/>
                <w:sz w:val="18"/>
                <w:szCs w:val="18"/>
              </w:rPr>
              <w:t>冒大卫</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
              <w:jc w:val="center"/>
              <w:rPr>
                <w:rFonts w:ascii="宋体" w:hAnsi="宋体" w:cs="宋体" w:eastAsia="宋体" w:hint="default"/>
                <w:sz w:val="18"/>
                <w:szCs w:val="18"/>
              </w:rPr>
            </w:pPr>
            <w:r>
              <w:rPr>
                <w:rFonts w:ascii="宋体" w:hAnsi="宋体" w:cs="宋体" w:eastAsia="宋体" w:hint="default"/>
                <w:sz w:val="18"/>
                <w:szCs w:val="18"/>
              </w:rPr>
              <w:t>中金基金管理有限公司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
              <w:jc w:val="center"/>
              <w:rPr>
                <w:rFonts w:ascii="Times New Roman" w:hAnsi="Times New Roman" w:cs="Times New Roman" w:eastAsia="Times New Roman" w:hint="default"/>
                <w:sz w:val="18"/>
                <w:szCs w:val="18"/>
              </w:rPr>
            </w:pPr>
            <w:r>
              <w:rPr>
                <w:rFonts w:ascii="Times New Roman"/>
                <w:sz w:val="18"/>
              </w:rPr>
              <w:t>2018-09-04</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404"/>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hAnsi="宋体" w:cs="宋体" w:eastAsia="宋体" w:hint="default"/>
                <w:sz w:val="18"/>
                <w:szCs w:val="18"/>
              </w:rPr>
              <w:t>冒大卫</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北京新媒传信科技有限公司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Times New Roman" w:hAnsi="Times New Roman" w:cs="Times New Roman" w:eastAsia="Times New Roman" w:hint="default"/>
                <w:sz w:val="18"/>
                <w:szCs w:val="18"/>
              </w:rPr>
            </w:pPr>
            <w:r>
              <w:rPr>
                <w:rFonts w:ascii="Times New Roman"/>
                <w:sz w:val="18"/>
              </w:rPr>
              <w:t>2019-01-28</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hAnsi="宋体" w:cs="宋体" w:eastAsia="宋体" w:hint="default"/>
                <w:sz w:val="18"/>
                <w:szCs w:val="18"/>
              </w:rPr>
              <w:t>翟一兵</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北京神州泰岳智能数据技术有限公司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Times New Roman" w:hAnsi="Times New Roman" w:cs="Times New Roman" w:eastAsia="Times New Roman" w:hint="default"/>
                <w:sz w:val="18"/>
                <w:szCs w:val="18"/>
              </w:rPr>
            </w:pPr>
            <w:r>
              <w:rPr>
                <w:rFonts w:ascii="Times New Roman"/>
                <w:sz w:val="18"/>
              </w:rPr>
              <w:t>2014-01-21</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49"/>
              <w:jc w:val="right"/>
              <w:rPr>
                <w:rFonts w:ascii="Times New Roman" w:hAnsi="Times New Roman" w:cs="Times New Roman" w:eastAsia="Times New Roman" w:hint="default"/>
                <w:sz w:val="18"/>
                <w:szCs w:val="18"/>
              </w:rPr>
            </w:pPr>
            <w:r>
              <w:rPr>
                <w:rFonts w:ascii="Times New Roman"/>
                <w:sz w:val="18"/>
              </w:rPr>
              <w:t>2019-03-05</w:t>
            </w: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hAnsi="宋体" w:cs="宋体" w:eastAsia="宋体" w:hint="default"/>
                <w:sz w:val="18"/>
                <w:szCs w:val="18"/>
              </w:rPr>
              <w:t>徐斯平</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北京互联时代通讯科技有限公司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Times New Roman" w:hAnsi="Times New Roman" w:cs="Times New Roman" w:eastAsia="Times New Roman" w:hint="default"/>
                <w:sz w:val="18"/>
                <w:szCs w:val="18"/>
              </w:rPr>
            </w:pPr>
            <w:r>
              <w:rPr>
                <w:rFonts w:ascii="Times New Roman"/>
                <w:sz w:val="18"/>
              </w:rPr>
              <w:t>2005-09-21</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hAnsi="宋体" w:cs="宋体" w:eastAsia="宋体" w:hint="default"/>
                <w:sz w:val="18"/>
                <w:szCs w:val="18"/>
              </w:rPr>
              <w:t>徐斯平</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北京启天同信科技有限公司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Times New Roman" w:hAnsi="Times New Roman" w:cs="Times New Roman" w:eastAsia="Times New Roman" w:hint="default"/>
                <w:sz w:val="18"/>
                <w:szCs w:val="18"/>
              </w:rPr>
            </w:pPr>
            <w:r>
              <w:rPr>
                <w:rFonts w:ascii="Times New Roman"/>
                <w:sz w:val="18"/>
              </w:rPr>
              <w:t>2013-09-16</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hAnsi="宋体" w:cs="宋体" w:eastAsia="宋体" w:hint="default"/>
                <w:sz w:val="18"/>
                <w:szCs w:val="18"/>
              </w:rPr>
              <w:t>徐斯平</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上海大渡新物流有限公司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执行董事、总经理</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Times New Roman" w:hAnsi="Times New Roman" w:cs="Times New Roman" w:eastAsia="Times New Roman" w:hint="default"/>
                <w:sz w:val="18"/>
                <w:szCs w:val="18"/>
              </w:rPr>
            </w:pPr>
            <w:r>
              <w:rPr>
                <w:rFonts w:ascii="Times New Roman"/>
                <w:sz w:val="18"/>
              </w:rPr>
              <w:t>2011-06-20</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hAnsi="宋体" w:cs="宋体" w:eastAsia="宋体" w:hint="default"/>
                <w:sz w:val="18"/>
                <w:szCs w:val="18"/>
              </w:rPr>
              <w:t>徐斯平</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北京顺通典当有限责任公司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Times New Roman" w:hAnsi="Times New Roman" w:cs="Times New Roman" w:eastAsia="Times New Roman" w:hint="default"/>
                <w:sz w:val="18"/>
                <w:szCs w:val="18"/>
              </w:rPr>
            </w:pPr>
            <w:r>
              <w:rPr>
                <w:rFonts w:ascii="Times New Roman"/>
                <w:sz w:val="18"/>
              </w:rPr>
              <w:t>2003-06-12</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hAnsi="宋体" w:cs="宋体" w:eastAsia="宋体" w:hint="default"/>
                <w:sz w:val="18"/>
                <w:szCs w:val="18"/>
              </w:rPr>
              <w:t>徐斯平</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北京赢在龙头信息技术有限公司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Times New Roman" w:hAnsi="Times New Roman" w:cs="Times New Roman" w:eastAsia="Times New Roman" w:hint="default"/>
                <w:sz w:val="18"/>
                <w:szCs w:val="18"/>
              </w:rPr>
            </w:pPr>
            <w:r>
              <w:rPr>
                <w:rFonts w:ascii="Times New Roman"/>
                <w:sz w:val="18"/>
              </w:rPr>
              <w:t>2016-06-12</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hAnsi="宋体" w:cs="宋体" w:eastAsia="宋体" w:hint="default"/>
                <w:sz w:val="18"/>
                <w:szCs w:val="18"/>
              </w:rPr>
              <w:t>徐斯平</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上海新思原运输有限公司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执行董事、总经理</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
              <w:jc w:val="center"/>
              <w:rPr>
                <w:rFonts w:ascii="Times New Roman" w:hAnsi="Times New Roman" w:cs="Times New Roman" w:eastAsia="Times New Roman" w:hint="default"/>
                <w:sz w:val="18"/>
                <w:szCs w:val="18"/>
              </w:rPr>
            </w:pPr>
            <w:r>
              <w:rPr>
                <w:rFonts w:ascii="Times New Roman"/>
                <w:sz w:val="18"/>
              </w:rPr>
              <w:t>2015-02-05</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杨凯程</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中科鼎富（北京）科技发展有限公司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执行董事、总经理</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Times New Roman" w:hAnsi="Times New Roman" w:cs="Times New Roman" w:eastAsia="Times New Roman" w:hint="default"/>
                <w:sz w:val="18"/>
                <w:szCs w:val="18"/>
              </w:rPr>
            </w:pPr>
            <w:r>
              <w:rPr>
                <w:rFonts w:ascii="Times New Roman"/>
                <w:sz w:val="18"/>
              </w:rPr>
              <w:t>2015-10-28</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杨凯程</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广州市奔耀信息科技有限公司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执行董事、总经理</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Times New Roman" w:hAnsi="Times New Roman" w:cs="Times New Roman" w:eastAsia="Times New Roman" w:hint="default"/>
                <w:sz w:val="18"/>
                <w:szCs w:val="18"/>
              </w:rPr>
            </w:pPr>
            <w:r>
              <w:rPr>
                <w:rFonts w:ascii="Times New Roman"/>
                <w:sz w:val="18"/>
              </w:rPr>
              <w:t>2015-11-18</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杨凯程</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大理白族自治州苍洱公益关爱中心</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理事长</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Times New Roman" w:hAnsi="Times New Roman" w:cs="Times New Roman" w:eastAsia="Times New Roman" w:hint="default"/>
                <w:sz w:val="18"/>
                <w:szCs w:val="18"/>
              </w:rPr>
            </w:pPr>
            <w:r>
              <w:rPr>
                <w:rFonts w:ascii="Times New Roman"/>
                <w:sz w:val="18"/>
              </w:rPr>
              <w:t>2015-12-13</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罗建北</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双清诚德科技（北京）有限公司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Times New Roman" w:hAnsi="Times New Roman" w:cs="Times New Roman" w:eastAsia="Times New Roman" w:hint="default"/>
                <w:sz w:val="18"/>
                <w:szCs w:val="18"/>
              </w:rPr>
            </w:pPr>
            <w:r>
              <w:rPr>
                <w:rFonts w:ascii="Times New Roman"/>
                <w:sz w:val="18"/>
              </w:rPr>
              <w:t>2013-12-12</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罗建北</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苏州清桥电子科技有限公司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Times New Roman" w:hAnsi="Times New Roman" w:cs="Times New Roman" w:eastAsia="Times New Roman" w:hint="default"/>
                <w:sz w:val="18"/>
                <w:szCs w:val="18"/>
              </w:rPr>
            </w:pPr>
            <w:r>
              <w:rPr>
                <w:rFonts w:ascii="Times New Roman"/>
                <w:sz w:val="18"/>
              </w:rPr>
              <w:t>2012-05-24</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刘铁民</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7"/>
              <w:ind w:left="1380" w:right="29" w:hanging="1350"/>
              <w:jc w:val="left"/>
              <w:rPr>
                <w:rFonts w:ascii="宋体" w:hAnsi="宋体" w:cs="宋体" w:eastAsia="宋体" w:hint="default"/>
                <w:sz w:val="18"/>
                <w:szCs w:val="18"/>
              </w:rPr>
            </w:pPr>
            <w:r>
              <w:rPr>
                <w:rFonts w:ascii="宋体" w:hAnsi="宋体" w:cs="宋体" w:eastAsia="宋体" w:hint="default"/>
                <w:sz w:val="18"/>
                <w:szCs w:val="18"/>
              </w:rPr>
              <w:t>中国船舶重工集团应急预警与救援装备股份 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2014-10-26</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404"/>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王雪春</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北京立思辰科技股份有限公司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Times New Roman" w:hAnsi="Times New Roman" w:cs="Times New Roman" w:eastAsia="Times New Roman" w:hint="default"/>
                <w:sz w:val="18"/>
                <w:szCs w:val="18"/>
              </w:rPr>
            </w:pPr>
            <w:r>
              <w:rPr>
                <w:rFonts w:ascii="Times New Roman"/>
                <w:sz w:val="18"/>
              </w:rPr>
              <w:t>2016-02-25</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04"/>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王雪春</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北京北陆药业股份有限公司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Times New Roman" w:hAnsi="Times New Roman" w:cs="Times New Roman" w:eastAsia="Times New Roman" w:hint="default"/>
                <w:sz w:val="18"/>
                <w:szCs w:val="18"/>
              </w:rPr>
            </w:pPr>
            <w:r>
              <w:rPr>
                <w:rFonts w:ascii="Times New Roman"/>
                <w:sz w:val="18"/>
              </w:rPr>
              <w:t>2016-11-30</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04"/>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王雪春</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北京邮电大学世纪学院</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总会计师</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Times New Roman" w:hAnsi="Times New Roman" w:cs="Times New Roman" w:eastAsia="Times New Roman" w:hint="default"/>
                <w:sz w:val="18"/>
                <w:szCs w:val="18"/>
              </w:rPr>
            </w:pPr>
            <w:r>
              <w:rPr>
                <w:rFonts w:ascii="Times New Roman"/>
                <w:sz w:val="18"/>
              </w:rPr>
              <w:t>2018-11-9</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04"/>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沈阳</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清华大学新闻学院</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教授</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Times New Roman" w:hAnsi="Times New Roman" w:cs="Times New Roman" w:eastAsia="Times New Roman" w:hint="default"/>
                <w:sz w:val="18"/>
                <w:szCs w:val="18"/>
              </w:rPr>
            </w:pPr>
            <w:r>
              <w:rPr>
                <w:rFonts w:ascii="Times New Roman"/>
                <w:sz w:val="18"/>
              </w:rPr>
              <w:t>2014-06-01</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04"/>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李广刚</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西藏神州泰岳智能科技有限公司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执行董事、总经理</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Times New Roman" w:hAnsi="Times New Roman" w:cs="Times New Roman" w:eastAsia="Times New Roman" w:hint="default"/>
                <w:sz w:val="18"/>
                <w:szCs w:val="18"/>
              </w:rPr>
            </w:pPr>
            <w:r>
              <w:rPr>
                <w:rFonts w:ascii="Times New Roman"/>
                <w:sz w:val="18"/>
              </w:rPr>
              <w:t>2018-11-21</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徐元区</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北京新媒传信科技有限公司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总经理</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Times New Roman" w:hAnsi="Times New Roman" w:cs="Times New Roman" w:eastAsia="Times New Roman" w:hint="default"/>
                <w:sz w:val="18"/>
                <w:szCs w:val="18"/>
              </w:rPr>
            </w:pPr>
            <w:r>
              <w:rPr>
                <w:rFonts w:ascii="Times New Roman"/>
                <w:sz w:val="18"/>
              </w:rPr>
              <w:t>2015-04-16</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49"/>
              <w:jc w:val="right"/>
              <w:rPr>
                <w:rFonts w:ascii="Times New Roman" w:hAnsi="Times New Roman" w:cs="Times New Roman" w:eastAsia="Times New Roman" w:hint="default"/>
                <w:sz w:val="18"/>
                <w:szCs w:val="18"/>
              </w:rPr>
            </w:pPr>
            <w:r>
              <w:rPr>
                <w:rFonts w:ascii="Times New Roman"/>
                <w:sz w:val="18"/>
              </w:rPr>
              <w:t>2019-01-28</w:t>
            </w: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04"/>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徐元区</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北京国信安石科技有限责任公司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Times New Roman" w:hAnsi="Times New Roman" w:cs="Times New Roman" w:eastAsia="Times New Roman" w:hint="default"/>
                <w:sz w:val="18"/>
                <w:szCs w:val="18"/>
              </w:rPr>
            </w:pPr>
            <w:r>
              <w:rPr>
                <w:rFonts w:ascii="Times New Roman"/>
                <w:sz w:val="18"/>
              </w:rPr>
              <w:t>2016-05-26</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徐元区</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北京融聚世界网络科技有限公司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Times New Roman" w:hAnsi="Times New Roman" w:cs="Times New Roman" w:eastAsia="Times New Roman" w:hint="default"/>
                <w:sz w:val="18"/>
                <w:szCs w:val="18"/>
              </w:rPr>
            </w:pPr>
            <w:r>
              <w:rPr>
                <w:rFonts w:ascii="Times New Roman"/>
                <w:sz w:val="18"/>
              </w:rPr>
              <w:t>2017-05-03</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高峰</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北京神州泰岳信息安全技术有限公司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总经理</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Times New Roman" w:hAnsi="Times New Roman" w:cs="Times New Roman" w:eastAsia="Times New Roman" w:hint="default"/>
                <w:sz w:val="18"/>
                <w:szCs w:val="18"/>
              </w:rPr>
            </w:pPr>
            <w:r>
              <w:rPr>
                <w:rFonts w:ascii="Times New Roman"/>
                <w:sz w:val="18"/>
              </w:rPr>
              <w:t>2014-04-14</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高峰</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hyperlink r:id="rId89">
              <w:r>
                <w:rPr>
                  <w:rFonts w:ascii="宋体" w:hAnsi="宋体" w:cs="宋体" w:eastAsia="宋体" w:hint="default"/>
                  <w:sz w:val="18"/>
                  <w:szCs w:val="18"/>
                </w:rPr>
                <w:t>新疆神州泰岳智能科技有限公司</w:t>
              </w:r>
            </w:hyperlink>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Times New Roman" w:hAnsi="Times New Roman" w:cs="Times New Roman" w:eastAsia="Times New Roman" w:hint="default"/>
                <w:sz w:val="18"/>
                <w:szCs w:val="18"/>
              </w:rPr>
            </w:pPr>
            <w:r>
              <w:rPr>
                <w:rFonts w:ascii="Times New Roman"/>
                <w:sz w:val="18"/>
              </w:rPr>
              <w:t>2018-01-19</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高峰</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北京泰岳宏光科技发展有限公司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执行董事、总经理</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Times New Roman" w:hAnsi="Times New Roman" w:cs="Times New Roman" w:eastAsia="Times New Roman" w:hint="default"/>
                <w:sz w:val="18"/>
                <w:szCs w:val="18"/>
              </w:rPr>
            </w:pPr>
            <w:r>
              <w:rPr>
                <w:rFonts w:ascii="Times New Roman"/>
                <w:sz w:val="18"/>
              </w:rPr>
              <w:t>2018-12-4</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董越</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北京泰岳睿安科技有限公司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6"/>
              <w:jc w:val="center"/>
              <w:rPr>
                <w:rFonts w:ascii="Times New Roman" w:hAnsi="Times New Roman" w:cs="Times New Roman" w:eastAsia="Times New Roman" w:hint="default"/>
                <w:sz w:val="18"/>
                <w:szCs w:val="18"/>
              </w:rPr>
            </w:pPr>
            <w:r>
              <w:rPr>
                <w:rFonts w:ascii="Times New Roman"/>
                <w:sz w:val="18"/>
              </w:rPr>
              <w:t>2018-04-11</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18"/>
                <w:szCs w:val="18"/>
              </w:rPr>
            </w:pPr>
            <w:r>
              <w:rPr>
                <w:rFonts w:ascii="宋体" w:hAnsi="宋体" w:cs="宋体" w:eastAsia="宋体" w:hint="default"/>
                <w:sz w:val="18"/>
                <w:szCs w:val="18"/>
              </w:rPr>
              <w:t>梁德兴</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安徽省泰岳祥升软件有限公司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执行董事、总经理</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Times New Roman" w:hAnsi="Times New Roman" w:cs="Times New Roman" w:eastAsia="Times New Roman" w:hint="default"/>
                <w:sz w:val="18"/>
                <w:szCs w:val="18"/>
              </w:rPr>
            </w:pPr>
            <w:r>
              <w:rPr>
                <w:rFonts w:ascii="Times New Roman"/>
                <w:sz w:val="18"/>
              </w:rPr>
              <w:t>2018-01-15</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张黔山</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深圳市前海泰岳梧桐投资基金管理有限公司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Times New Roman" w:hAnsi="Times New Roman" w:cs="Times New Roman" w:eastAsia="Times New Roman" w:hint="default"/>
                <w:sz w:val="18"/>
                <w:szCs w:val="18"/>
              </w:rPr>
            </w:pPr>
            <w:r>
              <w:rPr>
                <w:rFonts w:ascii="Times New Roman"/>
                <w:sz w:val="18"/>
              </w:rPr>
              <w:t>2015-04-10</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张黔山</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北京神州良品电子商务科技股份有限公司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Times New Roman" w:hAnsi="Times New Roman" w:cs="Times New Roman" w:eastAsia="Times New Roman" w:hint="default"/>
                <w:sz w:val="18"/>
                <w:szCs w:val="18"/>
              </w:rPr>
            </w:pPr>
            <w:r>
              <w:rPr>
                <w:rFonts w:ascii="Times New Roman"/>
                <w:sz w:val="18"/>
              </w:rPr>
              <w:t>2015-11-30</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404"/>
              <w:jc w:val="righ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right"/>
        <w:rPr>
          <w:rFonts w:ascii="宋体" w:hAnsi="宋体" w:cs="宋体" w:eastAsia="宋体" w:hint="default"/>
          <w:sz w:val="18"/>
          <w:szCs w:val="18"/>
        </w:rPr>
        <w:sectPr>
          <w:pgSz w:w="11910" w:h="16840"/>
          <w:pgMar w:header="851" w:footer="979" w:top="1440" w:bottom="1160" w:left="1000" w:right="0"/>
        </w:sectPr>
      </w:pPr>
    </w:p>
    <w:p>
      <w:pPr>
        <w:spacing w:line="240" w:lineRule="auto" w:before="3"/>
        <w:rPr>
          <w:rFonts w:ascii="宋体" w:hAnsi="宋体" w:cs="宋体" w:eastAsia="宋体" w:hint="default"/>
          <w:sz w:val="3"/>
          <w:szCs w:val="3"/>
        </w:rPr>
      </w:pPr>
    </w:p>
    <w:tbl>
      <w:tblPr>
        <w:tblW w:w="0" w:type="auto"/>
        <w:jc w:val="left"/>
        <w:tblInd w:w="201" w:type="dxa"/>
        <w:tblLayout w:type="fixed"/>
        <w:tblCellMar>
          <w:top w:w="0" w:type="dxa"/>
          <w:left w:w="0" w:type="dxa"/>
          <w:bottom w:w="0" w:type="dxa"/>
          <w:right w:w="0" w:type="dxa"/>
        </w:tblCellMar>
        <w:tblLook w:val="01E0"/>
      </w:tblPr>
      <w:tblGrid>
        <w:gridCol w:w="1215"/>
        <w:gridCol w:w="3491"/>
        <w:gridCol w:w="1559"/>
        <w:gridCol w:w="1278"/>
        <w:gridCol w:w="1150"/>
        <w:gridCol w:w="1002"/>
      </w:tblGrid>
      <w:tr>
        <w:trPr>
          <w:trHeight w:val="414" w:hRule="exact"/>
        </w:trPr>
        <w:tc>
          <w:tcPr>
            <w:tcW w:w="1215"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18"/>
                <w:szCs w:val="18"/>
              </w:rPr>
            </w:pPr>
            <w:r>
              <w:rPr>
                <w:rFonts w:ascii="宋体" w:hAnsi="宋体" w:cs="宋体" w:eastAsia="宋体" w:hint="default"/>
                <w:sz w:val="18"/>
                <w:szCs w:val="18"/>
              </w:rPr>
              <w:t>张黔山</w:t>
            </w:r>
          </w:p>
        </w:tc>
        <w:tc>
          <w:tcPr>
            <w:tcW w:w="349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right="1"/>
              <w:jc w:val="center"/>
              <w:rPr>
                <w:rFonts w:ascii="宋体" w:hAnsi="宋体" w:cs="宋体" w:eastAsia="宋体" w:hint="default"/>
                <w:sz w:val="18"/>
                <w:szCs w:val="18"/>
              </w:rPr>
            </w:pPr>
            <w:r>
              <w:rPr>
                <w:rFonts w:ascii="宋体" w:hAnsi="宋体" w:cs="宋体" w:eastAsia="宋体" w:hint="default"/>
                <w:sz w:val="18"/>
                <w:szCs w:val="18"/>
              </w:rPr>
              <w:t>宁波泰岳梧桐投资管理有限公司</w:t>
            </w:r>
          </w:p>
        </w:tc>
        <w:tc>
          <w:tcPr>
            <w:tcW w:w="155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27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Times New Roman" w:hAnsi="Times New Roman" w:cs="Times New Roman" w:eastAsia="Times New Roman" w:hint="default"/>
                <w:sz w:val="18"/>
                <w:szCs w:val="18"/>
              </w:rPr>
            </w:pPr>
            <w:r>
              <w:rPr>
                <w:rFonts w:ascii="Times New Roman"/>
                <w:sz w:val="18"/>
              </w:rPr>
              <w:t>2016-09-19</w:t>
            </w:r>
          </w:p>
        </w:tc>
        <w:tc>
          <w:tcPr>
            <w:tcW w:w="1150" w:type="dxa"/>
            <w:tcBorders>
              <w:top w:val="single" w:sz="10" w:space="0" w:color="000000"/>
              <w:left w:val="single" w:sz="4" w:space="0" w:color="000000"/>
              <w:bottom w:val="single" w:sz="4" w:space="0" w:color="000000"/>
              <w:right w:val="single" w:sz="4" w:space="0" w:color="000000"/>
            </w:tcBorders>
          </w:tcPr>
          <w:p>
            <w:pPr/>
          </w:p>
        </w:tc>
        <w:tc>
          <w:tcPr>
            <w:tcW w:w="100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right="404"/>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林红</w:t>
            </w:r>
          </w:p>
        </w:tc>
        <w:tc>
          <w:tcPr>
            <w:tcW w:w="34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富思特新材料科技发展股份有限公司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2016-02-29</w:t>
            </w:r>
          </w:p>
        </w:tc>
        <w:tc>
          <w:tcPr>
            <w:tcW w:w="1150" w:type="dxa"/>
            <w:tcBorders>
              <w:top w:val="single" w:sz="4" w:space="0" w:color="000000"/>
              <w:left w:val="single" w:sz="4" w:space="0" w:color="000000"/>
              <w:bottom w:val="single" w:sz="4" w:space="0" w:color="000000"/>
              <w:right w:val="single" w:sz="4" w:space="0" w:color="000000"/>
            </w:tcBorders>
          </w:tcPr>
          <w:p>
            <w:pP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04"/>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716" w:hRule="exact"/>
        </w:trPr>
        <w:tc>
          <w:tcPr>
            <w:tcW w:w="12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22" w:right="100"/>
              <w:jc w:val="left"/>
              <w:rPr>
                <w:rFonts w:ascii="宋体" w:hAnsi="宋体" w:cs="宋体" w:eastAsia="宋体" w:hint="default"/>
                <w:sz w:val="18"/>
                <w:szCs w:val="18"/>
              </w:rPr>
            </w:pPr>
            <w:r>
              <w:rPr>
                <w:rFonts w:ascii="宋体" w:hAnsi="宋体" w:cs="宋体" w:eastAsia="宋体" w:hint="default"/>
                <w:sz w:val="18"/>
                <w:szCs w:val="18"/>
              </w:rPr>
              <w:t>在其他单位任 职情况的说明</w:t>
            </w:r>
          </w:p>
        </w:tc>
        <w:tc>
          <w:tcPr>
            <w:tcW w:w="848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r>
    </w:tbl>
    <w:p>
      <w:pPr>
        <w:pStyle w:val="Heading5"/>
        <w:spacing w:line="240" w:lineRule="auto" w:before="88"/>
        <w:ind w:left="234" w:right="0"/>
        <w:jc w:val="left"/>
        <w:rPr>
          <w:b w:val="0"/>
          <w:bCs w:val="0"/>
        </w:rPr>
      </w:pPr>
      <w:r>
        <w:rPr/>
        <w:t>公司现任及报告期内离任董事、监事和高级管理人员近三年证券监管机构处罚的情况</w:t>
      </w:r>
      <w:r>
        <w:rPr>
          <w:b w:val="0"/>
          <w:bCs w:val="0"/>
        </w:rPr>
      </w:r>
    </w:p>
    <w:p>
      <w:pPr>
        <w:spacing w:line="240" w:lineRule="auto" w:before="12"/>
        <w:rPr>
          <w:rFonts w:ascii="宋体" w:hAnsi="宋体" w:cs="宋体" w:eastAsia="宋体" w:hint="default"/>
          <w:b/>
          <w:bCs/>
          <w:sz w:val="20"/>
          <w:szCs w:val="20"/>
        </w:rPr>
      </w:pPr>
    </w:p>
    <w:p>
      <w:pPr>
        <w:spacing w:before="0"/>
        <w:ind w:left="2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pStyle w:val="Heading2"/>
        <w:spacing w:line="240" w:lineRule="auto" w:before="155"/>
        <w:ind w:left="234" w:right="0"/>
        <w:jc w:val="left"/>
        <w:rPr>
          <w:b w:val="0"/>
          <w:bCs w:val="0"/>
        </w:rPr>
      </w:pPr>
      <w:bookmarkStart w:name="四、董事、监事、高级管理人员报酬情况" w:id="134"/>
      <w:bookmarkEnd w:id="134"/>
      <w:r>
        <w:rPr>
          <w:b w:val="0"/>
          <w:bCs w:val="0"/>
        </w:rPr>
      </w:r>
      <w:r>
        <w:rPr/>
        <w:t>四、董事、监事、高级管理人员报酬情况</w:t>
      </w:r>
      <w:r>
        <w:rPr>
          <w:b w:val="0"/>
          <w:bCs w:val="0"/>
        </w:rPr>
      </w:r>
    </w:p>
    <w:p>
      <w:pPr>
        <w:spacing w:line="240" w:lineRule="auto" w:before="7"/>
        <w:rPr>
          <w:rFonts w:ascii="宋体" w:hAnsi="宋体" w:cs="宋体" w:eastAsia="宋体" w:hint="default"/>
          <w:b/>
          <w:bCs/>
          <w:sz w:val="32"/>
          <w:szCs w:val="32"/>
        </w:rPr>
      </w:pPr>
    </w:p>
    <w:p>
      <w:pPr>
        <w:pStyle w:val="Heading5"/>
        <w:spacing w:line="240" w:lineRule="auto"/>
        <w:ind w:left="234" w:right="0"/>
        <w:jc w:val="left"/>
        <w:rPr>
          <w:b w:val="0"/>
          <w:bCs w:val="0"/>
        </w:rPr>
      </w:pPr>
      <w:r>
        <w:rPr/>
        <w:t>董事、监事、高级管理人员报酬的决策程序、确定依据、实际支付情况</w:t>
      </w:r>
      <w:r>
        <w:rPr>
          <w:b w:val="0"/>
          <w:bCs w:val="0"/>
        </w:rPr>
      </w:r>
    </w:p>
    <w:p>
      <w:pPr>
        <w:spacing w:line="240" w:lineRule="auto" w:before="10"/>
        <w:rPr>
          <w:rFonts w:ascii="宋体" w:hAnsi="宋体" w:cs="宋体" w:eastAsia="宋体" w:hint="default"/>
          <w:b/>
          <w:bCs/>
          <w:sz w:val="17"/>
          <w:szCs w:val="17"/>
        </w:rPr>
      </w:pPr>
    </w:p>
    <w:p>
      <w:pPr>
        <w:pStyle w:val="BodyText"/>
        <w:spacing w:line="463" w:lineRule="auto"/>
        <w:ind w:left="234" w:right="1130" w:firstLine="360"/>
        <w:jc w:val="both"/>
      </w:pPr>
      <w:r>
        <w:rPr>
          <w:rFonts w:ascii="Times New Roman" w:hAnsi="Times New Roman" w:cs="Times New Roman" w:eastAsia="Times New Roman" w:hint="default"/>
        </w:rPr>
        <w:t>1</w:t>
      </w:r>
      <w:r>
        <w:rPr/>
        <w:t>、董事、监事、高级管理人员报酬的决策程序：公司董事、监事报酬由股东大会决定，高级管理人员报酬由董事会决 </w:t>
      </w:r>
      <w:r>
        <w:rPr>
          <w:spacing w:val="-2"/>
        </w:rPr>
        <w:t>定；在公司担任工作职务的董事、监事、高级管理人员报酬由公司支付，非独立董事、监事不另外支付津贴。独立董事津贴</w:t>
      </w:r>
      <w:r>
        <w:rPr>
          <w:spacing w:val="-67"/>
        </w:rPr>
        <w:t> </w:t>
      </w:r>
      <w:r>
        <w:rPr>
          <w:spacing w:val="-67"/>
        </w:rPr>
      </w:r>
      <w:r>
        <w:rPr/>
        <w:t>根据股东大会所通过的决议来进行支付。</w:t>
      </w:r>
    </w:p>
    <w:p>
      <w:pPr>
        <w:pStyle w:val="BodyText"/>
        <w:spacing w:line="451" w:lineRule="auto" w:before="65"/>
        <w:ind w:left="234" w:right="1131" w:firstLine="360"/>
        <w:jc w:val="both"/>
      </w:pPr>
      <w:r>
        <w:rPr>
          <w:rFonts w:ascii="Times New Roman" w:hAnsi="Times New Roman" w:cs="Times New Roman" w:eastAsia="Times New Roman" w:hint="default"/>
        </w:rPr>
        <w:t>2</w:t>
      </w:r>
      <w:r>
        <w:rPr/>
        <w:t>、董事、监事、高级管理人员报酬的确定依据：依据公司盈利水平及各董事、监事、高级管理人员的分工及履职情况 确定。</w:t>
      </w:r>
    </w:p>
    <w:p>
      <w:pPr>
        <w:pStyle w:val="BodyText"/>
        <w:spacing w:line="451" w:lineRule="auto" w:before="74"/>
        <w:ind w:left="234" w:right="1131" w:firstLine="360"/>
        <w:jc w:val="both"/>
      </w:pPr>
      <w:r>
        <w:rPr>
          <w:rFonts w:ascii="Times New Roman" w:hAnsi="Times New Roman" w:cs="Times New Roman" w:eastAsia="Times New Roman" w:hint="default"/>
        </w:rPr>
        <w:t>3</w:t>
      </w:r>
      <w:r>
        <w:rPr/>
        <w:t>、董事、监事、高级管理人员报酬的实际支付情况：公司严格按照董事、监事、高级管理人员薪酬的决策程序与确定 依据支付薪酬。</w:t>
      </w:r>
    </w:p>
    <w:p>
      <w:pPr>
        <w:pStyle w:val="Heading5"/>
        <w:spacing w:line="240" w:lineRule="auto" w:before="37"/>
        <w:ind w:left="234" w:right="0"/>
        <w:jc w:val="left"/>
        <w:rPr>
          <w:b w:val="0"/>
          <w:bCs w:val="0"/>
        </w:rPr>
      </w:pPr>
      <w:r>
        <w:rPr/>
        <w:t>公司报告期内董事、监事和高级管理人员报酬情况</w:t>
      </w:r>
      <w:r>
        <w:rPr>
          <w:b w:val="0"/>
          <w:bCs w:val="0"/>
        </w:rPr>
      </w:r>
    </w:p>
    <w:p>
      <w:pPr>
        <w:pStyle w:val="BodyText"/>
        <w:spacing w:line="240" w:lineRule="auto" w:before="117"/>
        <w:ind w:left="0" w:right="1130"/>
        <w:jc w:val="right"/>
      </w:pPr>
      <w:r>
        <w:rPr/>
        <w:t>单位：万元</w:t>
      </w:r>
    </w:p>
    <w:p>
      <w:pPr>
        <w:spacing w:line="240" w:lineRule="auto" w:before="0"/>
        <w:rPr>
          <w:rFonts w:ascii="宋体" w:hAnsi="宋体" w:cs="宋体" w:eastAsia="宋体" w:hint="default"/>
          <w:sz w:val="8"/>
          <w:szCs w:val="8"/>
        </w:rPr>
      </w:pPr>
    </w:p>
    <w:tbl>
      <w:tblPr>
        <w:tblW w:w="0" w:type="auto"/>
        <w:jc w:val="left"/>
        <w:tblInd w:w="116" w:type="dxa"/>
        <w:tblLayout w:type="fixed"/>
        <w:tblCellMar>
          <w:top w:w="0" w:type="dxa"/>
          <w:left w:w="0" w:type="dxa"/>
          <w:bottom w:w="0" w:type="dxa"/>
          <w:right w:w="0" w:type="dxa"/>
        </w:tblCellMar>
        <w:tblLook w:val="01E0"/>
      </w:tblPr>
      <w:tblGrid>
        <w:gridCol w:w="790"/>
        <w:gridCol w:w="1919"/>
        <w:gridCol w:w="601"/>
        <w:gridCol w:w="600"/>
        <w:gridCol w:w="978"/>
        <w:gridCol w:w="2484"/>
        <w:gridCol w:w="2483"/>
      </w:tblGrid>
      <w:tr>
        <w:trPr>
          <w:trHeight w:val="710" w:hRule="exact"/>
        </w:trPr>
        <w:tc>
          <w:tcPr>
            <w:tcW w:w="790"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919"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60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性别</w:t>
            </w:r>
          </w:p>
        </w:tc>
        <w:tc>
          <w:tcPr>
            <w:tcW w:w="600"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978"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任职状态</w:t>
            </w:r>
          </w:p>
        </w:tc>
        <w:tc>
          <w:tcPr>
            <w:tcW w:w="2484"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从公司获得的税前报酬总额</w:t>
            </w:r>
          </w:p>
        </w:tc>
        <w:tc>
          <w:tcPr>
            <w:tcW w:w="2483"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是否在公司关联方获取报酬</w:t>
            </w:r>
          </w:p>
        </w:tc>
      </w:tr>
      <w:tr>
        <w:trPr>
          <w:trHeight w:val="331" w:hRule="exact"/>
        </w:trPr>
        <w:tc>
          <w:tcPr>
            <w:tcW w:w="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191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6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57</w:t>
            </w:r>
          </w:p>
        </w:tc>
        <w:tc>
          <w:tcPr>
            <w:tcW w:w="9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14.89</w:t>
            </w:r>
          </w:p>
        </w:tc>
        <w:tc>
          <w:tcPr>
            <w:tcW w:w="24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32" w:hRule="exact"/>
        </w:trPr>
        <w:tc>
          <w:tcPr>
            <w:tcW w:w="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191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副董事长</w:t>
            </w:r>
          </w:p>
        </w:tc>
        <w:tc>
          <w:tcPr>
            <w:tcW w:w="6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48</w:t>
            </w:r>
          </w:p>
        </w:tc>
        <w:tc>
          <w:tcPr>
            <w:tcW w:w="9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14.89</w:t>
            </w:r>
          </w:p>
        </w:tc>
        <w:tc>
          <w:tcPr>
            <w:tcW w:w="24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32" w:hRule="exact"/>
        </w:trPr>
        <w:tc>
          <w:tcPr>
            <w:tcW w:w="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黄松浪</w:t>
            </w:r>
          </w:p>
        </w:tc>
        <w:tc>
          <w:tcPr>
            <w:tcW w:w="191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副董事长</w:t>
            </w:r>
          </w:p>
        </w:tc>
        <w:tc>
          <w:tcPr>
            <w:tcW w:w="6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50</w:t>
            </w:r>
          </w:p>
        </w:tc>
        <w:tc>
          <w:tcPr>
            <w:tcW w:w="9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13.99</w:t>
            </w:r>
          </w:p>
        </w:tc>
        <w:tc>
          <w:tcPr>
            <w:tcW w:w="24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31" w:hRule="exact"/>
        </w:trPr>
        <w:tc>
          <w:tcPr>
            <w:tcW w:w="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冒大卫</w:t>
            </w:r>
          </w:p>
        </w:tc>
        <w:tc>
          <w:tcPr>
            <w:tcW w:w="191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董事、总裁</w:t>
            </w:r>
          </w:p>
        </w:tc>
        <w:tc>
          <w:tcPr>
            <w:tcW w:w="6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38</w:t>
            </w:r>
          </w:p>
        </w:tc>
        <w:tc>
          <w:tcPr>
            <w:tcW w:w="9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82.64</w:t>
            </w:r>
          </w:p>
        </w:tc>
        <w:tc>
          <w:tcPr>
            <w:tcW w:w="24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32" w:hRule="exact"/>
        </w:trPr>
        <w:tc>
          <w:tcPr>
            <w:tcW w:w="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翟一兵</w:t>
            </w:r>
          </w:p>
        </w:tc>
        <w:tc>
          <w:tcPr>
            <w:tcW w:w="191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董事、首席运营官</w:t>
            </w:r>
          </w:p>
        </w:tc>
        <w:tc>
          <w:tcPr>
            <w:tcW w:w="6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55</w:t>
            </w:r>
          </w:p>
        </w:tc>
        <w:tc>
          <w:tcPr>
            <w:tcW w:w="9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63.86</w:t>
            </w:r>
          </w:p>
        </w:tc>
        <w:tc>
          <w:tcPr>
            <w:tcW w:w="24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32" w:hRule="exact"/>
        </w:trPr>
        <w:tc>
          <w:tcPr>
            <w:tcW w:w="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徐斯平</w:t>
            </w:r>
          </w:p>
        </w:tc>
        <w:tc>
          <w:tcPr>
            <w:tcW w:w="191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6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61</w:t>
            </w:r>
          </w:p>
        </w:tc>
        <w:tc>
          <w:tcPr>
            <w:tcW w:w="9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0</w:t>
            </w:r>
          </w:p>
        </w:tc>
        <w:tc>
          <w:tcPr>
            <w:tcW w:w="24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31" w:hRule="exact"/>
        </w:trPr>
        <w:tc>
          <w:tcPr>
            <w:tcW w:w="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杨凯程</w:t>
            </w:r>
          </w:p>
        </w:tc>
        <w:tc>
          <w:tcPr>
            <w:tcW w:w="191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董事、副总裁</w:t>
            </w:r>
          </w:p>
        </w:tc>
        <w:tc>
          <w:tcPr>
            <w:tcW w:w="6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51</w:t>
            </w:r>
          </w:p>
        </w:tc>
        <w:tc>
          <w:tcPr>
            <w:tcW w:w="9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27.10</w:t>
            </w:r>
          </w:p>
        </w:tc>
        <w:tc>
          <w:tcPr>
            <w:tcW w:w="24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32" w:hRule="exact"/>
        </w:trPr>
        <w:tc>
          <w:tcPr>
            <w:tcW w:w="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汪铖</w:t>
            </w:r>
          </w:p>
        </w:tc>
        <w:tc>
          <w:tcPr>
            <w:tcW w:w="191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6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45</w:t>
            </w:r>
          </w:p>
        </w:tc>
        <w:tc>
          <w:tcPr>
            <w:tcW w:w="9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10.17</w:t>
            </w:r>
          </w:p>
        </w:tc>
        <w:tc>
          <w:tcPr>
            <w:tcW w:w="24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32" w:hRule="exact"/>
        </w:trPr>
        <w:tc>
          <w:tcPr>
            <w:tcW w:w="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罗建北</w:t>
            </w:r>
          </w:p>
        </w:tc>
        <w:tc>
          <w:tcPr>
            <w:tcW w:w="191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6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6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73</w:t>
            </w:r>
          </w:p>
        </w:tc>
        <w:tc>
          <w:tcPr>
            <w:tcW w:w="9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12.00</w:t>
            </w:r>
          </w:p>
        </w:tc>
        <w:tc>
          <w:tcPr>
            <w:tcW w:w="24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31" w:hRule="exact"/>
        </w:trPr>
        <w:tc>
          <w:tcPr>
            <w:tcW w:w="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刘铁民</w:t>
            </w:r>
          </w:p>
        </w:tc>
        <w:tc>
          <w:tcPr>
            <w:tcW w:w="191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6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69</w:t>
            </w:r>
          </w:p>
        </w:tc>
        <w:tc>
          <w:tcPr>
            <w:tcW w:w="9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12.00</w:t>
            </w:r>
          </w:p>
        </w:tc>
        <w:tc>
          <w:tcPr>
            <w:tcW w:w="24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32" w:hRule="exact"/>
        </w:trPr>
        <w:tc>
          <w:tcPr>
            <w:tcW w:w="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王雪春</w:t>
            </w:r>
          </w:p>
        </w:tc>
        <w:tc>
          <w:tcPr>
            <w:tcW w:w="191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6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53</w:t>
            </w:r>
          </w:p>
        </w:tc>
        <w:tc>
          <w:tcPr>
            <w:tcW w:w="9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12.00</w:t>
            </w:r>
          </w:p>
        </w:tc>
        <w:tc>
          <w:tcPr>
            <w:tcW w:w="24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33" w:hRule="exact"/>
        </w:trPr>
        <w:tc>
          <w:tcPr>
            <w:tcW w:w="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沈阳</w:t>
            </w:r>
          </w:p>
        </w:tc>
        <w:tc>
          <w:tcPr>
            <w:tcW w:w="191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6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44</w:t>
            </w:r>
          </w:p>
        </w:tc>
        <w:tc>
          <w:tcPr>
            <w:tcW w:w="9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12.00</w:t>
            </w:r>
          </w:p>
        </w:tc>
        <w:tc>
          <w:tcPr>
            <w:tcW w:w="24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31" w:hRule="exact"/>
        </w:trPr>
        <w:tc>
          <w:tcPr>
            <w:tcW w:w="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李广刚</w:t>
            </w:r>
          </w:p>
        </w:tc>
        <w:tc>
          <w:tcPr>
            <w:tcW w:w="191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6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40</w:t>
            </w:r>
          </w:p>
        </w:tc>
        <w:tc>
          <w:tcPr>
            <w:tcW w:w="9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32.46</w:t>
            </w:r>
          </w:p>
        </w:tc>
        <w:tc>
          <w:tcPr>
            <w:tcW w:w="24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32" w:hRule="exact"/>
        </w:trPr>
        <w:tc>
          <w:tcPr>
            <w:tcW w:w="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丁彦超</w:t>
            </w:r>
          </w:p>
        </w:tc>
        <w:tc>
          <w:tcPr>
            <w:tcW w:w="191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6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6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50</w:t>
            </w:r>
          </w:p>
        </w:tc>
        <w:tc>
          <w:tcPr>
            <w:tcW w:w="9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24.80</w:t>
            </w:r>
          </w:p>
        </w:tc>
        <w:tc>
          <w:tcPr>
            <w:tcW w:w="24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31" w:hRule="exact"/>
        </w:trPr>
        <w:tc>
          <w:tcPr>
            <w:tcW w:w="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郝岩</w:t>
            </w:r>
          </w:p>
        </w:tc>
        <w:tc>
          <w:tcPr>
            <w:tcW w:w="191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职工监事</w:t>
            </w:r>
          </w:p>
        </w:tc>
        <w:tc>
          <w:tcPr>
            <w:tcW w:w="6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6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38</w:t>
            </w:r>
          </w:p>
        </w:tc>
        <w:tc>
          <w:tcPr>
            <w:tcW w:w="9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18.36</w:t>
            </w:r>
          </w:p>
        </w:tc>
        <w:tc>
          <w:tcPr>
            <w:tcW w:w="24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center"/>
        <w:rPr>
          <w:rFonts w:ascii="宋体" w:hAnsi="宋体" w:cs="宋体" w:eastAsia="宋体" w:hint="default"/>
          <w:sz w:val="18"/>
          <w:szCs w:val="18"/>
        </w:rPr>
        <w:sectPr>
          <w:pgSz w:w="11910" w:h="16840"/>
          <w:pgMar w:header="851" w:footer="979" w:top="1400" w:bottom="1160" w:left="900" w:right="0"/>
        </w:sectPr>
      </w:pPr>
    </w:p>
    <w:p>
      <w:pPr>
        <w:spacing w:line="240" w:lineRule="auto" w:before="7"/>
        <w:rPr>
          <w:rFonts w:ascii="宋体" w:hAnsi="宋体" w:cs="宋体" w:eastAsia="宋体" w:hint="default"/>
          <w:sz w:val="3"/>
          <w:szCs w:val="3"/>
        </w:rPr>
      </w:pPr>
    </w:p>
    <w:tbl>
      <w:tblPr>
        <w:tblW w:w="0" w:type="auto"/>
        <w:jc w:val="left"/>
        <w:tblInd w:w="116" w:type="dxa"/>
        <w:tblLayout w:type="fixed"/>
        <w:tblCellMar>
          <w:top w:w="0" w:type="dxa"/>
          <w:left w:w="0" w:type="dxa"/>
          <w:bottom w:w="0" w:type="dxa"/>
          <w:right w:w="0" w:type="dxa"/>
        </w:tblCellMar>
        <w:tblLook w:val="01E0"/>
      </w:tblPr>
      <w:tblGrid>
        <w:gridCol w:w="790"/>
        <w:gridCol w:w="1919"/>
        <w:gridCol w:w="601"/>
        <w:gridCol w:w="600"/>
        <w:gridCol w:w="978"/>
        <w:gridCol w:w="2484"/>
        <w:gridCol w:w="2483"/>
      </w:tblGrid>
      <w:tr>
        <w:trPr>
          <w:trHeight w:val="329" w:hRule="exact"/>
        </w:trPr>
        <w:tc>
          <w:tcPr>
            <w:tcW w:w="790" w:type="dxa"/>
            <w:tcBorders>
              <w:top w:val="single" w:sz="6"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徐元区</w:t>
            </w:r>
          </w:p>
        </w:tc>
        <w:tc>
          <w:tcPr>
            <w:tcW w:w="1919" w:type="dxa"/>
            <w:tcBorders>
              <w:top w:val="single" w:sz="6"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601" w:type="dxa"/>
            <w:tcBorders>
              <w:top w:val="single" w:sz="6" w:space="0" w:color="000000"/>
              <w:left w:val="single" w:sz="8" w:space="0" w:color="000000"/>
              <w:bottom w:val="single" w:sz="8" w:space="0" w:color="000000"/>
              <w:right w:val="single" w:sz="8" w:space="0" w:color="000000"/>
            </w:tcBorders>
          </w:tcPr>
          <w:p>
            <w:pPr>
              <w:pStyle w:val="TableParagraph"/>
              <w:spacing w:line="240" w:lineRule="auto" w:before="10"/>
              <w:ind w:left="2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600" w:type="dxa"/>
            <w:tcBorders>
              <w:top w:val="single" w:sz="6"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42</w:t>
            </w:r>
          </w:p>
        </w:tc>
        <w:tc>
          <w:tcPr>
            <w:tcW w:w="978" w:type="dxa"/>
            <w:tcBorders>
              <w:top w:val="single" w:sz="6"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2484" w:type="dxa"/>
            <w:tcBorders>
              <w:top w:val="single" w:sz="6"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65.35</w:t>
            </w:r>
          </w:p>
        </w:tc>
        <w:tc>
          <w:tcPr>
            <w:tcW w:w="2483" w:type="dxa"/>
            <w:tcBorders>
              <w:top w:val="single" w:sz="6" w:space="0" w:color="000000"/>
              <w:left w:val="single" w:sz="8" w:space="0" w:color="000000"/>
              <w:bottom w:val="single" w:sz="8" w:space="0" w:color="000000"/>
              <w:right w:val="single" w:sz="8" w:space="0" w:color="000000"/>
            </w:tcBorders>
          </w:tcPr>
          <w:p>
            <w:pPr>
              <w:pStyle w:val="TableParagraph"/>
              <w:spacing w:line="240" w:lineRule="auto" w:before="10"/>
              <w:ind w:left="114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32" w:hRule="exact"/>
        </w:trPr>
        <w:tc>
          <w:tcPr>
            <w:tcW w:w="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高峰</w:t>
            </w:r>
          </w:p>
        </w:tc>
        <w:tc>
          <w:tcPr>
            <w:tcW w:w="191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6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left="2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6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43</w:t>
            </w:r>
          </w:p>
        </w:tc>
        <w:tc>
          <w:tcPr>
            <w:tcW w:w="9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51.44</w:t>
            </w:r>
          </w:p>
        </w:tc>
        <w:tc>
          <w:tcPr>
            <w:tcW w:w="24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left="114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32" w:hRule="exact"/>
        </w:trPr>
        <w:tc>
          <w:tcPr>
            <w:tcW w:w="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董越</w:t>
            </w:r>
          </w:p>
        </w:tc>
        <w:tc>
          <w:tcPr>
            <w:tcW w:w="191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6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left="2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6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48</w:t>
            </w:r>
          </w:p>
        </w:tc>
        <w:tc>
          <w:tcPr>
            <w:tcW w:w="9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51.15</w:t>
            </w:r>
          </w:p>
        </w:tc>
        <w:tc>
          <w:tcPr>
            <w:tcW w:w="24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left="114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31" w:hRule="exact"/>
        </w:trPr>
        <w:tc>
          <w:tcPr>
            <w:tcW w:w="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梁德兴</w:t>
            </w:r>
          </w:p>
        </w:tc>
        <w:tc>
          <w:tcPr>
            <w:tcW w:w="191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6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left="2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6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44</w:t>
            </w:r>
          </w:p>
        </w:tc>
        <w:tc>
          <w:tcPr>
            <w:tcW w:w="9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38.60</w:t>
            </w:r>
          </w:p>
        </w:tc>
        <w:tc>
          <w:tcPr>
            <w:tcW w:w="24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left="114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33" w:hRule="exact"/>
        </w:trPr>
        <w:tc>
          <w:tcPr>
            <w:tcW w:w="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0"/>
              <w:jc w:val="center"/>
              <w:rPr>
                <w:rFonts w:ascii="宋体" w:hAnsi="宋体" w:cs="宋体" w:eastAsia="宋体" w:hint="default"/>
                <w:sz w:val="18"/>
                <w:szCs w:val="18"/>
              </w:rPr>
            </w:pPr>
            <w:r>
              <w:rPr>
                <w:rFonts w:ascii="宋体" w:hAnsi="宋体" w:cs="宋体" w:eastAsia="宋体" w:hint="default"/>
                <w:sz w:val="18"/>
                <w:szCs w:val="18"/>
              </w:rPr>
              <w:t>张黔山</w:t>
            </w:r>
          </w:p>
        </w:tc>
        <w:tc>
          <w:tcPr>
            <w:tcW w:w="191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1"/>
              <w:jc w:val="center"/>
              <w:rPr>
                <w:rFonts w:ascii="宋体" w:hAnsi="宋体" w:cs="宋体" w:eastAsia="宋体" w:hint="default"/>
                <w:sz w:val="18"/>
                <w:szCs w:val="18"/>
              </w:rPr>
            </w:pPr>
            <w:r>
              <w:rPr>
                <w:rFonts w:ascii="宋体" w:hAnsi="宋体" w:cs="宋体" w:eastAsia="宋体" w:hint="default"/>
                <w:sz w:val="18"/>
                <w:szCs w:val="18"/>
              </w:rPr>
              <w:t>副总裁、董事会秘书</w:t>
            </w:r>
          </w:p>
        </w:tc>
        <w:tc>
          <w:tcPr>
            <w:tcW w:w="6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left="2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6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48</w:t>
            </w:r>
          </w:p>
        </w:tc>
        <w:tc>
          <w:tcPr>
            <w:tcW w:w="9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41.00</w:t>
            </w:r>
          </w:p>
        </w:tc>
        <w:tc>
          <w:tcPr>
            <w:tcW w:w="24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left="114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32" w:hRule="exact"/>
        </w:trPr>
        <w:tc>
          <w:tcPr>
            <w:tcW w:w="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艾东</w:t>
            </w:r>
          </w:p>
        </w:tc>
        <w:tc>
          <w:tcPr>
            <w:tcW w:w="191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6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left="2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6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49</w:t>
            </w:r>
          </w:p>
        </w:tc>
        <w:tc>
          <w:tcPr>
            <w:tcW w:w="9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44.55</w:t>
            </w:r>
          </w:p>
        </w:tc>
        <w:tc>
          <w:tcPr>
            <w:tcW w:w="24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left="114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31" w:hRule="exact"/>
        </w:trPr>
        <w:tc>
          <w:tcPr>
            <w:tcW w:w="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林红</w:t>
            </w:r>
          </w:p>
        </w:tc>
        <w:tc>
          <w:tcPr>
            <w:tcW w:w="191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副总裁、财务总监</w:t>
            </w:r>
          </w:p>
        </w:tc>
        <w:tc>
          <w:tcPr>
            <w:tcW w:w="6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left="200" w:right="0"/>
              <w:jc w:val="left"/>
              <w:rPr>
                <w:rFonts w:ascii="宋体" w:hAnsi="宋体" w:cs="宋体" w:eastAsia="宋体" w:hint="default"/>
                <w:sz w:val="18"/>
                <w:szCs w:val="18"/>
              </w:rPr>
            </w:pPr>
            <w:r>
              <w:rPr>
                <w:rFonts w:ascii="宋体" w:hAnsi="宋体" w:cs="宋体" w:eastAsia="宋体" w:hint="default"/>
                <w:sz w:val="18"/>
                <w:szCs w:val="18"/>
              </w:rPr>
              <w:t>女</w:t>
            </w:r>
          </w:p>
        </w:tc>
        <w:tc>
          <w:tcPr>
            <w:tcW w:w="6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53</w:t>
            </w:r>
          </w:p>
        </w:tc>
        <w:tc>
          <w:tcPr>
            <w:tcW w:w="9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0"/>
              <w:ind w:right="0"/>
              <w:jc w:val="center"/>
              <w:rPr>
                <w:rFonts w:ascii="Times New Roman" w:hAnsi="Times New Roman" w:cs="Times New Roman" w:eastAsia="Times New Roman" w:hint="default"/>
                <w:sz w:val="18"/>
                <w:szCs w:val="18"/>
              </w:rPr>
            </w:pPr>
            <w:r>
              <w:rPr>
                <w:rFonts w:ascii="Times New Roman"/>
                <w:sz w:val="18"/>
              </w:rPr>
              <w:t>35.85</w:t>
            </w:r>
          </w:p>
        </w:tc>
        <w:tc>
          <w:tcPr>
            <w:tcW w:w="24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
              <w:ind w:left="114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32" w:hRule="exact"/>
        </w:trPr>
        <w:tc>
          <w:tcPr>
            <w:tcW w:w="7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任杰</w:t>
            </w:r>
          </w:p>
        </w:tc>
        <w:tc>
          <w:tcPr>
            <w:tcW w:w="191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60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left="2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6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42</w:t>
            </w:r>
          </w:p>
        </w:tc>
        <w:tc>
          <w:tcPr>
            <w:tcW w:w="97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2.67</w:t>
            </w:r>
          </w:p>
        </w:tc>
        <w:tc>
          <w:tcPr>
            <w:tcW w:w="24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1"/>
              <w:ind w:left="114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31" w:hRule="exact"/>
        </w:trPr>
        <w:tc>
          <w:tcPr>
            <w:tcW w:w="790"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919"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w:t>
            </w:r>
          </w:p>
        </w:tc>
        <w:tc>
          <w:tcPr>
            <w:tcW w:w="601"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51"/>
              <w:ind w:left="230" w:right="0"/>
              <w:jc w:val="left"/>
              <w:rPr>
                <w:rFonts w:ascii="Times New Roman" w:hAnsi="Times New Roman" w:cs="Times New Roman" w:eastAsia="Times New Roman" w:hint="default"/>
                <w:sz w:val="18"/>
                <w:szCs w:val="18"/>
              </w:rPr>
            </w:pPr>
            <w:r>
              <w:rPr>
                <w:rFonts w:ascii="Times New Roman"/>
                <w:sz w:val="18"/>
              </w:rPr>
              <w:t>--</w:t>
            </w:r>
          </w:p>
        </w:tc>
        <w:tc>
          <w:tcPr>
            <w:tcW w:w="600"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Times New Roman"/>
                <w:sz w:val="18"/>
              </w:rPr>
              <w:t>--</w:t>
            </w:r>
          </w:p>
        </w:tc>
        <w:tc>
          <w:tcPr>
            <w:tcW w:w="978"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w:t>
            </w:r>
          </w:p>
        </w:tc>
        <w:tc>
          <w:tcPr>
            <w:tcW w:w="248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Times New Roman"/>
                <w:sz w:val="18"/>
              </w:rPr>
              <w:t>681.77</w:t>
            </w:r>
          </w:p>
        </w:tc>
        <w:tc>
          <w:tcPr>
            <w:tcW w:w="2483" w:type="dxa"/>
            <w:tcBorders>
              <w:top w:val="single" w:sz="8" w:space="0" w:color="000000"/>
              <w:left w:val="single" w:sz="8" w:space="0" w:color="000000"/>
              <w:bottom w:val="single" w:sz="8" w:space="0" w:color="000000"/>
              <w:right w:val="single" w:sz="8" w:space="0" w:color="000000"/>
            </w:tcBorders>
            <w:shd w:val="clear" w:color="auto" w:fill="D2D2D2"/>
          </w:tcPr>
          <w:p>
            <w:pPr>
              <w:pStyle w:val="TableParagraph"/>
              <w:spacing w:line="240" w:lineRule="auto" w:before="51"/>
              <w:ind w:left="1170" w:right="0"/>
              <w:jc w:val="left"/>
              <w:rPr>
                <w:rFonts w:ascii="Times New Roman" w:hAnsi="Times New Roman" w:cs="Times New Roman" w:eastAsia="Times New Roman" w:hint="default"/>
                <w:sz w:val="18"/>
                <w:szCs w:val="18"/>
              </w:rPr>
            </w:pPr>
            <w:r>
              <w:rPr>
                <w:rFonts w:ascii="Times New Roman"/>
                <w:sz w:val="18"/>
              </w:rPr>
              <w:t>--</w:t>
            </w:r>
          </w:p>
        </w:tc>
      </w:tr>
    </w:tbl>
    <w:p>
      <w:pPr>
        <w:pStyle w:val="Heading5"/>
        <w:spacing w:line="240" w:lineRule="auto" w:before="89"/>
        <w:ind w:left="234" w:right="0"/>
        <w:jc w:val="left"/>
        <w:rPr>
          <w:b w:val="0"/>
          <w:bCs w:val="0"/>
        </w:rPr>
      </w:pPr>
      <w:r>
        <w:rPr/>
        <w:t>公司董事、高级管理人员报告期内被授予的股权激励情况</w:t>
      </w:r>
      <w:r>
        <w:rPr>
          <w:b w:val="0"/>
          <w:bCs w:val="0"/>
        </w:rPr>
      </w:r>
    </w:p>
    <w:p>
      <w:pPr>
        <w:spacing w:line="240" w:lineRule="auto" w:before="12"/>
        <w:rPr>
          <w:rFonts w:ascii="宋体" w:hAnsi="宋体" w:cs="宋体" w:eastAsia="宋体" w:hint="default"/>
          <w:b/>
          <w:bCs/>
          <w:sz w:val="20"/>
          <w:szCs w:val="20"/>
        </w:rPr>
      </w:pPr>
    </w:p>
    <w:p>
      <w:pPr>
        <w:spacing w:before="0"/>
        <w:ind w:left="2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pStyle w:val="Heading2"/>
        <w:spacing w:line="240" w:lineRule="auto" w:before="157"/>
        <w:ind w:left="234" w:right="0"/>
        <w:jc w:val="left"/>
        <w:rPr>
          <w:b w:val="0"/>
          <w:bCs w:val="0"/>
        </w:rPr>
      </w:pPr>
      <w:bookmarkStart w:name="五、公司员工情况" w:id="135"/>
      <w:bookmarkEnd w:id="135"/>
      <w:r>
        <w:rPr>
          <w:b w:val="0"/>
          <w:bCs w:val="0"/>
        </w:rPr>
      </w:r>
      <w:r>
        <w:rPr/>
        <w:t>五、公司员工情况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234" w:right="0"/>
        <w:jc w:val="left"/>
        <w:rPr>
          <w:b w:val="0"/>
          <w:bCs w:val="0"/>
        </w:rPr>
      </w:pPr>
      <w:bookmarkStart w:name="1、员工数量、专业构成及教育程度" w:id="136"/>
      <w:bookmarkEnd w:id="136"/>
      <w:r>
        <w:rPr>
          <w:b w:val="0"/>
          <w:bCs w:val="0"/>
        </w:rPr>
      </w:r>
      <w:r>
        <w:rPr>
          <w:rFonts w:ascii="Times New Roman" w:hAnsi="Times New Roman" w:cs="Times New Roman" w:eastAsia="Times New Roman" w:hint="default"/>
        </w:rPr>
        <w:t>1</w:t>
      </w:r>
      <w:r>
        <w:rPr/>
        <w:t>、员工数量、专业构成及教育程度</w:t>
      </w:r>
      <w:r>
        <w:rPr>
          <w:b w:val="0"/>
          <w:bCs w:val="0"/>
        </w:rPr>
      </w:r>
    </w:p>
    <w:p>
      <w:pPr>
        <w:spacing w:line="240" w:lineRule="auto" w:before="9"/>
        <w:rPr>
          <w:rFonts w:ascii="宋体" w:hAnsi="宋体" w:cs="宋体" w:eastAsia="宋体" w:hint="default"/>
          <w:b/>
          <w:bCs/>
          <w:sz w:val="25"/>
          <w:szCs w:val="25"/>
        </w:rPr>
      </w:pPr>
    </w:p>
    <w:tbl>
      <w:tblPr>
        <w:tblW w:w="0" w:type="auto"/>
        <w:jc w:val="left"/>
        <w:tblInd w:w="212" w:type="dxa"/>
        <w:tblLayout w:type="fixed"/>
        <w:tblCellMar>
          <w:top w:w="0" w:type="dxa"/>
          <w:left w:w="0" w:type="dxa"/>
          <w:bottom w:w="0" w:type="dxa"/>
          <w:right w:w="0" w:type="dxa"/>
        </w:tblCellMar>
        <w:tblLook w:val="01E0"/>
      </w:tblPr>
      <w:tblGrid>
        <w:gridCol w:w="4829"/>
        <w:gridCol w:w="4855"/>
      </w:tblGrid>
      <w:tr>
        <w:trPr>
          <w:trHeight w:val="402" w:hRule="exact"/>
        </w:trPr>
        <w:tc>
          <w:tcPr>
            <w:tcW w:w="4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8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1,955</w:t>
            </w:r>
          </w:p>
        </w:tc>
      </w:tr>
      <w:tr>
        <w:trPr>
          <w:trHeight w:val="402" w:hRule="exact"/>
        </w:trPr>
        <w:tc>
          <w:tcPr>
            <w:tcW w:w="4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8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1,628</w:t>
            </w:r>
          </w:p>
        </w:tc>
      </w:tr>
      <w:tr>
        <w:trPr>
          <w:trHeight w:val="402" w:hRule="exact"/>
        </w:trPr>
        <w:tc>
          <w:tcPr>
            <w:tcW w:w="4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8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3,583</w:t>
            </w:r>
          </w:p>
        </w:tc>
      </w:tr>
      <w:tr>
        <w:trPr>
          <w:trHeight w:val="402" w:hRule="exact"/>
        </w:trPr>
        <w:tc>
          <w:tcPr>
            <w:tcW w:w="4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8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3,583</w:t>
            </w:r>
          </w:p>
        </w:tc>
      </w:tr>
      <w:tr>
        <w:trPr>
          <w:trHeight w:val="407" w:hRule="exact"/>
        </w:trPr>
        <w:tc>
          <w:tcPr>
            <w:tcW w:w="4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8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392" w:hRule="exact"/>
        </w:trPr>
        <w:tc>
          <w:tcPr>
            <w:tcW w:w="968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10"/>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407" w:hRule="exact"/>
        </w:trPr>
        <w:tc>
          <w:tcPr>
            <w:tcW w:w="4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4"/>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615"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2" w:hRule="exact"/>
        </w:trPr>
        <w:tc>
          <w:tcPr>
            <w:tcW w:w="4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8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w:t>
            </w:r>
          </w:p>
        </w:tc>
      </w:tr>
      <w:tr>
        <w:trPr>
          <w:trHeight w:val="402" w:hRule="exact"/>
        </w:trPr>
        <w:tc>
          <w:tcPr>
            <w:tcW w:w="4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8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264</w:t>
            </w:r>
          </w:p>
        </w:tc>
      </w:tr>
      <w:tr>
        <w:trPr>
          <w:trHeight w:val="402" w:hRule="exact"/>
        </w:trPr>
        <w:tc>
          <w:tcPr>
            <w:tcW w:w="4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8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2,833</w:t>
            </w:r>
          </w:p>
        </w:tc>
      </w:tr>
      <w:tr>
        <w:trPr>
          <w:trHeight w:val="402" w:hRule="exact"/>
        </w:trPr>
        <w:tc>
          <w:tcPr>
            <w:tcW w:w="4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8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51</w:t>
            </w:r>
          </w:p>
        </w:tc>
      </w:tr>
      <w:tr>
        <w:trPr>
          <w:trHeight w:val="402" w:hRule="exact"/>
        </w:trPr>
        <w:tc>
          <w:tcPr>
            <w:tcW w:w="4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8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212</w:t>
            </w:r>
          </w:p>
        </w:tc>
      </w:tr>
      <w:tr>
        <w:trPr>
          <w:trHeight w:val="402" w:hRule="exact"/>
        </w:trPr>
        <w:tc>
          <w:tcPr>
            <w:tcW w:w="4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管理人员</w:t>
            </w:r>
          </w:p>
        </w:tc>
        <w:tc>
          <w:tcPr>
            <w:tcW w:w="48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178</w:t>
            </w:r>
          </w:p>
        </w:tc>
      </w:tr>
      <w:tr>
        <w:trPr>
          <w:trHeight w:val="407" w:hRule="exact"/>
        </w:trPr>
        <w:tc>
          <w:tcPr>
            <w:tcW w:w="4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8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3,583</w:t>
            </w:r>
          </w:p>
        </w:tc>
      </w:tr>
      <w:tr>
        <w:trPr>
          <w:trHeight w:val="392" w:hRule="exact"/>
        </w:trPr>
        <w:tc>
          <w:tcPr>
            <w:tcW w:w="968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10"/>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7" w:hRule="exact"/>
        </w:trPr>
        <w:tc>
          <w:tcPr>
            <w:tcW w:w="4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4"/>
              <w:jc w:val="center"/>
              <w:rPr>
                <w:rFonts w:ascii="宋体" w:hAnsi="宋体" w:cs="宋体" w:eastAsia="宋体" w:hint="default"/>
                <w:sz w:val="18"/>
                <w:szCs w:val="18"/>
              </w:rPr>
            </w:pPr>
            <w:r>
              <w:rPr>
                <w:rFonts w:ascii="宋体" w:hAnsi="宋体" w:cs="宋体" w:eastAsia="宋体" w:hint="default"/>
                <w:sz w:val="18"/>
                <w:szCs w:val="18"/>
              </w:rPr>
              <w:t>教育程度类别</w:t>
            </w:r>
          </w:p>
        </w:tc>
        <w:tc>
          <w:tcPr>
            <w:tcW w:w="4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5" w:right="0"/>
              <w:jc w:val="center"/>
              <w:rPr>
                <w:rFonts w:ascii="宋体" w:hAnsi="宋体" w:cs="宋体" w:eastAsia="宋体" w:hint="default"/>
                <w:sz w:val="18"/>
                <w:szCs w:val="18"/>
              </w:rPr>
            </w:pPr>
            <w:r>
              <w:rPr>
                <w:rFonts w:ascii="宋体" w:hAnsi="宋体" w:cs="宋体" w:eastAsia="宋体" w:hint="default"/>
                <w:sz w:val="18"/>
                <w:szCs w:val="18"/>
              </w:rPr>
              <w:t>数量（人）</w:t>
            </w:r>
          </w:p>
        </w:tc>
      </w:tr>
      <w:tr>
        <w:trPr>
          <w:trHeight w:val="402" w:hRule="exact"/>
        </w:trPr>
        <w:tc>
          <w:tcPr>
            <w:tcW w:w="4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研究生及以上</w:t>
            </w:r>
          </w:p>
        </w:tc>
        <w:tc>
          <w:tcPr>
            <w:tcW w:w="4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225</w:t>
            </w:r>
          </w:p>
        </w:tc>
      </w:tr>
      <w:tr>
        <w:trPr>
          <w:trHeight w:val="402" w:hRule="exact"/>
        </w:trPr>
        <w:tc>
          <w:tcPr>
            <w:tcW w:w="4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大学本科</w:t>
            </w:r>
          </w:p>
        </w:tc>
        <w:tc>
          <w:tcPr>
            <w:tcW w:w="4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2,437</w:t>
            </w:r>
          </w:p>
        </w:tc>
      </w:tr>
      <w:tr>
        <w:trPr>
          <w:trHeight w:val="402" w:hRule="exact"/>
        </w:trPr>
        <w:tc>
          <w:tcPr>
            <w:tcW w:w="4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大学专科</w:t>
            </w:r>
          </w:p>
        </w:tc>
        <w:tc>
          <w:tcPr>
            <w:tcW w:w="4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854</w:t>
            </w:r>
          </w:p>
        </w:tc>
      </w:tr>
      <w:tr>
        <w:trPr>
          <w:trHeight w:val="402" w:hRule="exact"/>
        </w:trPr>
        <w:tc>
          <w:tcPr>
            <w:tcW w:w="4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大专以下</w:t>
            </w:r>
          </w:p>
        </w:tc>
        <w:tc>
          <w:tcPr>
            <w:tcW w:w="4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67</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900" w:right="0"/>
        </w:sectPr>
      </w:pPr>
    </w:p>
    <w:p>
      <w:pPr>
        <w:spacing w:line="240" w:lineRule="auto" w:before="3"/>
        <w:rPr>
          <w:rFonts w:ascii="宋体" w:hAnsi="宋体" w:cs="宋体" w:eastAsia="宋体" w:hint="default"/>
          <w:b/>
          <w:bCs/>
          <w:sz w:val="3"/>
          <w:szCs w:val="3"/>
        </w:rPr>
      </w:pPr>
    </w:p>
    <w:tbl>
      <w:tblPr>
        <w:tblW w:w="0" w:type="auto"/>
        <w:jc w:val="left"/>
        <w:tblInd w:w="101" w:type="dxa"/>
        <w:tblLayout w:type="fixed"/>
        <w:tblCellMar>
          <w:top w:w="0" w:type="dxa"/>
          <w:left w:w="0" w:type="dxa"/>
          <w:bottom w:w="0" w:type="dxa"/>
          <w:right w:w="0" w:type="dxa"/>
        </w:tblCellMar>
        <w:tblLook w:val="01E0"/>
      </w:tblPr>
      <w:tblGrid>
        <w:gridCol w:w="4848"/>
        <w:gridCol w:w="4847"/>
      </w:tblGrid>
      <w:tr>
        <w:trPr>
          <w:trHeight w:val="415" w:hRule="exact"/>
        </w:trPr>
        <w:tc>
          <w:tcPr>
            <w:tcW w:w="4848"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84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19"/>
              <w:jc w:val="right"/>
              <w:rPr>
                <w:rFonts w:ascii="Times New Roman" w:hAnsi="Times New Roman" w:cs="Times New Roman" w:eastAsia="Times New Roman" w:hint="default"/>
                <w:sz w:val="18"/>
                <w:szCs w:val="18"/>
              </w:rPr>
            </w:pPr>
            <w:r>
              <w:rPr>
                <w:rFonts w:ascii="Times New Roman"/>
                <w:sz w:val="18"/>
              </w:rPr>
              <w:t>3,583</w:t>
            </w:r>
          </w:p>
        </w:tc>
      </w:tr>
    </w:tbl>
    <w:p>
      <w:pPr>
        <w:pStyle w:val="Heading3"/>
        <w:spacing w:line="240" w:lineRule="auto" w:before="63"/>
        <w:ind w:left="134" w:right="7680"/>
        <w:jc w:val="left"/>
        <w:rPr>
          <w:b w:val="0"/>
          <w:bCs w:val="0"/>
        </w:rPr>
      </w:pPr>
      <w:bookmarkStart w:name="2、薪酬政策" w:id="137"/>
      <w:bookmarkEnd w:id="137"/>
      <w:r>
        <w:rPr>
          <w:b w:val="0"/>
          <w:bCs w:val="0"/>
        </w:rPr>
      </w:r>
      <w:r>
        <w:rPr>
          <w:rFonts w:ascii="Times New Roman" w:hAnsi="Times New Roman" w:cs="Times New Roman" w:eastAsia="Times New Roman" w:hint="default"/>
        </w:rPr>
        <w:t>2</w:t>
      </w:r>
      <w:r>
        <w:rPr/>
        <w:t>、薪酬政策</w:t>
      </w:r>
      <w:r>
        <w:rPr>
          <w:b w:val="0"/>
          <w:bCs w:val="0"/>
        </w:rPr>
      </w:r>
    </w:p>
    <w:p>
      <w:pPr>
        <w:spacing w:line="240" w:lineRule="auto" w:before="6"/>
        <w:rPr>
          <w:rFonts w:ascii="宋体" w:hAnsi="宋体" w:cs="宋体" w:eastAsia="宋体" w:hint="default"/>
          <w:b/>
          <w:bCs/>
          <w:sz w:val="15"/>
          <w:szCs w:val="15"/>
        </w:rPr>
      </w:pPr>
    </w:p>
    <w:p>
      <w:pPr>
        <w:pStyle w:val="BodyText"/>
        <w:spacing w:line="463" w:lineRule="auto"/>
        <w:ind w:left="134" w:right="1032" w:firstLine="360"/>
        <w:jc w:val="left"/>
      </w:pPr>
      <w:r>
        <w:rPr>
          <w:spacing w:val="-5"/>
        </w:rPr>
        <w:t>公司根据国家人力资源和社会劳动保障的相关政策，结合地区、行业和公司的实际情况，制订了具有竞争力的薪酬策略。</w:t>
      </w:r>
      <w:r>
        <w:rPr/>
        <w:t> </w:t>
      </w:r>
      <w:r>
        <w:rPr>
          <w:spacing w:val="-5"/>
        </w:rPr>
        <w:t>公司本着</w:t>
      </w:r>
      <w:r>
        <w:rPr>
          <w:rFonts w:ascii="Times New Roman" w:hAnsi="Times New Roman" w:cs="Times New Roman" w:eastAsia="Times New Roman" w:hint="default"/>
          <w:spacing w:val="-5"/>
        </w:rPr>
        <w:t>“</w:t>
      </w:r>
      <w:r>
        <w:rPr>
          <w:spacing w:val="-5"/>
        </w:rPr>
        <w:t>以人为本</w:t>
      </w:r>
      <w:r>
        <w:rPr>
          <w:rFonts w:ascii="Times New Roman" w:hAnsi="Times New Roman" w:cs="Times New Roman" w:eastAsia="Times New Roman" w:hint="default"/>
          <w:spacing w:val="-5"/>
        </w:rPr>
        <w:t>”</w:t>
      </w:r>
      <w:r>
        <w:rPr>
          <w:spacing w:val="-5"/>
        </w:rPr>
        <w:t>的一贯宗旨，推行职位、职等管理模式，成立了薪酬与考核委员会来完成员工职等、薪酬的确定和评审，</w:t>
      </w:r>
      <w:r>
        <w:rPr>
          <w:spacing w:val="-52"/>
        </w:rPr>
        <w:t> </w:t>
      </w:r>
      <w:r>
        <w:rPr>
          <w:spacing w:val="-52"/>
        </w:rPr>
      </w:r>
      <w:r>
        <w:rPr/>
        <w:t>为员工设立专业及管理的双重职业发展路径，同时为员工薪酬确定、培训发展、绩效考核提供相关信息、依据。公司以</w:t>
      </w:r>
      <w:r>
        <w:rPr>
          <w:rFonts w:ascii="Times New Roman" w:hAnsi="Times New Roman" w:cs="Times New Roman" w:eastAsia="Times New Roman" w:hint="default"/>
        </w:rPr>
        <w:t>“</w:t>
      </w:r>
      <w:r>
        <w:rPr/>
        <w:t>高</w:t>
      </w:r>
      <w:r>
        <w:rPr>
          <w:spacing w:val="-73"/>
        </w:rPr>
        <w:t> </w:t>
      </w:r>
      <w:r>
        <w:rPr/>
        <w:t>贡献、高绩效、高回报</w:t>
      </w:r>
      <w:r>
        <w:rPr>
          <w:rFonts w:ascii="Times New Roman" w:hAnsi="Times New Roman" w:cs="Times New Roman" w:eastAsia="Times New Roman" w:hint="default"/>
        </w:rPr>
        <w:t>”</w:t>
      </w:r>
      <w:r>
        <w:rPr/>
        <w:t>为指导思想，实行</w:t>
      </w:r>
      <w:r>
        <w:rPr>
          <w:rFonts w:ascii="Times New Roman" w:hAnsi="Times New Roman" w:cs="Times New Roman" w:eastAsia="Times New Roman" w:hint="default"/>
        </w:rPr>
        <w:t>“</w:t>
      </w:r>
      <w:r>
        <w:rPr/>
        <w:t>宽带薪酬</w:t>
      </w:r>
      <w:r>
        <w:rPr>
          <w:rFonts w:ascii="Times New Roman" w:hAnsi="Times New Roman" w:cs="Times New Roman" w:eastAsia="Times New Roman" w:hint="default"/>
        </w:rPr>
        <w:t>”</w:t>
      </w:r>
      <w:r>
        <w:rPr/>
        <w:t>制度，即：将工作性质、工作内容和管理内容相似或者相同职类集合</w:t>
      </w:r>
      <w:r>
        <w:rPr>
          <w:spacing w:val="-57"/>
        </w:rPr>
        <w:t> </w:t>
      </w:r>
      <w:r>
        <w:rPr>
          <w:spacing w:val="-57"/>
        </w:rPr>
      </w:r>
      <w:r>
        <w:rPr>
          <w:spacing w:val="-2"/>
        </w:rPr>
        <w:t>成为序列，员工薪酬的确定和调整，依据序列对应的薪酬区间进行管理和控制，为员工的晋级、晋升明确了方向和路径，更</w:t>
      </w:r>
      <w:r>
        <w:rPr>
          <w:spacing w:val="-66"/>
        </w:rPr>
        <w:t> </w:t>
      </w:r>
      <w:r>
        <w:rPr>
          <w:spacing w:val="-66"/>
        </w:rPr>
      </w:r>
      <w:r>
        <w:rPr/>
        <w:t>好地帮助员工实现自己的职业生涯规划。对于骨干员工，公司实行结构化薪酬策略，兼顾短期收益和长期收益，绩效工资、</w:t>
      </w:r>
      <w:r>
        <w:rPr>
          <w:spacing w:val="-83"/>
        </w:rPr>
        <w:t> </w:t>
      </w:r>
      <w:r>
        <w:rPr>
          <w:spacing w:val="-83"/>
        </w:rPr>
      </w:r>
      <w:r>
        <w:rPr/>
        <w:t>股权激励、多样化福利多管齐下，全方位的激励员工，从而实现提升公司核心竞争力的目标。</w:t>
      </w:r>
    </w:p>
    <w:p>
      <w:pPr>
        <w:pStyle w:val="BodyText"/>
        <w:spacing w:line="451" w:lineRule="auto" w:before="65"/>
        <w:ind w:left="494" w:right="1119"/>
        <w:jc w:val="left"/>
      </w:pPr>
      <w:r>
        <w:rPr/>
        <w:t>公司需遵守《深圳证券交易所行业信息披露指引第</w:t>
      </w:r>
      <w:r>
        <w:rPr>
          <w:rFonts w:ascii="Times New Roman" w:hAnsi="Times New Roman" w:cs="Times New Roman" w:eastAsia="Times New Roman" w:hint="default"/>
        </w:rPr>
        <w:t>12</w:t>
      </w:r>
      <w:r>
        <w:rPr/>
        <w:t>号</w:t>
      </w:r>
      <w:r>
        <w:rPr>
          <w:rFonts w:ascii="Times New Roman" w:hAnsi="Times New Roman" w:cs="Times New Roman" w:eastAsia="Times New Roman" w:hint="default"/>
        </w:rPr>
        <w:t>——</w:t>
      </w:r>
      <w:r>
        <w:rPr/>
        <w:t>上市公司从事软件与信息技术服务业务》的披露要求 </w:t>
      </w:r>
      <w:r>
        <w:rPr>
          <w:spacing w:val="-1"/>
        </w:rPr>
        <w:t>本报告期内职工薪酬总额（计入成本部分）为</w:t>
      </w:r>
      <w:r>
        <w:rPr>
          <w:rFonts w:ascii="Times New Roman" w:hAnsi="Times New Roman" w:cs="Times New Roman" w:eastAsia="Times New Roman" w:hint="default"/>
          <w:spacing w:val="-1"/>
        </w:rPr>
        <w:t>8.16</w:t>
      </w:r>
      <w:r>
        <w:rPr>
          <w:spacing w:val="-1"/>
        </w:rPr>
        <w:t>亿元，占公司营业总成本的</w:t>
      </w:r>
      <w:r>
        <w:rPr>
          <w:rFonts w:ascii="Times New Roman" w:hAnsi="Times New Roman" w:cs="Times New Roman" w:eastAsia="Times New Roman" w:hint="default"/>
          <w:spacing w:val="-1"/>
        </w:rPr>
        <w:t>41.17%</w:t>
      </w:r>
      <w:r>
        <w:rPr>
          <w:spacing w:val="-1"/>
        </w:rPr>
        <w:t>。公司所处软件与信息技术服务行</w:t>
      </w:r>
    </w:p>
    <w:p>
      <w:pPr>
        <w:pStyle w:val="BodyText"/>
        <w:spacing w:line="477" w:lineRule="auto" w:before="43"/>
        <w:ind w:left="134" w:right="1032"/>
        <w:jc w:val="left"/>
      </w:pPr>
      <w:r>
        <w:rPr>
          <w:spacing w:val="-2"/>
        </w:rPr>
        <w:t>业，人才是技术进步、业务发展的动力来源，人工成本占总成本比重较高，故净利润对职工薪酬总额的变化较为敏感。报告</w:t>
      </w:r>
      <w:r>
        <w:rPr>
          <w:spacing w:val="-66"/>
        </w:rPr>
        <w:t> </w:t>
      </w:r>
      <w:r>
        <w:rPr>
          <w:spacing w:val="-66"/>
        </w:rPr>
      </w:r>
      <w:r>
        <w:rPr/>
        <w:t>期内，核心技术人员占公司员工人数的</w:t>
      </w:r>
      <w:r>
        <w:rPr>
          <w:rFonts w:ascii="Times New Roman" w:hAnsi="Times New Roman" w:cs="Times New Roman" w:eastAsia="Times New Roman" w:hint="default"/>
        </w:rPr>
        <w:t>12.1%</w:t>
      </w:r>
      <w:r>
        <w:rPr/>
        <w:t>，核心技术人员薪酬占公司薪酬总额的</w:t>
      </w:r>
      <w:r>
        <w:rPr>
          <w:rFonts w:ascii="Times New Roman" w:hAnsi="Times New Roman" w:cs="Times New Roman" w:eastAsia="Times New Roman" w:hint="default"/>
        </w:rPr>
        <w:t>23.7%</w:t>
      </w:r>
      <w:r>
        <w:rPr/>
        <w:t>。</w:t>
      </w:r>
    </w:p>
    <w:p>
      <w:pPr>
        <w:pStyle w:val="Heading3"/>
        <w:spacing w:line="287" w:lineRule="exact"/>
        <w:ind w:left="134" w:right="7680"/>
        <w:jc w:val="left"/>
        <w:rPr>
          <w:b w:val="0"/>
          <w:bCs w:val="0"/>
        </w:rPr>
      </w:pPr>
      <w:bookmarkStart w:name="3、培训计划" w:id="138"/>
      <w:bookmarkEnd w:id="138"/>
      <w:r>
        <w:rPr>
          <w:b w:val="0"/>
          <w:bCs w:val="0"/>
        </w:rPr>
      </w:r>
      <w:r>
        <w:rPr>
          <w:rFonts w:ascii="Times New Roman" w:hAnsi="Times New Roman" w:cs="Times New Roman" w:eastAsia="Times New Roman" w:hint="default"/>
        </w:rPr>
        <w:t>3</w:t>
      </w:r>
      <w:r>
        <w:rPr/>
        <w:t>、培训计划</w:t>
      </w:r>
      <w:r>
        <w:rPr>
          <w:b w:val="0"/>
          <w:bCs w:val="0"/>
        </w:rPr>
      </w:r>
    </w:p>
    <w:p>
      <w:pPr>
        <w:spacing w:line="240" w:lineRule="auto" w:before="6"/>
        <w:rPr>
          <w:rFonts w:ascii="宋体" w:hAnsi="宋体" w:cs="宋体" w:eastAsia="宋体" w:hint="default"/>
          <w:b/>
          <w:bCs/>
          <w:sz w:val="15"/>
          <w:szCs w:val="15"/>
        </w:rPr>
      </w:pPr>
    </w:p>
    <w:p>
      <w:pPr>
        <w:pStyle w:val="BodyText"/>
        <w:spacing w:line="477" w:lineRule="auto"/>
        <w:ind w:left="134" w:right="1032" w:firstLine="360"/>
        <w:jc w:val="left"/>
      </w:pPr>
      <w:r>
        <w:rPr>
          <w:spacing w:val="-6"/>
        </w:rPr>
        <w:t>根据公司战略发展方向，结合业务要求及人才培养规划，公司制定了全面完善的培养方案，包含领导力培训、业务培训、</w:t>
      </w:r>
      <w:r>
        <w:rPr/>
        <w:t> 新员工培训等。</w:t>
      </w:r>
    </w:p>
    <w:p>
      <w:pPr>
        <w:pStyle w:val="BodyText"/>
        <w:spacing w:line="463" w:lineRule="auto" w:before="54"/>
        <w:ind w:left="134" w:right="1130" w:firstLine="360"/>
        <w:jc w:val="both"/>
      </w:pPr>
      <w:r>
        <w:rPr>
          <w:rFonts w:ascii="Times New Roman" w:hAnsi="Times New Roman" w:cs="Times New Roman" w:eastAsia="Times New Roman" w:hint="default"/>
          <w:spacing w:val="-3"/>
        </w:rPr>
        <w:t>2019</w:t>
      </w:r>
      <w:r>
        <w:rPr>
          <w:spacing w:val="-3"/>
        </w:rPr>
        <w:t>年，公司计划针对各级管理人员的管理水平、领导能力等问题，携手中欧商业在线继续开展</w:t>
      </w:r>
      <w:r>
        <w:rPr>
          <w:rFonts w:ascii="Times New Roman" w:hAnsi="Times New Roman" w:cs="Times New Roman" w:eastAsia="Times New Roman" w:hint="default"/>
          <w:spacing w:val="-3"/>
        </w:rPr>
        <w:t>“</w:t>
      </w:r>
      <w:r>
        <w:rPr>
          <w:spacing w:val="-3"/>
        </w:rPr>
        <w:t>鹰计划</w:t>
      </w:r>
      <w:r>
        <w:rPr>
          <w:rFonts w:ascii="Times New Roman" w:hAnsi="Times New Roman" w:cs="Times New Roman" w:eastAsia="Times New Roman" w:hint="default"/>
          <w:spacing w:val="-3"/>
        </w:rPr>
        <w:t>”</w:t>
      </w:r>
      <w:r>
        <w:rPr>
          <w:spacing w:val="-3"/>
        </w:rPr>
        <w:t>系列培训，</w:t>
      </w:r>
      <w:r>
        <w:rPr>
          <w:rFonts w:ascii="Times New Roman" w:hAnsi="Times New Roman" w:cs="Times New Roman" w:eastAsia="Times New Roman" w:hint="default"/>
          <w:spacing w:val="-3"/>
        </w:rPr>
        <w:t>“</w:t>
      </w:r>
      <w:r>
        <w:rPr>
          <w:spacing w:val="-3"/>
        </w:rPr>
        <w:t>鹰</w:t>
      </w:r>
      <w:r>
        <w:rPr/>
        <w:t> 计划</w:t>
      </w:r>
      <w:r>
        <w:rPr>
          <w:rFonts w:ascii="Times New Roman" w:hAnsi="Times New Roman" w:cs="Times New Roman" w:eastAsia="Times New Roman" w:hint="default"/>
        </w:rPr>
        <w:t>”</w:t>
      </w:r>
      <w:r>
        <w:rPr/>
        <w:t>以外训带动内训，通过线上理论课程自学，线下讲授互动，微信知识抢答与分享，课程积分等多种授课形式和激励措</w:t>
      </w:r>
      <w:r>
        <w:rPr>
          <w:spacing w:val="-77"/>
        </w:rPr>
        <w:t> </w:t>
      </w:r>
      <w:r>
        <w:rPr>
          <w:spacing w:val="-77"/>
        </w:rPr>
      </w:r>
      <w:r>
        <w:rPr>
          <w:spacing w:val="-2"/>
        </w:rPr>
        <w:t>施，全面提升各级干部管理意识、管理思维以及管理实践水平。为了提升公司技术骨干和业务专家的技能水平，公司从产品</w:t>
      </w:r>
      <w:r>
        <w:rPr>
          <w:spacing w:val="-65"/>
        </w:rPr>
        <w:t> </w:t>
      </w:r>
      <w:r>
        <w:rPr>
          <w:spacing w:val="-65"/>
        </w:rPr>
      </w:r>
      <w:r>
        <w:rPr>
          <w:spacing w:val="-2"/>
        </w:rPr>
        <w:t>设计、项目运营、前沿技术等方向开展培训工作，通过内外训相结合的方式，举办物联网、人工智能、大数据有关技术系列</w:t>
      </w:r>
      <w:r>
        <w:rPr>
          <w:spacing w:val="-69"/>
        </w:rPr>
        <w:t> </w:t>
      </w:r>
      <w:r>
        <w:rPr>
          <w:spacing w:val="-69"/>
        </w:rPr>
      </w:r>
      <w:r>
        <w:rPr/>
        <w:t>专场培训。为了加强人才梯队建设，完善</w:t>
      </w:r>
      <w:r>
        <w:rPr>
          <w:rFonts w:ascii="Times New Roman" w:hAnsi="Times New Roman" w:cs="Times New Roman" w:eastAsia="Times New Roman" w:hint="default"/>
        </w:rPr>
        <w:t>HIPO</w:t>
      </w:r>
      <w:r>
        <w:rPr/>
        <w:t>计划（高潜力人才计划），针对新入职员工及实习生，公司采取内部培养、</w:t>
      </w:r>
      <w:r>
        <w:rPr>
          <w:spacing w:val="-56"/>
        </w:rPr>
        <w:t> </w:t>
      </w:r>
      <w:r>
        <w:rPr>
          <w:spacing w:val="-56"/>
        </w:rPr>
      </w:r>
      <w:r>
        <w:rPr>
          <w:spacing w:val="-5"/>
        </w:rPr>
        <w:t>校企合作等多种方式，通过职业发展规划、推行导师制、考核与约束等措施，加速潜力员工成长，加强公司后备力量。后续，</w:t>
      </w:r>
      <w:r>
        <w:rPr>
          <w:spacing w:val="-81"/>
        </w:rPr>
        <w:t> </w:t>
      </w:r>
      <w:r>
        <w:rPr>
          <w:spacing w:val="-81"/>
        </w:rPr>
      </w:r>
      <w:r>
        <w:rPr/>
        <w:t>公司将依据实际情况不断丰富课程内容，创新培训解决方案，完善培训体系建设。</w:t>
      </w:r>
    </w:p>
    <w:p>
      <w:pPr>
        <w:pStyle w:val="Heading3"/>
        <w:spacing w:line="240" w:lineRule="auto" w:before="39"/>
        <w:ind w:left="134" w:right="7680"/>
        <w:jc w:val="left"/>
        <w:rPr>
          <w:b w:val="0"/>
          <w:bCs w:val="0"/>
        </w:rPr>
      </w:pPr>
      <w:bookmarkStart w:name="4、劳务外包情况" w:id="139"/>
      <w:bookmarkEnd w:id="139"/>
      <w:r>
        <w:rPr>
          <w:b w:val="0"/>
          <w:bCs w:val="0"/>
        </w:rPr>
      </w:r>
      <w:r>
        <w:rPr>
          <w:rFonts w:ascii="Times New Roman" w:hAnsi="Times New Roman" w:cs="Times New Roman" w:eastAsia="Times New Roman" w:hint="default"/>
        </w:rPr>
        <w:t>4</w:t>
      </w:r>
      <w:r>
        <w:rPr/>
        <w:t>、劳务外包情况</w:t>
      </w:r>
      <w:r>
        <w:rPr>
          <w:b w:val="0"/>
          <w:bCs w:val="0"/>
        </w:rPr>
      </w:r>
    </w:p>
    <w:p>
      <w:pPr>
        <w:spacing w:line="240" w:lineRule="auto" w:before="6"/>
        <w:rPr>
          <w:rFonts w:ascii="宋体" w:hAnsi="宋体" w:cs="宋体" w:eastAsia="宋体" w:hint="default"/>
          <w:b/>
          <w:bCs/>
          <w:sz w:val="15"/>
          <w:szCs w:val="15"/>
        </w:rPr>
      </w:pPr>
    </w:p>
    <w:p>
      <w:pPr>
        <w:spacing w:before="0"/>
        <w:ind w:left="134" w:right="7680" w:firstLine="0"/>
        <w:jc w:val="left"/>
        <w:rPr>
          <w:rFonts w:ascii="宋体" w:hAnsi="宋体" w:cs="宋体" w:eastAsia="宋体" w:hint="default"/>
          <w:sz w:val="18"/>
          <w:szCs w:val="18"/>
        </w:rPr>
      </w:pPr>
      <w:r>
        <w:rPr>
          <w:rFonts w:ascii="宋体" w:hAnsi="宋体" w:cs="宋体" w:eastAsia="宋体" w:hint="default"/>
          <w:b/>
          <w:bCs/>
          <w:sz w:val="18"/>
          <w:szCs w:val="18"/>
        </w:rPr>
        <w:t>√ 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9"/>
          <w:szCs w:val="9"/>
        </w:rPr>
      </w:pPr>
    </w:p>
    <w:tbl>
      <w:tblPr>
        <w:tblW w:w="0" w:type="auto"/>
        <w:jc w:val="left"/>
        <w:tblInd w:w="12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劳务外包的工时总数（小时）</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154,826.00</w:t>
            </w:r>
          </w:p>
        </w:tc>
      </w:tr>
      <w:tr>
        <w:trPr>
          <w:trHeight w:val="403"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劳务外包支付的报酬总额（元）</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15,518,617.00</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1000" w:right="0"/>
        </w:sectPr>
      </w:pPr>
    </w:p>
    <w:p>
      <w:pPr>
        <w:spacing w:line="240" w:lineRule="auto" w:before="7"/>
        <w:rPr>
          <w:rFonts w:ascii="宋体" w:hAnsi="宋体" w:cs="宋体" w:eastAsia="宋体" w:hint="default"/>
          <w:sz w:val="3"/>
          <w:szCs w:val="3"/>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pStyle w:val="Heading1"/>
        <w:spacing w:line="240" w:lineRule="auto"/>
        <w:ind w:right="979"/>
        <w:jc w:val="center"/>
        <w:rPr>
          <w:b w:val="0"/>
          <w:bCs w:val="0"/>
        </w:rPr>
      </w:pPr>
      <w:bookmarkStart w:name="第九节公司治理" w:id="140"/>
      <w:bookmarkEnd w:id="140"/>
      <w:r>
        <w:rPr>
          <w:b w:val="0"/>
          <w:bCs w:val="0"/>
        </w:rPr>
      </w:r>
      <w:bookmarkStart w:name="_bookmark8" w:id="141"/>
      <w:bookmarkEnd w:id="141"/>
      <w:r>
        <w:rPr>
          <w:b w:val="0"/>
          <w:bCs w:val="0"/>
        </w:rPr>
      </w:r>
      <w:r>
        <w:rPr/>
        <w:t>第九节公司治理</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7"/>
          <w:szCs w:val="17"/>
        </w:rPr>
      </w:pPr>
    </w:p>
    <w:p>
      <w:pPr>
        <w:pStyle w:val="Heading2"/>
        <w:spacing w:line="240" w:lineRule="auto" w:before="26"/>
        <w:ind w:right="0"/>
        <w:jc w:val="both"/>
        <w:rPr>
          <w:b w:val="0"/>
          <w:bCs w:val="0"/>
        </w:rPr>
      </w:pPr>
      <w:bookmarkStart w:name="一、公司治理的基本状况" w:id="142"/>
      <w:bookmarkEnd w:id="142"/>
      <w:r>
        <w:rPr>
          <w:b w:val="0"/>
          <w:bCs w:val="0"/>
        </w:rPr>
      </w:r>
      <w:r>
        <w:rPr/>
        <w:t>一、公司治理的基本状况</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1130" w:firstLine="360"/>
        <w:jc w:val="both"/>
      </w:pPr>
      <w:r>
        <w:rPr>
          <w:spacing w:val="-2"/>
        </w:rPr>
        <w:t>公司严格按照《公司法》、《证券法》、《上市公司治理准则》、《深圳证券交易所创业板股票上市规则》、《深圳证</w:t>
      </w:r>
      <w:r>
        <w:rPr/>
        <w:t> </w:t>
      </w:r>
      <w:r>
        <w:rPr>
          <w:spacing w:val="-2"/>
        </w:rPr>
        <w:t>券交易所创业板上市公司规范运作指引》及中国证监会有关法律法规等的要求，确立了股东大会、董事会、监事会及经营管</w:t>
      </w:r>
      <w:r>
        <w:rPr>
          <w:spacing w:val="-66"/>
        </w:rPr>
        <w:t> </w:t>
      </w:r>
      <w:r>
        <w:rPr>
          <w:spacing w:val="-66"/>
        </w:rPr>
      </w:r>
      <w:r>
        <w:rPr>
          <w:spacing w:val="-2"/>
        </w:rPr>
        <w:t>理层的分层治理结构，并在公司董事会下设立了战略、审计、提名、薪酬与考核等专门委员会。报告期内，公司不断完善法</w:t>
      </w:r>
      <w:r>
        <w:rPr>
          <w:spacing w:val="-67"/>
        </w:rPr>
        <w:t> </w:t>
      </w:r>
      <w:r>
        <w:rPr>
          <w:spacing w:val="-67"/>
        </w:rPr>
      </w:r>
      <w:r>
        <w:rPr>
          <w:spacing w:val="-2"/>
        </w:rPr>
        <w:t>人治理结构，提高公司治理水平，建立健全各项内部管控制度，规范公司日常经营和整体运作，严格按照相关规定对公司重</w:t>
      </w:r>
      <w:r>
        <w:rPr>
          <w:spacing w:val="-66"/>
        </w:rPr>
        <w:t> </w:t>
      </w:r>
      <w:r>
        <w:rPr>
          <w:spacing w:val="-66"/>
        </w:rPr>
      </w:r>
      <w:r>
        <w:rPr/>
        <w:t>大事项进行信息披露，确保真实、准确、完整、及时、公平披露原则，有效保护广大投资者利益。</w:t>
      </w:r>
    </w:p>
    <w:p>
      <w:pPr>
        <w:pStyle w:val="BodyText"/>
        <w:spacing w:line="463" w:lineRule="auto" w:before="54"/>
        <w:ind w:right="1032" w:firstLine="360"/>
        <w:jc w:val="left"/>
      </w:pPr>
      <w:r>
        <w:rPr>
          <w:spacing w:val="-2"/>
        </w:rPr>
        <w:t>截至</w:t>
      </w:r>
      <w:r>
        <w:rPr>
          <w:rFonts w:ascii="Times New Roman" w:hAnsi="Times New Roman" w:cs="Times New Roman" w:eastAsia="Times New Roman" w:hint="default"/>
          <w:spacing w:val="-2"/>
        </w:rPr>
        <w:t>2018</w:t>
      </w:r>
      <w:r>
        <w:rPr>
          <w:spacing w:val="-2"/>
        </w:rPr>
        <w:t>年末，公司实际治理状况符合《上市公司治理准则》和《深圳证券交易所创业板上市公司规范运作指引》的要</w:t>
      </w:r>
      <w:r>
        <w:rPr/>
        <w:t> 求，重大生产经营决策、投资决策及财务决策均按照《公司章程》及有关内控制度的规定执行，相关机构和人员依法运作、</w:t>
      </w:r>
      <w:r>
        <w:rPr>
          <w:spacing w:val="-85"/>
        </w:rPr>
        <w:t> </w:t>
      </w:r>
      <w:r>
        <w:rPr>
          <w:spacing w:val="-85"/>
        </w:rPr>
      </w:r>
      <w:r>
        <w:rPr/>
        <w:t>尽职尽责，未出现违法、违规现象。</w:t>
      </w:r>
    </w:p>
    <w:p>
      <w:pPr>
        <w:pStyle w:val="BodyText"/>
        <w:spacing w:line="451" w:lineRule="auto" w:before="65"/>
        <w:ind w:left="514" w:right="0" w:firstLine="1"/>
        <w:jc w:val="left"/>
      </w:pPr>
      <w:r>
        <w:rPr>
          <w:rFonts w:ascii="Times New Roman" w:hAnsi="Times New Roman" w:cs="Times New Roman" w:eastAsia="Times New Roman" w:hint="default"/>
          <w:b/>
          <w:bCs/>
        </w:rPr>
        <w:t>1</w:t>
      </w:r>
      <w:r>
        <w:rPr>
          <w:rFonts w:ascii="宋体" w:hAnsi="宋体" w:cs="宋体" w:eastAsia="宋体" w:hint="default"/>
          <w:b/>
          <w:bCs/>
        </w:rPr>
        <w:t>、股东与股东大会</w:t>
      </w:r>
      <w:r>
        <w:rPr>
          <w:rFonts w:ascii="宋体" w:hAnsi="宋体" w:cs="宋体" w:eastAsia="宋体" w:hint="default"/>
          <w:b/>
          <w:bCs/>
          <w:w w:val="99"/>
        </w:rPr>
        <w:t> </w:t>
      </w:r>
      <w:r>
        <w:rPr>
          <w:spacing w:val="-6"/>
        </w:rPr>
        <w:t>公司严格按照《上市公司股东大会规则》、《公司章程》、《股东大会议事规则》等规定的要求，召集、召开股东大会，</w:t>
      </w:r>
    </w:p>
    <w:p>
      <w:pPr>
        <w:pStyle w:val="BodyText"/>
        <w:spacing w:line="477" w:lineRule="auto" w:before="74"/>
        <w:ind w:right="1131"/>
        <w:jc w:val="both"/>
      </w:pPr>
      <w:r>
        <w:rPr>
          <w:spacing w:val="-2"/>
        </w:rPr>
        <w:t>并为股东参加会议提供便利，使其充分行使股东权利。公司股东大会在审议每项议案过程中设有议事程序，能够平等对待所</w:t>
      </w:r>
      <w:r>
        <w:rPr>
          <w:spacing w:val="-66"/>
        </w:rPr>
        <w:t> </w:t>
      </w:r>
      <w:r>
        <w:rPr>
          <w:spacing w:val="-66"/>
        </w:rPr>
      </w:r>
      <w:r>
        <w:rPr>
          <w:spacing w:val="-2"/>
        </w:rPr>
        <w:t>有股东，就股东的质询作出解释和说明，听取股东的建议与意见，保证了中小股东的话语权，并通过聘请律师出席见证保证</w:t>
      </w:r>
      <w:r>
        <w:rPr>
          <w:spacing w:val="-66"/>
        </w:rPr>
        <w:t> </w:t>
      </w:r>
      <w:r>
        <w:rPr>
          <w:spacing w:val="-66"/>
        </w:rPr>
      </w:r>
      <w:r>
        <w:rPr/>
        <w:t>了会议的召集、召开和表决程序的合法性。</w:t>
      </w:r>
    </w:p>
    <w:p>
      <w:pPr>
        <w:pStyle w:val="BodyText"/>
        <w:spacing w:line="451" w:lineRule="auto" w:before="54"/>
        <w:ind w:left="514" w:right="0" w:firstLine="1"/>
        <w:jc w:val="left"/>
      </w:pPr>
      <w:r>
        <w:rPr>
          <w:rFonts w:ascii="Times New Roman" w:hAnsi="Times New Roman" w:cs="Times New Roman" w:eastAsia="Times New Roman" w:hint="default"/>
          <w:b/>
          <w:bCs/>
        </w:rPr>
        <w:t>2</w:t>
      </w:r>
      <w:r>
        <w:rPr>
          <w:rFonts w:ascii="宋体" w:hAnsi="宋体" w:cs="宋体" w:eastAsia="宋体" w:hint="default"/>
          <w:b/>
          <w:bCs/>
        </w:rPr>
        <w:t>、控股股东与上市公司</w:t>
      </w:r>
      <w:r>
        <w:rPr>
          <w:rFonts w:ascii="宋体" w:hAnsi="宋体" w:cs="宋体" w:eastAsia="宋体" w:hint="default"/>
          <w:b/>
          <w:bCs/>
          <w:w w:val="99"/>
        </w:rPr>
        <w:t> </w:t>
      </w:r>
      <w:r>
        <w:rPr>
          <w:spacing w:val="-2"/>
        </w:rPr>
        <w:t>公司严格按照《公司法》、《证券法》、《公司章程》及证券监管部门的有关规定正确处理与控股股东的关系。公司控</w:t>
      </w:r>
    </w:p>
    <w:p>
      <w:pPr>
        <w:pStyle w:val="BodyText"/>
        <w:spacing w:line="477" w:lineRule="auto" w:before="74"/>
        <w:ind w:right="1132"/>
        <w:jc w:val="both"/>
      </w:pPr>
      <w:r>
        <w:rPr>
          <w:spacing w:val="-2"/>
        </w:rPr>
        <w:t>股股东严格规范自身行为，依法行使其权利并承担相应义务，没有超越股东大会直接或间接干预本公司的决策和生产经营活</w:t>
      </w:r>
      <w:r>
        <w:rPr>
          <w:spacing w:val="-64"/>
        </w:rPr>
        <w:t> </w:t>
      </w:r>
      <w:r>
        <w:rPr>
          <w:spacing w:val="-64"/>
        </w:rPr>
      </w:r>
      <w:r>
        <w:rPr>
          <w:spacing w:val="-2"/>
        </w:rPr>
        <w:t>动。公司拥有独立完整的业务和自主经营能力，董事会、监事会和其他内部机构独立运作。报告期内，未发生超越股东大会</w:t>
      </w:r>
      <w:r>
        <w:rPr>
          <w:spacing w:val="-66"/>
        </w:rPr>
        <w:t> </w:t>
      </w:r>
      <w:r>
        <w:rPr>
          <w:spacing w:val="-66"/>
        </w:rPr>
      </w:r>
      <w:r>
        <w:rPr/>
        <w:t>和董事会的授权权限，直接或间接干预公司决策和经营活动及利用其控制地位侵害其他股东利益的行为出现。</w:t>
      </w:r>
    </w:p>
    <w:p>
      <w:pPr>
        <w:pStyle w:val="BodyText"/>
        <w:spacing w:line="451" w:lineRule="auto" w:before="54"/>
        <w:ind w:left="514" w:right="1122" w:firstLine="1"/>
        <w:jc w:val="left"/>
      </w:pPr>
      <w:r>
        <w:rPr>
          <w:rFonts w:ascii="Times New Roman" w:hAnsi="Times New Roman" w:cs="Times New Roman" w:eastAsia="Times New Roman" w:hint="default"/>
          <w:b/>
          <w:bCs/>
        </w:rPr>
        <w:t>3</w:t>
      </w:r>
      <w:r>
        <w:rPr>
          <w:rFonts w:ascii="宋体" w:hAnsi="宋体" w:cs="宋体" w:eastAsia="宋体" w:hint="default"/>
          <w:b/>
          <w:bCs/>
        </w:rPr>
        <w:t>、董事和董事会</w:t>
      </w:r>
      <w:r>
        <w:rPr>
          <w:rFonts w:ascii="宋体" w:hAnsi="宋体" w:cs="宋体" w:eastAsia="宋体" w:hint="default"/>
          <w:b/>
          <w:bCs/>
          <w:w w:val="99"/>
        </w:rPr>
        <w:t> </w:t>
      </w:r>
      <w:r>
        <w:rPr/>
        <w:t>公司董事会设董事</w:t>
      </w:r>
      <w:r>
        <w:rPr>
          <w:rFonts w:ascii="Times New Roman" w:hAnsi="Times New Roman" w:cs="Times New Roman" w:eastAsia="Times New Roman" w:hint="default"/>
        </w:rPr>
        <w:t>11</w:t>
      </w:r>
      <w:r>
        <w:rPr/>
        <w:t>名，其中独立董事</w:t>
      </w:r>
      <w:r>
        <w:rPr>
          <w:rFonts w:ascii="Times New Roman" w:hAnsi="Times New Roman" w:cs="Times New Roman" w:eastAsia="Times New Roman" w:hint="default"/>
        </w:rPr>
        <w:t>4</w:t>
      </w:r>
      <w:r>
        <w:rPr/>
        <w:t>名，董事会的人数及人员构成符合法律、法规和《公司章程》的要求。任职期</w:t>
      </w:r>
    </w:p>
    <w:p>
      <w:pPr>
        <w:pStyle w:val="BodyText"/>
        <w:spacing w:line="477" w:lineRule="auto" w:before="43"/>
        <w:ind w:right="1130"/>
        <w:jc w:val="both"/>
      </w:pPr>
      <w:r>
        <w:rPr>
          <w:spacing w:val="-2"/>
        </w:rPr>
        <w:t>间，公司全体董事勤勉尽责开展工作，持续关注公司经营状况，主动参加相关培训，提高规范运作水平；积极参加董事会会</w:t>
      </w:r>
      <w:r>
        <w:rPr>
          <w:spacing w:val="-66"/>
        </w:rPr>
        <w:t> </w:t>
      </w:r>
      <w:r>
        <w:rPr>
          <w:spacing w:val="-66"/>
        </w:rPr>
      </w:r>
      <w:r>
        <w:rPr>
          <w:spacing w:val="-2"/>
        </w:rPr>
        <w:t>议，充分发挥各自的专业特长，审慎决策，维护公司和广大股东的利益。公司董事会会议的召集、召开等程序均符合相关规</w:t>
      </w:r>
      <w:r>
        <w:rPr>
          <w:spacing w:val="-66"/>
        </w:rPr>
        <w:t> </w:t>
      </w:r>
      <w:r>
        <w:rPr>
          <w:spacing w:val="-66"/>
        </w:rPr>
      </w:r>
      <w:r>
        <w:rPr>
          <w:spacing w:val="-2"/>
        </w:rPr>
        <w:t>定的要求；历次董事会会议记录内容真实、准确、完整，保存安全；会议决议做到充分准确且及时披露。董事会下设战略委</w:t>
      </w:r>
      <w:r>
        <w:rPr>
          <w:spacing w:val="-67"/>
        </w:rPr>
        <w:t> </w:t>
      </w:r>
      <w:r>
        <w:rPr>
          <w:spacing w:val="-67"/>
        </w:rPr>
      </w:r>
      <w:r>
        <w:rPr/>
        <w:t>员会、审计委员会、薪酬与考核委员会、提名委员会。</w:t>
      </w:r>
    </w:p>
    <w:p>
      <w:pPr>
        <w:pStyle w:val="Heading5"/>
        <w:spacing w:line="240" w:lineRule="auto" w:before="54"/>
        <w:ind w:left="515" w:right="0"/>
        <w:jc w:val="left"/>
        <w:rPr>
          <w:b w:val="0"/>
          <w:bCs w:val="0"/>
        </w:rPr>
      </w:pPr>
      <w:r>
        <w:rPr>
          <w:rFonts w:ascii="Times New Roman" w:hAnsi="Times New Roman" w:cs="Times New Roman" w:eastAsia="Times New Roman" w:hint="default"/>
        </w:rPr>
        <w:t>4</w:t>
      </w:r>
      <w:r>
        <w:rPr/>
        <w:t>、监事和监事会</w:t>
      </w:r>
      <w:r>
        <w:rPr>
          <w:b w:val="0"/>
          <w:bCs w:val="0"/>
        </w:rPr>
      </w:r>
    </w:p>
    <w:p>
      <w:pPr>
        <w:spacing w:after="0" w:line="240" w:lineRule="auto"/>
        <w:jc w:val="left"/>
        <w:sectPr>
          <w:pgSz w:w="11910" w:h="16840"/>
          <w:pgMar w:header="851" w:footer="979" w:top="1400" w:bottom="1160" w:left="980" w:right="0"/>
        </w:sectPr>
      </w:pPr>
    </w:p>
    <w:p>
      <w:pPr>
        <w:spacing w:line="240" w:lineRule="auto" w:before="1"/>
        <w:rPr>
          <w:rFonts w:ascii="宋体" w:hAnsi="宋体" w:cs="宋体" w:eastAsia="宋体" w:hint="default"/>
          <w:b/>
          <w:bCs/>
          <w:sz w:val="8"/>
          <w:szCs w:val="8"/>
        </w:rPr>
      </w:pPr>
    </w:p>
    <w:p>
      <w:pPr>
        <w:pStyle w:val="BodyText"/>
        <w:spacing w:line="463" w:lineRule="auto" w:before="44"/>
        <w:ind w:right="1130" w:firstLine="360"/>
        <w:jc w:val="both"/>
      </w:pPr>
      <w:r>
        <w:rPr>
          <w:spacing w:val="-2"/>
        </w:rPr>
        <w:t>公司监事会设监事</w:t>
      </w:r>
      <w:r>
        <w:rPr>
          <w:rFonts w:ascii="Times New Roman" w:hAnsi="Times New Roman" w:cs="Times New Roman" w:eastAsia="Times New Roman" w:hint="default"/>
          <w:spacing w:val="-2"/>
        </w:rPr>
        <w:t>3</w:t>
      </w:r>
      <w:r>
        <w:rPr>
          <w:spacing w:val="-2"/>
        </w:rPr>
        <w:t>名，其中职工监事</w:t>
      </w:r>
      <w:r>
        <w:rPr>
          <w:rFonts w:ascii="Times New Roman" w:hAnsi="Times New Roman" w:cs="Times New Roman" w:eastAsia="Times New Roman" w:hint="default"/>
          <w:spacing w:val="-2"/>
        </w:rPr>
        <w:t>1</w:t>
      </w:r>
      <w:r>
        <w:rPr>
          <w:spacing w:val="-2"/>
        </w:rPr>
        <w:t>名，监事会的人数和构成符合法律、法规的要求。公司监事能够按照《监事会议</w:t>
      </w:r>
      <w:r>
        <w:rPr/>
        <w:t> </w:t>
      </w:r>
      <w:r>
        <w:rPr>
          <w:spacing w:val="-2"/>
        </w:rPr>
        <w:t>事规则》的要求，认真履行自己的职责，对公司重大事项、关联交易、财务状况以及董事、高管人员履行职责的合法合规性</w:t>
      </w:r>
      <w:r>
        <w:rPr>
          <w:spacing w:val="-68"/>
        </w:rPr>
        <w:t> </w:t>
      </w:r>
      <w:r>
        <w:rPr>
          <w:spacing w:val="-68"/>
        </w:rPr>
      </w:r>
      <w:r>
        <w:rPr/>
        <w:t>进行监督。</w:t>
      </w:r>
    </w:p>
    <w:p>
      <w:pPr>
        <w:spacing w:line="451" w:lineRule="auto" w:before="65"/>
        <w:ind w:left="514"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5</w:t>
      </w:r>
      <w:r>
        <w:rPr>
          <w:rFonts w:ascii="宋体" w:hAnsi="宋体" w:cs="宋体" w:eastAsia="宋体" w:hint="default"/>
          <w:b/>
          <w:bCs/>
          <w:sz w:val="18"/>
          <w:szCs w:val="18"/>
        </w:rPr>
        <w:t>、绩效评价与激励约束机制</w:t>
      </w:r>
      <w:r>
        <w:rPr>
          <w:rFonts w:ascii="宋体" w:hAnsi="宋体" w:cs="宋体" w:eastAsia="宋体" w:hint="default"/>
          <w:b/>
          <w:bCs/>
          <w:w w:val="99"/>
          <w:sz w:val="18"/>
          <w:szCs w:val="18"/>
        </w:rPr>
        <w:t> </w:t>
      </w:r>
      <w:r>
        <w:rPr>
          <w:rFonts w:ascii="宋体" w:hAnsi="宋体" w:cs="宋体" w:eastAsia="宋体" w:hint="default"/>
          <w:spacing w:val="-2"/>
          <w:sz w:val="18"/>
          <w:szCs w:val="18"/>
        </w:rPr>
        <w:t>公司已建立企业绩效评价激励体系，并在报告期内不断完善。董事、监事和高级管理人员的绩效评价标准和激励约束机</w:t>
      </w:r>
    </w:p>
    <w:p>
      <w:pPr>
        <w:pStyle w:val="BodyText"/>
        <w:spacing w:line="240" w:lineRule="auto" w:before="74"/>
        <w:ind w:right="0"/>
        <w:jc w:val="both"/>
      </w:pPr>
      <w:r>
        <w:rPr/>
        <w:t>制公开、透明，符合法律、法规的规定。</w:t>
      </w:r>
    </w:p>
    <w:p>
      <w:pPr>
        <w:spacing w:line="240" w:lineRule="auto" w:before="10"/>
        <w:rPr>
          <w:rFonts w:ascii="宋体" w:hAnsi="宋体" w:cs="宋体" w:eastAsia="宋体" w:hint="default"/>
          <w:sz w:val="17"/>
          <w:szCs w:val="17"/>
        </w:rPr>
      </w:pPr>
    </w:p>
    <w:p>
      <w:pPr>
        <w:pStyle w:val="BodyText"/>
        <w:spacing w:line="451" w:lineRule="auto"/>
        <w:ind w:left="514" w:right="0" w:firstLine="1"/>
        <w:jc w:val="left"/>
      </w:pPr>
      <w:r>
        <w:rPr>
          <w:rFonts w:ascii="Times New Roman" w:hAnsi="Times New Roman" w:cs="Times New Roman" w:eastAsia="Times New Roman" w:hint="default"/>
          <w:b/>
          <w:bCs/>
        </w:rPr>
        <w:t>6</w:t>
      </w:r>
      <w:r>
        <w:rPr>
          <w:rFonts w:ascii="宋体" w:hAnsi="宋体" w:cs="宋体" w:eastAsia="宋体" w:hint="default"/>
          <w:b/>
          <w:bCs/>
        </w:rPr>
        <w:t>、关于信息披露与透明度</w:t>
      </w:r>
      <w:r>
        <w:rPr>
          <w:rFonts w:ascii="宋体" w:hAnsi="宋体" w:cs="宋体" w:eastAsia="宋体" w:hint="default"/>
          <w:b/>
          <w:bCs/>
          <w:w w:val="99"/>
        </w:rPr>
        <w:t> </w:t>
      </w:r>
      <w:r>
        <w:rPr>
          <w:spacing w:val="-2"/>
        </w:rPr>
        <w:t>公司严格按照有关法律法规以及《信息披露制度》、《投资者关系管理制度》等的要求，真实、准确、完整、及时、公</w:t>
      </w:r>
    </w:p>
    <w:p>
      <w:pPr>
        <w:pStyle w:val="BodyText"/>
        <w:spacing w:line="477" w:lineRule="auto" w:before="74"/>
        <w:ind w:right="1130"/>
        <w:jc w:val="both"/>
      </w:pPr>
      <w:r>
        <w:rPr>
          <w:spacing w:val="-2"/>
        </w:rPr>
        <w:t>平地披露有关信息；并指定公司董事会秘书负责信息披露工作，协调公司与投资者的关系，接待投资者来访调研，回答投资</w:t>
      </w:r>
      <w:r>
        <w:rPr>
          <w:spacing w:val="-65"/>
        </w:rPr>
        <w:t> </w:t>
      </w:r>
      <w:r>
        <w:rPr>
          <w:spacing w:val="-65"/>
        </w:rPr>
      </w:r>
      <w:r>
        <w:rPr>
          <w:spacing w:val="-2"/>
        </w:rPr>
        <w:t>者咨询；并指定《证券日报》以及巨潮资讯网为公司信息披露的指定报纸和网站，确保公司所有投资者能够以平等的机会获</w:t>
      </w:r>
      <w:r>
        <w:rPr>
          <w:spacing w:val="-66"/>
        </w:rPr>
        <w:t> </w:t>
      </w:r>
      <w:r>
        <w:rPr>
          <w:spacing w:val="-66"/>
        </w:rPr>
      </w:r>
      <w:r>
        <w:rPr/>
        <w:t>得信息。</w:t>
      </w:r>
    </w:p>
    <w:p>
      <w:pPr>
        <w:pStyle w:val="BodyText"/>
        <w:spacing w:line="451" w:lineRule="auto" w:before="54"/>
        <w:ind w:left="514" w:right="0" w:firstLine="1"/>
        <w:jc w:val="left"/>
      </w:pPr>
      <w:r>
        <w:rPr>
          <w:rFonts w:ascii="Times New Roman" w:hAnsi="Times New Roman" w:cs="Times New Roman" w:eastAsia="Times New Roman" w:hint="default"/>
          <w:b/>
          <w:bCs/>
        </w:rPr>
        <w:t>7</w:t>
      </w:r>
      <w:r>
        <w:rPr>
          <w:rFonts w:ascii="宋体" w:hAnsi="宋体" w:cs="宋体" w:eastAsia="宋体" w:hint="default"/>
          <w:b/>
          <w:bCs/>
        </w:rPr>
        <w:t>、关于相关利益者</w:t>
      </w:r>
      <w:r>
        <w:rPr>
          <w:rFonts w:ascii="宋体" w:hAnsi="宋体" w:cs="宋体" w:eastAsia="宋体" w:hint="default"/>
          <w:b/>
          <w:bCs/>
          <w:w w:val="99"/>
        </w:rPr>
        <w:t> </w:t>
      </w:r>
      <w:r>
        <w:rPr>
          <w:spacing w:val="-2"/>
        </w:rPr>
        <w:t>公司充分尊重和维护相关利益者的合法权益，实现社会、股东、公司、员工等各方面利益的协调平衡，诚信对待供应商</w:t>
      </w:r>
    </w:p>
    <w:p>
      <w:pPr>
        <w:pStyle w:val="BodyText"/>
        <w:spacing w:line="240" w:lineRule="auto" w:before="74"/>
        <w:ind w:right="0"/>
        <w:jc w:val="both"/>
      </w:pPr>
      <w:r>
        <w:rPr/>
        <w:t>和客户，坚持与相关利益者互利共赢的原则，共同推动公司持续、稳健发展。</w:t>
      </w:r>
    </w:p>
    <w:p>
      <w:pPr>
        <w:spacing w:line="240" w:lineRule="auto" w:before="10"/>
        <w:rPr>
          <w:rFonts w:ascii="宋体" w:hAnsi="宋体" w:cs="宋体" w:eastAsia="宋体" w:hint="default"/>
          <w:sz w:val="17"/>
          <w:szCs w:val="17"/>
        </w:rPr>
      </w:pPr>
    </w:p>
    <w:p>
      <w:pPr>
        <w:pStyle w:val="BodyText"/>
        <w:spacing w:line="451" w:lineRule="auto"/>
        <w:ind w:left="514" w:right="0" w:firstLine="1"/>
        <w:jc w:val="left"/>
      </w:pPr>
      <w:r>
        <w:rPr>
          <w:rFonts w:ascii="Times New Roman" w:hAnsi="Times New Roman" w:cs="Times New Roman" w:eastAsia="Times New Roman" w:hint="default"/>
          <w:b/>
          <w:bCs/>
        </w:rPr>
        <w:t>8</w:t>
      </w:r>
      <w:r>
        <w:rPr>
          <w:rFonts w:ascii="宋体" w:hAnsi="宋体" w:cs="宋体" w:eastAsia="宋体" w:hint="default"/>
          <w:b/>
          <w:bCs/>
        </w:rPr>
        <w:t>、关于内部审计体系</w:t>
      </w:r>
      <w:r>
        <w:rPr>
          <w:rFonts w:ascii="宋体" w:hAnsi="宋体" w:cs="宋体" w:eastAsia="宋体" w:hint="default"/>
          <w:b/>
          <w:bCs/>
          <w:w w:val="99"/>
        </w:rPr>
        <w:t> </w:t>
      </w:r>
      <w:r>
        <w:rPr>
          <w:spacing w:val="-2"/>
        </w:rPr>
        <w:t>公司董事会下设审计委员会，主要负责公司内部审计与外部审计之间进行沟通，并监督公司内部审计制度的实施，审查</w:t>
      </w:r>
    </w:p>
    <w:p>
      <w:pPr>
        <w:pStyle w:val="BodyText"/>
        <w:spacing w:line="477" w:lineRule="auto" w:before="74"/>
        <w:ind w:right="1132"/>
        <w:jc w:val="both"/>
      </w:pPr>
      <w:r>
        <w:rPr>
          <w:spacing w:val="-2"/>
        </w:rPr>
        <w:t>公司内部控制制度的执行情况，审查公司的财务信息及披露正常等。审计委员会下设独立的内审部，内审部直接对审计委员</w:t>
      </w:r>
      <w:r>
        <w:rPr>
          <w:spacing w:val="-66"/>
        </w:rPr>
        <w:t> </w:t>
      </w:r>
      <w:r>
        <w:rPr>
          <w:spacing w:val="-66"/>
        </w:rPr>
      </w:r>
      <w:r>
        <w:rPr>
          <w:spacing w:val="-2"/>
        </w:rPr>
        <w:t>会负责及报告工作。公司严格根据《公司法》、《证券法》、《企业内部控制基本规范》等有关法律、法规和规章制度，结</w:t>
      </w:r>
      <w:r>
        <w:rPr>
          <w:spacing w:val="-72"/>
        </w:rPr>
        <w:t> </w:t>
      </w:r>
      <w:r>
        <w:rPr>
          <w:spacing w:val="-72"/>
        </w:rPr>
      </w:r>
      <w:r>
        <w:rPr>
          <w:spacing w:val="-2"/>
        </w:rPr>
        <w:t>合公司的实际情况、自身特点和管理需要，制定了贯穿于公司生产经营各层面、各环节的内部控制体系，规范经营，控制风</w:t>
      </w:r>
      <w:r>
        <w:rPr>
          <w:spacing w:val="-66"/>
        </w:rPr>
        <w:t> </w:t>
      </w:r>
      <w:r>
        <w:rPr>
          <w:spacing w:val="-66"/>
        </w:rPr>
      </w:r>
      <w:r>
        <w:rPr/>
        <w:t>险。</w:t>
      </w:r>
    </w:p>
    <w:p>
      <w:pPr>
        <w:pStyle w:val="Heading5"/>
        <w:spacing w:line="240" w:lineRule="auto" w:before="54"/>
        <w:ind w:right="0"/>
        <w:jc w:val="both"/>
        <w:rPr>
          <w:b w:val="0"/>
          <w:bCs w:val="0"/>
        </w:rPr>
      </w:pPr>
      <w:r>
        <w:rPr/>
        <w:t>公司治理的实际状况与中国证监会发布的有关上市公司治理的规范性文件是否存在重大差异</w:t>
      </w:r>
      <w:r>
        <w:rPr>
          <w:b w:val="0"/>
          <w:bCs w:val="0"/>
        </w:rPr>
      </w:r>
    </w:p>
    <w:p>
      <w:pPr>
        <w:spacing w:line="240" w:lineRule="auto" w:before="12"/>
        <w:rPr>
          <w:rFonts w:ascii="宋体" w:hAnsi="宋体" w:cs="宋体" w:eastAsia="宋体" w:hint="default"/>
          <w:b/>
          <w:bCs/>
          <w:sz w:val="14"/>
          <w:szCs w:val="14"/>
        </w:rPr>
      </w:pPr>
    </w:p>
    <w:p>
      <w:pPr>
        <w:pStyle w:val="BodyText"/>
        <w:spacing w:line="412" w:lineRule="auto"/>
        <w:ind w:right="3552"/>
        <w:jc w:val="left"/>
      </w:pPr>
      <w:r>
        <w:rPr>
          <w:rFonts w:ascii="Times New Roman" w:hAnsi="Times New Roman" w:cs="Times New Roman" w:eastAsia="Times New Roman" w:hint="default"/>
        </w:rPr>
        <w:t>□ </w:t>
      </w:r>
      <w:r>
        <w:rPr/>
        <w:t>是 </w:t>
      </w:r>
      <w:r>
        <w:rPr>
          <w:rFonts w:ascii="宋体" w:hAnsi="宋体" w:cs="宋体" w:eastAsia="宋体" w:hint="default"/>
          <w:b/>
          <w:bCs/>
        </w:rPr>
        <w:t>√</w:t>
      </w:r>
      <w:r>
        <w:rPr>
          <w:rFonts w:ascii="宋体" w:hAnsi="宋体" w:cs="宋体" w:eastAsia="宋体" w:hint="default"/>
          <w:b/>
          <w:bCs/>
          <w:spacing w:val="-1"/>
        </w:rPr>
        <w:t> </w:t>
      </w:r>
      <w:r>
        <w:rPr>
          <w:rFonts w:ascii="宋体" w:hAnsi="宋体" w:cs="宋体" w:eastAsia="宋体" w:hint="default"/>
          <w:b/>
          <w:bCs/>
        </w:rPr>
        <w:t>否</w:t>
      </w:r>
      <w:r>
        <w:rPr>
          <w:rFonts w:ascii="宋体" w:hAnsi="宋体" w:cs="宋体" w:eastAsia="宋体" w:hint="default"/>
          <w:b/>
          <w:bCs/>
          <w:w w:val="99"/>
        </w:rPr>
        <w:t> </w:t>
      </w:r>
      <w:r>
        <w:rPr/>
        <w:t>公司治理的实际状况与中国证监会发布的有关上市公司治理的规范性文件不存在重大差异。</w:t>
      </w:r>
    </w:p>
    <w:p>
      <w:pPr>
        <w:spacing w:line="240" w:lineRule="auto" w:before="3"/>
        <w:rPr>
          <w:rFonts w:ascii="宋体" w:hAnsi="宋体" w:cs="宋体" w:eastAsia="宋体" w:hint="default"/>
          <w:sz w:val="21"/>
          <w:szCs w:val="21"/>
        </w:rPr>
      </w:pPr>
    </w:p>
    <w:p>
      <w:pPr>
        <w:pStyle w:val="Heading2"/>
        <w:spacing w:line="240" w:lineRule="auto"/>
        <w:ind w:right="0"/>
        <w:jc w:val="both"/>
        <w:rPr>
          <w:b w:val="0"/>
          <w:bCs w:val="0"/>
        </w:rPr>
      </w:pPr>
      <w:bookmarkStart w:name="二、公司相对于控股股东在业务、人员、资产、机构、财务等方面的独立情况" w:id="143"/>
      <w:bookmarkEnd w:id="143"/>
      <w:r>
        <w:rPr>
          <w:b w:val="0"/>
          <w:bCs w:val="0"/>
        </w:rPr>
      </w:r>
      <w:r>
        <w:rPr/>
        <w:t>二、公司相对于控股股东在业务、人员、资产、机构、财务等方面的独立情况</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1131" w:firstLine="360"/>
        <w:jc w:val="both"/>
      </w:pPr>
      <w:r>
        <w:rPr>
          <w:spacing w:val="-5"/>
        </w:rPr>
        <w:t>公司与控股股东实行了人员、资产、财务分开，机构、业务独立，各自独立核算、独立承担责任和风险，公司具有独立、</w:t>
      </w:r>
      <w:r>
        <w:rPr/>
        <w:t> 完整的业务和自主经营的能力。</w:t>
      </w:r>
    </w:p>
    <w:p>
      <w:pPr>
        <w:pStyle w:val="BodyText"/>
        <w:spacing w:line="240" w:lineRule="auto" w:before="54"/>
        <w:ind w:left="514" w:right="0"/>
        <w:jc w:val="left"/>
      </w:pPr>
      <w:r>
        <w:rPr>
          <w:rFonts w:ascii="Times New Roman" w:hAnsi="Times New Roman" w:cs="Times New Roman" w:eastAsia="Times New Roman" w:hint="default"/>
        </w:rPr>
        <w:t>1</w:t>
      </w:r>
      <w:r>
        <w:rPr/>
        <w:t>、业务方面：公司在业务方面完全独立于控股股东及其关联人，具有独立自主地开展生产经营活动的能力。</w:t>
      </w:r>
    </w:p>
    <w:p>
      <w:pPr>
        <w:spacing w:line="240" w:lineRule="auto" w:before="9"/>
        <w:rPr>
          <w:rFonts w:ascii="宋体" w:hAnsi="宋体" w:cs="宋体" w:eastAsia="宋体" w:hint="default"/>
          <w:sz w:val="16"/>
          <w:szCs w:val="16"/>
        </w:rPr>
      </w:pPr>
    </w:p>
    <w:p>
      <w:pPr>
        <w:pStyle w:val="BodyText"/>
        <w:spacing w:line="451" w:lineRule="auto"/>
        <w:ind w:right="1131" w:firstLine="360"/>
        <w:jc w:val="both"/>
      </w:pPr>
      <w:r>
        <w:rPr>
          <w:rFonts w:ascii="Times New Roman" w:hAnsi="Times New Roman" w:cs="Times New Roman" w:eastAsia="Times New Roman" w:hint="default"/>
        </w:rPr>
        <w:t>2</w:t>
      </w:r>
      <w:r>
        <w:rPr/>
        <w:t>、人员方面：公司设有独立的人力资源部，负责人力资源开发与管理，与控股股东在劳动、人事及工资管理等方面相 互独立。</w:t>
      </w:r>
    </w:p>
    <w:p>
      <w:pPr>
        <w:spacing w:after="0" w:line="451" w:lineRule="auto"/>
        <w:jc w:val="both"/>
        <w:sectPr>
          <w:pgSz w:w="11910" w:h="16840"/>
          <w:pgMar w:header="851" w:footer="979" w:top="1400" w:bottom="1160" w:left="980" w:right="0"/>
        </w:sectPr>
      </w:pPr>
    </w:p>
    <w:p>
      <w:pPr>
        <w:spacing w:line="240" w:lineRule="auto" w:before="1"/>
        <w:rPr>
          <w:rFonts w:ascii="宋体" w:hAnsi="宋体" w:cs="宋体" w:eastAsia="宋体" w:hint="default"/>
          <w:sz w:val="8"/>
          <w:szCs w:val="8"/>
        </w:rPr>
      </w:pPr>
    </w:p>
    <w:p>
      <w:pPr>
        <w:pStyle w:val="BodyText"/>
        <w:spacing w:line="451" w:lineRule="auto" w:before="44"/>
        <w:ind w:right="1122" w:firstLine="360"/>
        <w:jc w:val="left"/>
      </w:pPr>
      <w:r>
        <w:rPr>
          <w:rFonts w:ascii="Times New Roman" w:hAnsi="Times New Roman" w:cs="Times New Roman" w:eastAsia="Times New Roman" w:hint="default"/>
        </w:rPr>
        <w:t>3</w:t>
      </w:r>
      <w:r>
        <w:rPr/>
        <w:t>、资产方面：公司具有独立的法人资格，对公司财产拥有独立的法人财产权，公司拥有独立的土地使用权、房屋产权 和经营权，公司的资产完全独立于控股股东。</w:t>
      </w:r>
    </w:p>
    <w:p>
      <w:pPr>
        <w:pStyle w:val="BodyText"/>
        <w:spacing w:line="451" w:lineRule="auto" w:before="74"/>
        <w:ind w:right="1122" w:firstLine="360"/>
        <w:jc w:val="left"/>
      </w:pPr>
      <w:r>
        <w:rPr>
          <w:rFonts w:ascii="Times New Roman" w:hAnsi="Times New Roman" w:cs="Times New Roman" w:eastAsia="Times New Roman" w:hint="default"/>
        </w:rPr>
        <w:t>4</w:t>
      </w:r>
      <w:r>
        <w:rPr/>
        <w:t>、机构方面：公司的董事会、监事会及其他内部机构独立运作，独立行使经营管理权，不存在与控股股东、实际控制 人及其关联人机构混同等影响公司独立运营的情形。</w:t>
      </w:r>
    </w:p>
    <w:p>
      <w:pPr>
        <w:pStyle w:val="BodyText"/>
        <w:spacing w:line="451" w:lineRule="auto" w:before="74"/>
        <w:ind w:right="0" w:firstLine="360"/>
        <w:jc w:val="left"/>
      </w:pPr>
      <w:r>
        <w:rPr>
          <w:rFonts w:ascii="Times New Roman" w:hAnsi="Times New Roman" w:cs="Times New Roman" w:eastAsia="Times New Roman" w:hint="default"/>
          <w:spacing w:val="-4"/>
        </w:rPr>
        <w:t>5</w:t>
      </w:r>
      <w:r>
        <w:rPr>
          <w:spacing w:val="-4"/>
        </w:rPr>
        <w:t>、财务方面：公司设有完全独立的财务部门，拥有独立的会计核算体系、健全的财务管理制度，公司独立在银行开户，</w:t>
      </w:r>
      <w:r>
        <w:rPr/>
        <w:t> 控股股东不存在干预公司财务、会计活动的情况。</w:t>
      </w:r>
    </w:p>
    <w:p>
      <w:pPr>
        <w:spacing w:line="240" w:lineRule="auto" w:before="0"/>
        <w:rPr>
          <w:rFonts w:ascii="宋体" w:hAnsi="宋体" w:cs="宋体" w:eastAsia="宋体" w:hint="default"/>
          <w:sz w:val="19"/>
          <w:szCs w:val="19"/>
        </w:rPr>
      </w:pPr>
    </w:p>
    <w:p>
      <w:pPr>
        <w:pStyle w:val="Heading2"/>
        <w:spacing w:line="240" w:lineRule="auto"/>
        <w:ind w:right="0"/>
        <w:jc w:val="left"/>
        <w:rPr>
          <w:b w:val="0"/>
          <w:bCs w:val="0"/>
        </w:rPr>
      </w:pPr>
      <w:bookmarkStart w:name="三、同业竞争情况" w:id="144"/>
      <w:bookmarkEnd w:id="144"/>
      <w:r>
        <w:rPr>
          <w:b w:val="0"/>
          <w:bCs w:val="0"/>
        </w:rPr>
      </w:r>
      <w:r>
        <w:rPr/>
        <w:t>三、同业竞争情况</w:t>
      </w:r>
      <w:r>
        <w:rPr>
          <w:b w:val="0"/>
          <w:bCs w:val="0"/>
        </w:rPr>
      </w:r>
    </w:p>
    <w:p>
      <w:pPr>
        <w:spacing w:line="240" w:lineRule="auto" w:before="7"/>
        <w:rPr>
          <w:rFonts w:ascii="宋体" w:hAnsi="宋体" w:cs="宋体" w:eastAsia="宋体" w:hint="default"/>
          <w:b/>
          <w:bCs/>
          <w:sz w:val="32"/>
          <w:szCs w:val="32"/>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pStyle w:val="Heading2"/>
        <w:spacing w:line="240" w:lineRule="auto" w:before="157"/>
        <w:ind w:right="0"/>
        <w:jc w:val="left"/>
        <w:rPr>
          <w:b w:val="0"/>
          <w:bCs w:val="0"/>
        </w:rPr>
      </w:pPr>
      <w:bookmarkStart w:name="四、报告期内召开的年度股东大会和临时股东大会的有关情况" w:id="145"/>
      <w:bookmarkEnd w:id="145"/>
      <w:r>
        <w:rPr>
          <w:b w:val="0"/>
          <w:bCs w:val="0"/>
        </w:rPr>
      </w:r>
      <w:r>
        <w:rPr/>
        <w:t>四、报告期内召开的年度股东大会和临时股东大会的有关情况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本报告期股东大会情况" w:id="146"/>
      <w:bookmarkEnd w:id="146"/>
      <w:r>
        <w:rPr>
          <w:b w:val="0"/>
          <w:bCs w:val="0"/>
        </w:rPr>
      </w:r>
      <w:r>
        <w:rPr>
          <w:rFonts w:ascii="Times New Roman" w:hAnsi="Times New Roman" w:cs="Times New Roman" w:eastAsia="Times New Roman" w:hint="default"/>
        </w:rPr>
        <w:t>1</w:t>
      </w:r>
      <w:r>
        <w:rPr/>
        <w:t>、本报告期股东大会情况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21" w:type="dxa"/>
        <w:tblLayout w:type="fixed"/>
        <w:tblCellMar>
          <w:top w:w="0" w:type="dxa"/>
          <w:left w:w="0" w:type="dxa"/>
          <w:bottom w:w="0" w:type="dxa"/>
          <w:right w:w="0" w:type="dxa"/>
        </w:tblCellMar>
        <w:tblLook w:val="01E0"/>
      </w:tblPr>
      <w:tblGrid>
        <w:gridCol w:w="1994"/>
        <w:gridCol w:w="1427"/>
        <w:gridCol w:w="1076"/>
        <w:gridCol w:w="1580"/>
        <w:gridCol w:w="1581"/>
        <w:gridCol w:w="2038"/>
      </w:tblGrid>
      <w:tr>
        <w:trPr>
          <w:trHeight w:val="713" w:hRule="exact"/>
        </w:trPr>
        <w:tc>
          <w:tcPr>
            <w:tcW w:w="1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会议届次</w:t>
            </w:r>
          </w:p>
        </w:tc>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会议类型</w:t>
            </w:r>
          </w:p>
        </w:tc>
        <w:tc>
          <w:tcPr>
            <w:tcW w:w="10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53" w:right="81" w:hanging="271"/>
              <w:jc w:val="left"/>
              <w:rPr>
                <w:rFonts w:ascii="宋体" w:hAnsi="宋体" w:cs="宋体" w:eastAsia="宋体" w:hint="default"/>
                <w:sz w:val="18"/>
                <w:szCs w:val="18"/>
              </w:rPr>
            </w:pPr>
            <w:r>
              <w:rPr>
                <w:rFonts w:ascii="宋体" w:hAnsi="宋体" w:cs="宋体" w:eastAsia="宋体" w:hint="default"/>
                <w:sz w:val="18"/>
                <w:szCs w:val="18"/>
              </w:rPr>
              <w:t>投资者参与 比例</w:t>
            </w:r>
          </w:p>
        </w:tc>
        <w:tc>
          <w:tcPr>
            <w:tcW w:w="1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召开日期</w:t>
            </w:r>
          </w:p>
        </w:tc>
        <w:tc>
          <w:tcPr>
            <w:tcW w:w="15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20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654"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1026" w:hRule="exact"/>
        </w:trPr>
        <w:tc>
          <w:tcPr>
            <w:tcW w:w="1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年度股东大会</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18.6426%</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1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2"/>
              <w:ind w:left="72" w:right="71" w:firstLine="1"/>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 </w:t>
            </w:r>
            <w:hyperlink r:id="rId42">
              <w:r>
                <w:rPr>
                  <w:rFonts w:ascii="Times New Roman" w:hAnsi="Times New Roman" w:cs="Times New Roman" w:eastAsia="Times New Roman" w:hint="default"/>
                  <w:spacing w:val="-1"/>
                  <w:sz w:val="18"/>
                  <w:szCs w:val="18"/>
                </w:rPr>
                <w:t>http://www.cninfo.com.cn</w:t>
              </w:r>
            </w:hyperlink>
            <w:r>
              <w:rPr>
                <w:rFonts w:ascii="Times New Roman" w:hAnsi="Times New Roman" w:cs="Times New Roman" w:eastAsia="Times New Roman" w:hint="default"/>
                <w:sz w:val="18"/>
                <w:szCs w:val="18"/>
              </w:rPr>
              <w:t> </w:t>
            </w: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2018-023</w:t>
            </w:r>
          </w:p>
        </w:tc>
      </w:tr>
      <w:tr>
        <w:trPr>
          <w:trHeight w:val="1027" w:hRule="exact"/>
        </w:trPr>
        <w:tc>
          <w:tcPr>
            <w:tcW w:w="1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00" w:lineRule="auto"/>
              <w:ind w:left="811" w:right="69" w:hanging="744"/>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年第一次临时股东 大会</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16.5750%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336" w:lineRule="auto" w:before="52"/>
              <w:ind w:left="72" w:right="71" w:firstLine="1"/>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 </w:t>
            </w:r>
            <w:hyperlink r:id="rId42">
              <w:r>
                <w:rPr>
                  <w:rFonts w:ascii="Times New Roman" w:hAnsi="Times New Roman" w:cs="Times New Roman" w:eastAsia="Times New Roman" w:hint="default"/>
                  <w:spacing w:val="-1"/>
                  <w:sz w:val="18"/>
                  <w:szCs w:val="18"/>
                </w:rPr>
                <w:t>http://www.cninfo.com.cn</w:t>
              </w:r>
            </w:hyperlink>
            <w:r>
              <w:rPr>
                <w:rFonts w:ascii="Times New Roman" w:hAnsi="Times New Roman" w:cs="Times New Roman" w:eastAsia="Times New Roman" w:hint="default"/>
                <w:sz w:val="18"/>
                <w:szCs w:val="18"/>
              </w:rPr>
              <w:t> </w:t>
            </w: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2018-052</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2、表决权恢复的优先股股东请求召开临时股东大会" w:id="147"/>
      <w:bookmarkEnd w:id="147"/>
      <w:r>
        <w:rPr>
          <w:b w:val="0"/>
          <w:bCs w:val="0"/>
        </w:rPr>
      </w: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7"/>
        <w:rPr>
          <w:rFonts w:ascii="宋体" w:hAnsi="宋体" w:cs="宋体" w:eastAsia="宋体" w:hint="default"/>
          <w:b/>
          <w:bCs/>
          <w:sz w:val="32"/>
          <w:szCs w:val="32"/>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2"/>
        <w:rPr>
          <w:rFonts w:ascii="宋体" w:hAnsi="宋体" w:cs="宋体" w:eastAsia="宋体" w:hint="default"/>
          <w:b/>
          <w:bCs/>
          <w:sz w:val="15"/>
          <w:szCs w:val="15"/>
        </w:rPr>
      </w:pPr>
    </w:p>
    <w:p>
      <w:pPr>
        <w:pStyle w:val="Heading2"/>
        <w:spacing w:line="240" w:lineRule="auto"/>
        <w:ind w:right="0"/>
        <w:jc w:val="left"/>
        <w:rPr>
          <w:b w:val="0"/>
          <w:bCs w:val="0"/>
        </w:rPr>
      </w:pPr>
      <w:bookmarkStart w:name="五、报告期内独立董事履行职责的情况" w:id="148"/>
      <w:bookmarkEnd w:id="148"/>
      <w:r>
        <w:rPr>
          <w:b w:val="0"/>
          <w:bCs w:val="0"/>
        </w:rPr>
      </w:r>
      <w:r>
        <w:rPr/>
        <w:t>五、报告期内独立董事履行职责的情况</w:t>
      </w:r>
      <w:r>
        <w:rPr>
          <w:b w:val="0"/>
          <w:bCs w:val="0"/>
        </w:rPr>
      </w:r>
    </w:p>
    <w:p>
      <w:pPr>
        <w:spacing w:line="240" w:lineRule="auto" w:before="8"/>
        <w:rPr>
          <w:rFonts w:ascii="宋体" w:hAnsi="宋体" w:cs="宋体" w:eastAsia="宋体" w:hint="default"/>
          <w:b/>
          <w:bCs/>
          <w:sz w:val="30"/>
          <w:szCs w:val="30"/>
        </w:rPr>
      </w:pPr>
    </w:p>
    <w:p>
      <w:pPr>
        <w:pStyle w:val="Heading3"/>
        <w:spacing w:line="240" w:lineRule="auto"/>
        <w:ind w:right="0"/>
        <w:jc w:val="left"/>
        <w:rPr>
          <w:b w:val="0"/>
          <w:bCs w:val="0"/>
        </w:rPr>
      </w:pPr>
      <w:bookmarkStart w:name="1、独立董事出席董事会及股东大会的情况" w:id="149"/>
      <w:bookmarkEnd w:id="149"/>
      <w:r>
        <w:rPr>
          <w:b w:val="0"/>
          <w:bCs w:val="0"/>
        </w:rPr>
      </w: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21" w:type="dxa"/>
        <w:tblLayout w:type="fixed"/>
        <w:tblCellMar>
          <w:top w:w="0" w:type="dxa"/>
          <w:left w:w="0" w:type="dxa"/>
          <w:bottom w:w="0" w:type="dxa"/>
          <w:right w:w="0" w:type="dxa"/>
        </w:tblCellMar>
        <w:tblLook w:val="01E0"/>
      </w:tblPr>
      <w:tblGrid>
        <w:gridCol w:w="1445"/>
        <w:gridCol w:w="1178"/>
        <w:gridCol w:w="1180"/>
        <w:gridCol w:w="1178"/>
        <w:gridCol w:w="1180"/>
        <w:gridCol w:w="1179"/>
        <w:gridCol w:w="1180"/>
        <w:gridCol w:w="1175"/>
      </w:tblGrid>
      <w:tr>
        <w:trPr>
          <w:trHeight w:val="402" w:hRule="exact"/>
        </w:trPr>
        <w:tc>
          <w:tcPr>
            <w:tcW w:w="9695"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1026" w:hRule="exact"/>
        </w:trPr>
        <w:tc>
          <w:tcPr>
            <w:tcW w:w="14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独立董事姓名</w:t>
            </w:r>
          </w:p>
        </w:tc>
        <w:tc>
          <w:tcPr>
            <w:tcW w:w="1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44" w:right="42"/>
              <w:jc w:val="left"/>
              <w:rPr>
                <w:rFonts w:ascii="宋体" w:hAnsi="宋体" w:cs="宋体" w:eastAsia="宋体" w:hint="default"/>
                <w:sz w:val="18"/>
                <w:szCs w:val="18"/>
              </w:rPr>
            </w:pPr>
            <w:r>
              <w:rPr>
                <w:rFonts w:ascii="宋体" w:hAnsi="宋体" w:cs="宋体" w:eastAsia="宋体" w:hint="default"/>
                <w:sz w:val="18"/>
                <w:szCs w:val="18"/>
              </w:rPr>
              <w:t>本报告期应参 加董事会次数</w:t>
            </w:r>
          </w:p>
        </w:tc>
        <w:tc>
          <w:tcPr>
            <w:tcW w:w="1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15" w:right="42" w:hanging="270"/>
              <w:jc w:val="left"/>
              <w:rPr>
                <w:rFonts w:ascii="宋体" w:hAnsi="宋体" w:cs="宋体" w:eastAsia="宋体" w:hint="default"/>
                <w:sz w:val="18"/>
                <w:szCs w:val="18"/>
              </w:rPr>
            </w:pPr>
            <w:r>
              <w:rPr>
                <w:rFonts w:ascii="宋体" w:hAnsi="宋体" w:cs="宋体" w:eastAsia="宋体" w:hint="default"/>
                <w:sz w:val="18"/>
                <w:szCs w:val="18"/>
              </w:rPr>
              <w:t>现场出席董事 会次数</w:t>
            </w:r>
          </w:p>
        </w:tc>
        <w:tc>
          <w:tcPr>
            <w:tcW w:w="1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44" w:right="42"/>
              <w:jc w:val="left"/>
              <w:rPr>
                <w:rFonts w:ascii="宋体" w:hAnsi="宋体" w:cs="宋体" w:eastAsia="宋体" w:hint="default"/>
                <w:sz w:val="18"/>
                <w:szCs w:val="18"/>
              </w:rPr>
            </w:pPr>
            <w:r>
              <w:rPr>
                <w:rFonts w:ascii="宋体" w:hAnsi="宋体" w:cs="宋体" w:eastAsia="宋体" w:hint="default"/>
                <w:sz w:val="18"/>
                <w:szCs w:val="18"/>
              </w:rPr>
              <w:t>以通讯方式参 加董事会次数</w:t>
            </w:r>
          </w:p>
        </w:tc>
        <w:tc>
          <w:tcPr>
            <w:tcW w:w="1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15" w:right="42" w:hanging="270"/>
              <w:jc w:val="left"/>
              <w:rPr>
                <w:rFonts w:ascii="宋体" w:hAnsi="宋体" w:cs="宋体" w:eastAsia="宋体" w:hint="default"/>
                <w:sz w:val="18"/>
                <w:szCs w:val="18"/>
              </w:rPr>
            </w:pPr>
            <w:r>
              <w:rPr>
                <w:rFonts w:ascii="宋体" w:hAnsi="宋体" w:cs="宋体" w:eastAsia="宋体" w:hint="default"/>
                <w:sz w:val="18"/>
                <w:szCs w:val="18"/>
              </w:rPr>
              <w:t>委托出席董事 会次数</w:t>
            </w:r>
          </w:p>
        </w:tc>
        <w:tc>
          <w:tcPr>
            <w:tcW w:w="1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494" w:right="42" w:hanging="450"/>
              <w:jc w:val="left"/>
              <w:rPr>
                <w:rFonts w:ascii="宋体" w:hAnsi="宋体" w:cs="宋体" w:eastAsia="宋体" w:hint="default"/>
                <w:sz w:val="18"/>
                <w:szCs w:val="18"/>
              </w:rPr>
            </w:pPr>
            <w:r>
              <w:rPr>
                <w:rFonts w:ascii="宋体" w:hAnsi="宋体" w:cs="宋体" w:eastAsia="宋体" w:hint="default"/>
                <w:sz w:val="18"/>
                <w:szCs w:val="18"/>
              </w:rPr>
              <w:t>缺席董事会次 数</w:t>
            </w:r>
          </w:p>
        </w:tc>
        <w:tc>
          <w:tcPr>
            <w:tcW w:w="1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45" w:right="42"/>
              <w:jc w:val="center"/>
              <w:rPr>
                <w:rFonts w:ascii="宋体" w:hAnsi="宋体" w:cs="宋体" w:eastAsia="宋体" w:hint="default"/>
                <w:sz w:val="18"/>
                <w:szCs w:val="18"/>
              </w:rPr>
            </w:pPr>
            <w:r>
              <w:rPr>
                <w:rFonts w:ascii="宋体" w:hAnsi="宋体" w:cs="宋体" w:eastAsia="宋体" w:hint="default"/>
                <w:sz w:val="18"/>
                <w:szCs w:val="18"/>
              </w:rPr>
              <w:t>是否连续两次 未亲自参加董 事会会议</w:t>
            </w:r>
          </w:p>
        </w:tc>
        <w:tc>
          <w:tcPr>
            <w:tcW w:w="1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401" w:right="41" w:hanging="360"/>
              <w:jc w:val="left"/>
              <w:rPr>
                <w:rFonts w:ascii="宋体" w:hAnsi="宋体" w:cs="宋体" w:eastAsia="宋体" w:hint="default"/>
                <w:sz w:val="18"/>
                <w:szCs w:val="18"/>
              </w:rPr>
            </w:pPr>
            <w:r>
              <w:rPr>
                <w:rFonts w:ascii="宋体" w:hAnsi="宋体" w:cs="宋体" w:eastAsia="宋体" w:hint="default"/>
                <w:sz w:val="18"/>
                <w:szCs w:val="18"/>
              </w:rPr>
              <w:t>出席股东大会 次数</w:t>
            </w:r>
          </w:p>
        </w:tc>
      </w:tr>
      <w:tr>
        <w:trPr>
          <w:trHeight w:val="402" w:hRule="exact"/>
        </w:trPr>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罗建北</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94" w:right="0"/>
              <w:jc w:val="left"/>
              <w:rPr>
                <w:rFonts w:ascii="Times New Roman" w:hAnsi="Times New Roman" w:cs="Times New Roman" w:eastAsia="Times New Roman" w:hint="default"/>
                <w:sz w:val="18"/>
                <w:szCs w:val="18"/>
              </w:rPr>
            </w:pPr>
            <w:r>
              <w:rPr>
                <w:rFonts w:ascii="Times New Roman"/>
                <w:sz w:val="18"/>
              </w:rPr>
              <w:t>16</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16</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0</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0</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0</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w:t>
            </w:r>
          </w:p>
        </w:tc>
      </w:tr>
      <w:tr>
        <w:trPr>
          <w:trHeight w:val="403" w:hRule="exact"/>
        </w:trPr>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刘铁民</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94" w:right="0"/>
              <w:jc w:val="left"/>
              <w:rPr>
                <w:rFonts w:ascii="Times New Roman" w:hAnsi="Times New Roman" w:cs="Times New Roman" w:eastAsia="Times New Roman" w:hint="default"/>
                <w:sz w:val="18"/>
                <w:szCs w:val="18"/>
              </w:rPr>
            </w:pPr>
            <w:r>
              <w:rPr>
                <w:rFonts w:ascii="Times New Roman"/>
                <w:sz w:val="18"/>
              </w:rPr>
              <w:t>16</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15</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0</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0</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w:t>
            </w:r>
          </w:p>
        </w:tc>
      </w:tr>
    </w:tbl>
    <w:p>
      <w:pPr>
        <w:spacing w:after="0" w:line="240" w:lineRule="auto"/>
        <w:jc w:val="center"/>
        <w:rPr>
          <w:rFonts w:ascii="Times New Roman" w:hAnsi="Times New Roman" w:cs="Times New Roman" w:eastAsia="Times New Roman" w:hint="default"/>
          <w:sz w:val="18"/>
          <w:szCs w:val="18"/>
        </w:rPr>
        <w:sectPr>
          <w:pgSz w:w="11910" w:h="16840"/>
          <w:pgMar w:header="851" w:footer="979" w:top="1400" w:bottom="1160" w:left="980" w:right="0"/>
        </w:sectPr>
      </w:pPr>
    </w:p>
    <w:p>
      <w:pPr>
        <w:spacing w:line="240" w:lineRule="auto" w:before="3"/>
        <w:rPr>
          <w:rFonts w:ascii="宋体" w:hAnsi="宋体" w:cs="宋体" w:eastAsia="宋体" w:hint="default"/>
          <w:b/>
          <w:bCs/>
          <w:sz w:val="3"/>
          <w:szCs w:val="3"/>
        </w:rPr>
      </w:pPr>
    </w:p>
    <w:tbl>
      <w:tblPr>
        <w:tblW w:w="0" w:type="auto"/>
        <w:jc w:val="left"/>
        <w:tblInd w:w="101" w:type="dxa"/>
        <w:tblLayout w:type="fixed"/>
        <w:tblCellMar>
          <w:top w:w="0" w:type="dxa"/>
          <w:left w:w="0" w:type="dxa"/>
          <w:bottom w:w="0" w:type="dxa"/>
          <w:right w:w="0" w:type="dxa"/>
        </w:tblCellMar>
        <w:tblLook w:val="01E0"/>
      </w:tblPr>
      <w:tblGrid>
        <w:gridCol w:w="1445"/>
        <w:gridCol w:w="1178"/>
        <w:gridCol w:w="1180"/>
        <w:gridCol w:w="1178"/>
        <w:gridCol w:w="1180"/>
        <w:gridCol w:w="1179"/>
        <w:gridCol w:w="1180"/>
        <w:gridCol w:w="1175"/>
      </w:tblGrid>
      <w:tr>
        <w:trPr>
          <w:trHeight w:val="414" w:hRule="exact"/>
        </w:trPr>
        <w:tc>
          <w:tcPr>
            <w:tcW w:w="1445"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18"/>
                <w:szCs w:val="18"/>
              </w:rPr>
            </w:pPr>
            <w:r>
              <w:rPr>
                <w:rFonts w:ascii="宋体" w:hAnsi="宋体" w:cs="宋体" w:eastAsia="宋体" w:hint="default"/>
                <w:sz w:val="18"/>
                <w:szCs w:val="18"/>
              </w:rPr>
              <w:t>王雪春</w:t>
            </w:r>
          </w:p>
        </w:tc>
        <w:tc>
          <w:tcPr>
            <w:tcW w:w="117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left="494" w:right="0"/>
              <w:jc w:val="left"/>
              <w:rPr>
                <w:rFonts w:ascii="Times New Roman" w:hAnsi="Times New Roman" w:cs="Times New Roman" w:eastAsia="Times New Roman" w:hint="default"/>
                <w:sz w:val="18"/>
                <w:szCs w:val="18"/>
              </w:rPr>
            </w:pPr>
            <w:r>
              <w:rPr>
                <w:rFonts w:ascii="Times New Roman"/>
                <w:sz w:val="18"/>
              </w:rPr>
              <w:t>16</w:t>
            </w:r>
          </w:p>
        </w:tc>
        <w:tc>
          <w:tcPr>
            <w:tcW w:w="118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Times New Roman" w:hAnsi="Times New Roman" w:cs="Times New Roman" w:eastAsia="Times New Roman" w:hint="default"/>
                <w:sz w:val="18"/>
                <w:szCs w:val="18"/>
              </w:rPr>
            </w:pPr>
            <w:r>
              <w:rPr>
                <w:rFonts w:ascii="Times New Roman"/>
                <w:sz w:val="18"/>
              </w:rPr>
              <w:t>16</w:t>
            </w:r>
          </w:p>
        </w:tc>
        <w:tc>
          <w:tcPr>
            <w:tcW w:w="117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Times New Roman" w:hAnsi="Times New Roman" w:cs="Times New Roman" w:eastAsia="Times New Roman" w:hint="default"/>
                <w:sz w:val="18"/>
                <w:szCs w:val="18"/>
              </w:rPr>
            </w:pPr>
            <w:r>
              <w:rPr>
                <w:rFonts w:ascii="Times New Roman"/>
                <w:sz w:val="18"/>
              </w:rPr>
              <w:t>0</w:t>
            </w:r>
          </w:p>
        </w:tc>
        <w:tc>
          <w:tcPr>
            <w:tcW w:w="118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Times New Roman" w:hAnsi="Times New Roman" w:cs="Times New Roman" w:eastAsia="Times New Roman" w:hint="default"/>
                <w:sz w:val="18"/>
                <w:szCs w:val="18"/>
              </w:rPr>
            </w:pPr>
            <w:r>
              <w:rPr>
                <w:rFonts w:ascii="Times New Roman"/>
                <w:sz w:val="18"/>
              </w:rPr>
              <w:t>0</w:t>
            </w:r>
          </w:p>
        </w:tc>
        <w:tc>
          <w:tcPr>
            <w:tcW w:w="117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1"/>
              <w:jc w:val="center"/>
              <w:rPr>
                <w:rFonts w:ascii="Times New Roman" w:hAnsi="Times New Roman" w:cs="Times New Roman" w:eastAsia="Times New Roman" w:hint="default"/>
                <w:sz w:val="18"/>
                <w:szCs w:val="18"/>
              </w:rPr>
            </w:pPr>
            <w:r>
              <w:rPr>
                <w:rFonts w:ascii="Times New Roman"/>
                <w:sz w:val="18"/>
              </w:rPr>
              <w:t>0</w:t>
            </w:r>
          </w:p>
        </w:tc>
        <w:tc>
          <w:tcPr>
            <w:tcW w:w="118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left="1"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75"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0"/>
              <w:jc w:val="center"/>
              <w:rPr>
                <w:rFonts w:ascii="Times New Roman" w:hAnsi="Times New Roman" w:cs="Times New Roman" w:eastAsia="Times New Roman" w:hint="default"/>
                <w:sz w:val="18"/>
                <w:szCs w:val="18"/>
              </w:rPr>
            </w:pPr>
            <w:r>
              <w:rPr>
                <w:rFonts w:ascii="Times New Roman"/>
                <w:sz w:val="18"/>
              </w:rPr>
              <w:t>1</w:t>
            </w:r>
          </w:p>
        </w:tc>
      </w:tr>
      <w:tr>
        <w:trPr>
          <w:trHeight w:val="403" w:hRule="exact"/>
        </w:trPr>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沈阳</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94" w:right="0"/>
              <w:jc w:val="left"/>
              <w:rPr>
                <w:rFonts w:ascii="Times New Roman" w:hAnsi="Times New Roman" w:cs="Times New Roman" w:eastAsia="Times New Roman" w:hint="default"/>
                <w:sz w:val="18"/>
                <w:szCs w:val="18"/>
              </w:rPr>
            </w:pPr>
            <w:r>
              <w:rPr>
                <w:rFonts w:ascii="Times New Roman"/>
                <w:sz w:val="18"/>
              </w:rPr>
              <w:t>16</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16</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0</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0</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0</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0</w:t>
            </w:r>
          </w:p>
        </w:tc>
      </w:tr>
    </w:tbl>
    <w:p>
      <w:pPr>
        <w:spacing w:line="240" w:lineRule="auto" w:before="3"/>
        <w:rPr>
          <w:rFonts w:ascii="宋体" w:hAnsi="宋体" w:cs="宋体" w:eastAsia="宋体" w:hint="default"/>
          <w:b/>
          <w:bCs/>
          <w:sz w:val="19"/>
          <w:szCs w:val="19"/>
        </w:rPr>
      </w:pPr>
    </w:p>
    <w:p>
      <w:pPr>
        <w:pStyle w:val="Heading3"/>
        <w:spacing w:line="240" w:lineRule="auto" w:before="35"/>
        <w:ind w:left="134" w:right="1032"/>
        <w:jc w:val="left"/>
        <w:rPr>
          <w:b w:val="0"/>
          <w:bCs w:val="0"/>
        </w:rPr>
      </w:pPr>
      <w:bookmarkStart w:name="2、独立董事对公司有关事项提出异议的情况" w:id="150"/>
      <w:bookmarkEnd w:id="150"/>
      <w:r>
        <w:rPr>
          <w:b w:val="0"/>
          <w:bCs w:val="0"/>
        </w:rPr>
      </w: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6"/>
        <w:rPr>
          <w:rFonts w:ascii="宋体" w:hAnsi="宋体" w:cs="宋体" w:eastAsia="宋体" w:hint="default"/>
          <w:b/>
          <w:bCs/>
          <w:sz w:val="32"/>
          <w:szCs w:val="32"/>
        </w:rPr>
      </w:pPr>
    </w:p>
    <w:p>
      <w:pPr>
        <w:pStyle w:val="Heading5"/>
        <w:spacing w:line="240" w:lineRule="auto"/>
        <w:ind w:left="134" w:right="1032"/>
        <w:jc w:val="left"/>
        <w:rPr>
          <w:b w:val="0"/>
          <w:bCs w:val="0"/>
        </w:rPr>
      </w:pPr>
      <w:r>
        <w:rPr/>
        <w:t>独立董事对公司有关事项是否提出异议</w:t>
      </w:r>
      <w:r>
        <w:rPr>
          <w:b w:val="0"/>
          <w:bCs w:val="0"/>
        </w:rPr>
      </w:r>
    </w:p>
    <w:p>
      <w:pPr>
        <w:spacing w:line="240" w:lineRule="auto" w:before="12"/>
        <w:rPr>
          <w:rFonts w:ascii="宋体" w:hAnsi="宋体" w:cs="宋体" w:eastAsia="宋体" w:hint="default"/>
          <w:b/>
          <w:bCs/>
          <w:sz w:val="14"/>
          <w:szCs w:val="14"/>
        </w:rPr>
      </w:pPr>
    </w:p>
    <w:p>
      <w:pPr>
        <w:pStyle w:val="BodyText"/>
        <w:spacing w:line="412" w:lineRule="auto"/>
        <w:ind w:left="134" w:right="6972"/>
        <w:jc w:val="left"/>
      </w:pPr>
      <w:r>
        <w:rPr>
          <w:rFonts w:ascii="Times New Roman" w:hAnsi="Times New Roman" w:cs="Times New Roman" w:eastAsia="Times New Roman" w:hint="default"/>
        </w:rPr>
        <w:t>□ </w:t>
      </w:r>
      <w:r>
        <w:rPr/>
        <w:t>是 </w:t>
      </w:r>
      <w:r>
        <w:rPr>
          <w:rFonts w:ascii="宋体" w:hAnsi="宋体" w:cs="宋体" w:eastAsia="宋体" w:hint="default"/>
          <w:b/>
          <w:bCs/>
        </w:rPr>
        <w:t>√</w:t>
      </w:r>
      <w:r>
        <w:rPr>
          <w:rFonts w:ascii="宋体" w:hAnsi="宋体" w:cs="宋体" w:eastAsia="宋体" w:hint="default"/>
          <w:b/>
          <w:bCs/>
          <w:spacing w:val="-1"/>
        </w:rPr>
        <w:t> </w:t>
      </w:r>
      <w:r>
        <w:rPr>
          <w:rFonts w:ascii="宋体" w:hAnsi="宋体" w:cs="宋体" w:eastAsia="宋体" w:hint="default"/>
          <w:b/>
          <w:bCs/>
        </w:rPr>
        <w:t>否</w:t>
      </w:r>
      <w:r>
        <w:rPr>
          <w:rFonts w:ascii="宋体" w:hAnsi="宋体" w:cs="宋体" w:eastAsia="宋体" w:hint="default"/>
          <w:b/>
          <w:bCs/>
          <w:w w:val="99"/>
        </w:rPr>
        <w:t> </w:t>
      </w:r>
      <w:r>
        <w:rPr/>
        <w:t>报告期内独立董事对公司有关事项未提出异议。</w:t>
      </w:r>
    </w:p>
    <w:p>
      <w:pPr>
        <w:spacing w:line="240" w:lineRule="auto" w:before="13"/>
        <w:rPr>
          <w:rFonts w:ascii="宋体" w:hAnsi="宋体" w:cs="宋体" w:eastAsia="宋体" w:hint="default"/>
          <w:sz w:val="22"/>
          <w:szCs w:val="22"/>
        </w:rPr>
      </w:pPr>
    </w:p>
    <w:p>
      <w:pPr>
        <w:pStyle w:val="Heading3"/>
        <w:spacing w:line="240" w:lineRule="auto"/>
        <w:ind w:left="134" w:right="1032"/>
        <w:jc w:val="left"/>
        <w:rPr>
          <w:b w:val="0"/>
          <w:bCs w:val="0"/>
        </w:rPr>
      </w:pPr>
      <w:bookmarkStart w:name="3、独立董事履行职责的其他说明" w:id="151"/>
      <w:bookmarkEnd w:id="151"/>
      <w:r>
        <w:rPr>
          <w:b w:val="0"/>
          <w:bCs w:val="0"/>
        </w:rPr>
      </w:r>
      <w:r>
        <w:rPr>
          <w:rFonts w:ascii="Times New Roman" w:hAnsi="Times New Roman" w:cs="Times New Roman" w:eastAsia="Times New Roman" w:hint="default"/>
        </w:rPr>
        <w:t>3</w:t>
      </w:r>
      <w:r>
        <w:rPr/>
        <w:t>、独立董事履行职责的其他说明</w:t>
      </w:r>
      <w:r>
        <w:rPr>
          <w:b w:val="0"/>
          <w:bCs w:val="0"/>
        </w:rPr>
      </w:r>
    </w:p>
    <w:p>
      <w:pPr>
        <w:spacing w:line="240" w:lineRule="auto" w:before="6"/>
        <w:rPr>
          <w:rFonts w:ascii="宋体" w:hAnsi="宋体" w:cs="宋体" w:eastAsia="宋体" w:hint="default"/>
          <w:b/>
          <w:bCs/>
          <w:sz w:val="32"/>
          <w:szCs w:val="32"/>
        </w:rPr>
      </w:pPr>
    </w:p>
    <w:p>
      <w:pPr>
        <w:pStyle w:val="Heading5"/>
        <w:spacing w:line="240" w:lineRule="auto"/>
        <w:ind w:left="134" w:right="7680"/>
        <w:jc w:val="left"/>
        <w:rPr>
          <w:b w:val="0"/>
          <w:bCs w:val="0"/>
        </w:rPr>
      </w:pPr>
      <w:r>
        <w:rPr/>
        <w:t>独立董事对公司有关建议是否被采纳</w:t>
      </w:r>
      <w:r>
        <w:rPr>
          <w:b w:val="0"/>
          <w:bCs w:val="0"/>
        </w:rPr>
      </w:r>
    </w:p>
    <w:p>
      <w:pPr>
        <w:spacing w:line="240" w:lineRule="auto" w:before="12"/>
        <w:rPr>
          <w:rFonts w:ascii="宋体" w:hAnsi="宋体" w:cs="宋体" w:eastAsia="宋体" w:hint="default"/>
          <w:b/>
          <w:bCs/>
          <w:sz w:val="14"/>
          <w:szCs w:val="14"/>
        </w:rPr>
      </w:pPr>
    </w:p>
    <w:p>
      <w:pPr>
        <w:pStyle w:val="Heading5"/>
        <w:spacing w:line="412" w:lineRule="auto"/>
        <w:ind w:left="134" w:right="6776"/>
        <w:jc w:val="left"/>
        <w:rPr>
          <w:b w:val="0"/>
          <w:bCs w:val="0"/>
        </w:rPr>
      </w:pPr>
      <w:r>
        <w:rPr/>
        <w:t>√ 是 </w:t>
      </w:r>
      <w:r>
        <w:rPr>
          <w:rFonts w:ascii="Times New Roman" w:hAnsi="Times New Roman" w:cs="Times New Roman" w:eastAsia="Times New Roman" w:hint="default"/>
          <w:b w:val="0"/>
          <w:bCs w:val="0"/>
        </w:rPr>
        <w:t>□</w:t>
      </w:r>
      <w:r>
        <w:rPr>
          <w:rFonts w:ascii="Times New Roman" w:hAnsi="Times New Roman" w:cs="Times New Roman" w:eastAsia="Times New Roman" w:hint="default"/>
          <w:b w:val="0"/>
          <w:bCs w:val="0"/>
          <w:spacing w:val="44"/>
        </w:rPr>
        <w:t> </w:t>
      </w:r>
      <w:r>
        <w:rPr>
          <w:rFonts w:ascii="宋体" w:hAnsi="宋体" w:cs="宋体" w:eastAsia="宋体" w:hint="default"/>
          <w:b w:val="0"/>
          <w:bCs w:val="0"/>
        </w:rPr>
        <w:t>否 </w:t>
      </w:r>
      <w:r>
        <w:rPr/>
        <w:t>独立董事对公司有关建议被采纳或未被采纳的说明</w:t>
      </w:r>
      <w:r>
        <w:rPr>
          <w:b w:val="0"/>
          <w:bCs w:val="0"/>
        </w:rPr>
      </w:r>
    </w:p>
    <w:p>
      <w:pPr>
        <w:pStyle w:val="BodyText"/>
        <w:spacing w:line="477" w:lineRule="auto" w:before="103"/>
        <w:ind w:left="134" w:right="1129" w:firstLine="360"/>
        <w:jc w:val="both"/>
      </w:pPr>
      <w:r>
        <w:rPr>
          <w:spacing w:val="-2"/>
        </w:rPr>
        <w:t>根据《关于在上市公司建立独立董事制度的指导意见》、《深圳证券交易所创业板上市公司规范运作指引》及《公司章</w:t>
      </w:r>
      <w:r>
        <w:rPr/>
        <w:t> </w:t>
      </w:r>
      <w:r>
        <w:rPr>
          <w:spacing w:val="-2"/>
        </w:rPr>
        <w:t>程》、《独立董事工作制度》等相关法律法规、规章制度的有关规定，公司独立董事本着忠实、勤勉的工作态度对以下事项</w:t>
      </w:r>
      <w:r>
        <w:rPr>
          <w:spacing w:val="-70"/>
        </w:rPr>
        <w:t> </w:t>
      </w:r>
      <w:r>
        <w:rPr>
          <w:spacing w:val="-70"/>
        </w:rPr>
      </w:r>
      <w:r>
        <w:rPr/>
        <w:t>发表了独立意见。</w:t>
      </w:r>
    </w:p>
    <w:p>
      <w:pPr>
        <w:pStyle w:val="BodyText"/>
        <w:spacing w:line="451" w:lineRule="auto" w:before="54"/>
        <w:ind w:left="134" w:right="1130" w:firstLine="360"/>
        <w:jc w:val="both"/>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26</w:t>
      </w:r>
      <w:r>
        <w:rPr/>
        <w:t>日，公司第六届董事会第三十七次会议，对</w:t>
      </w:r>
      <w:r>
        <w:rPr>
          <w:rFonts w:ascii="Times New Roman" w:hAnsi="Times New Roman" w:cs="Times New Roman" w:eastAsia="Times New Roman" w:hint="default"/>
        </w:rPr>
        <w:t>2017</w:t>
      </w:r>
      <w:r>
        <w:rPr/>
        <w:t>年度关于控股股东及其他关联方占用公司资金、公司对外 担保情况、公司</w:t>
      </w:r>
      <w:r>
        <w:rPr>
          <w:rFonts w:ascii="Times New Roman" w:hAnsi="Times New Roman" w:cs="Times New Roman" w:eastAsia="Times New Roman" w:hint="default"/>
        </w:rPr>
        <w:t>2017</w:t>
      </w:r>
      <w:r>
        <w:rPr/>
        <w:t>年度内部控制自我评价报告、公司聘任</w:t>
      </w:r>
      <w:r>
        <w:rPr>
          <w:rFonts w:ascii="Times New Roman" w:hAnsi="Times New Roman" w:cs="Times New Roman" w:eastAsia="Times New Roman" w:hint="default"/>
        </w:rPr>
        <w:t>2018</w:t>
      </w:r>
      <w:r>
        <w:rPr/>
        <w:t>年度审计机构、</w:t>
      </w:r>
      <w:r>
        <w:rPr>
          <w:rFonts w:ascii="Times New Roman" w:hAnsi="Times New Roman" w:cs="Times New Roman" w:eastAsia="Times New Roman" w:hint="default"/>
        </w:rPr>
        <w:t>2017</w:t>
      </w:r>
      <w:r>
        <w:rPr/>
        <w:t>年度公司募集资金存放与使用、</w:t>
      </w:r>
      <w:r>
        <w:rPr>
          <w:rFonts w:ascii="Times New Roman" w:hAnsi="Times New Roman" w:cs="Times New Roman" w:eastAsia="Times New Roman" w:hint="default"/>
        </w:rPr>
        <w:t>2017 </w:t>
      </w:r>
      <w:r>
        <w:rPr>
          <w:spacing w:val="-2"/>
        </w:rPr>
        <w:t>年度公司关联交易事项、</w:t>
      </w:r>
      <w:r>
        <w:rPr>
          <w:rFonts w:ascii="Times New Roman" w:hAnsi="Times New Roman" w:cs="Times New Roman" w:eastAsia="Times New Roman" w:hint="default"/>
          <w:spacing w:val="-2"/>
        </w:rPr>
        <w:t>2017</w:t>
      </w:r>
      <w:r>
        <w:rPr>
          <w:spacing w:val="-2"/>
        </w:rPr>
        <w:t>年度利润分配预案、计提资产减值准备、委托理财、未来三年股东分红回报规划、关于补选董</w:t>
      </w:r>
      <w:r>
        <w:rPr>
          <w:spacing w:val="-62"/>
        </w:rPr>
        <w:t> </w:t>
      </w:r>
      <w:r>
        <w:rPr>
          <w:spacing w:val="-62"/>
        </w:rPr>
      </w:r>
      <w:r>
        <w:rPr/>
        <w:t>事、会计政策变更等事项，发表了同意的独立意见。</w:t>
      </w:r>
    </w:p>
    <w:p>
      <w:pPr>
        <w:pStyle w:val="BodyText"/>
        <w:spacing w:line="451" w:lineRule="auto" w:before="74"/>
        <w:ind w:left="134" w:right="1130" w:firstLine="360"/>
        <w:jc w:val="both"/>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29</w:t>
      </w:r>
      <w:r>
        <w:rPr/>
        <w:t>日，公司第六届董事会第四十一次会议，对公司</w:t>
      </w:r>
      <w:r>
        <w:rPr>
          <w:rFonts w:ascii="Times New Roman" w:hAnsi="Times New Roman" w:cs="Times New Roman" w:eastAsia="Times New Roman" w:hint="default"/>
        </w:rPr>
        <w:t>2018</w:t>
      </w:r>
      <w:r>
        <w:rPr/>
        <w:t>年上半年控股股东及其他关联方占用公司资金、公司 对外担保情况、计提资产减值准备等事项，进行认真检查和审核，发表了同意的独立意见。</w:t>
      </w:r>
    </w:p>
    <w:p>
      <w:pPr>
        <w:pStyle w:val="BodyText"/>
        <w:spacing w:line="451" w:lineRule="auto" w:before="74"/>
        <w:ind w:left="134" w:right="1132" w:firstLine="360"/>
        <w:jc w:val="both"/>
      </w:pPr>
      <w:r>
        <w:rPr>
          <w:rFonts w:ascii="Times New Roman" w:hAnsi="Times New Roman" w:cs="Times New Roman" w:eastAsia="Times New Roman" w:hint="default"/>
          <w:spacing w:val="-4"/>
        </w:rPr>
        <w:t>2018</w:t>
      </w:r>
      <w:r>
        <w:rPr>
          <w:spacing w:val="-4"/>
        </w:rPr>
        <w:t>年</w:t>
      </w:r>
      <w:r>
        <w:rPr>
          <w:rFonts w:ascii="Times New Roman" w:hAnsi="Times New Roman" w:cs="Times New Roman" w:eastAsia="Times New Roman" w:hint="default"/>
          <w:spacing w:val="-4"/>
        </w:rPr>
        <w:t>9</w:t>
      </w:r>
      <w:r>
        <w:rPr>
          <w:spacing w:val="-4"/>
        </w:rPr>
        <w:t>月</w:t>
      </w:r>
      <w:r>
        <w:rPr>
          <w:rFonts w:ascii="Times New Roman" w:hAnsi="Times New Roman" w:cs="Times New Roman" w:eastAsia="Times New Roman" w:hint="default"/>
          <w:spacing w:val="-4"/>
        </w:rPr>
        <w:t>28</w:t>
      </w:r>
      <w:r>
        <w:rPr>
          <w:spacing w:val="-4"/>
        </w:rPr>
        <w:t>日，公司第六届董事会第四十三次会议，对公司董事会内部分工调整暨聘任公司总裁、选举副董事长事项，</w:t>
      </w:r>
      <w:r>
        <w:rPr/>
        <w:t> 发表了同意的独立意见。</w:t>
      </w:r>
    </w:p>
    <w:p>
      <w:pPr>
        <w:pStyle w:val="BodyText"/>
        <w:spacing w:line="240" w:lineRule="auto" w:before="74"/>
        <w:ind w:left="494" w:right="1032"/>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29</w:t>
      </w:r>
      <w:r>
        <w:rPr/>
        <w:t>日，公司第六届董事会第四十四次会议，对公司会计政策变更事项，发表了同意的独立意见。</w:t>
      </w:r>
    </w:p>
    <w:p>
      <w:pPr>
        <w:spacing w:line="240" w:lineRule="auto" w:before="0"/>
        <w:rPr>
          <w:rFonts w:ascii="宋体" w:hAnsi="宋体" w:cs="宋体" w:eastAsia="宋体" w:hint="default"/>
          <w:sz w:val="18"/>
          <w:szCs w:val="18"/>
        </w:rPr>
      </w:pPr>
    </w:p>
    <w:p>
      <w:pPr>
        <w:pStyle w:val="Heading2"/>
        <w:spacing w:line="240" w:lineRule="auto" w:before="158"/>
        <w:ind w:left="134" w:right="1032"/>
        <w:jc w:val="left"/>
        <w:rPr>
          <w:b w:val="0"/>
          <w:bCs w:val="0"/>
        </w:rPr>
      </w:pPr>
      <w:bookmarkStart w:name="六、董事会下设专门委员会在报告期内履行职责情况" w:id="152"/>
      <w:bookmarkEnd w:id="152"/>
      <w:r>
        <w:rPr>
          <w:b w:val="0"/>
          <w:bCs w:val="0"/>
        </w:rPr>
      </w:r>
      <w:r>
        <w:rPr/>
        <w:t>六、董事会下设专门委员会在报告期内履行职责情况</w:t>
      </w:r>
      <w:r>
        <w:rPr>
          <w:b w:val="0"/>
          <w:bCs w:val="0"/>
        </w:rPr>
      </w:r>
    </w:p>
    <w:p>
      <w:pPr>
        <w:spacing w:line="240" w:lineRule="auto" w:before="6"/>
        <w:rPr>
          <w:rFonts w:ascii="宋体" w:hAnsi="宋体" w:cs="宋体" w:eastAsia="宋体" w:hint="default"/>
          <w:b/>
          <w:bCs/>
          <w:sz w:val="32"/>
          <w:szCs w:val="32"/>
        </w:rPr>
      </w:pPr>
    </w:p>
    <w:p>
      <w:pPr>
        <w:pStyle w:val="BodyText"/>
        <w:spacing w:line="451" w:lineRule="auto"/>
        <w:ind w:left="491" w:right="1032"/>
        <w:jc w:val="left"/>
      </w:pPr>
      <w:r>
        <w:rPr/>
        <w:t>公司董事会下设立了战略、提名、薪酬与考核、审计等四个专门委员会，</w:t>
      </w:r>
      <w:r>
        <w:rPr>
          <w:rFonts w:ascii="Times New Roman" w:hAnsi="Times New Roman" w:cs="Times New Roman" w:eastAsia="Times New Roman" w:hint="default"/>
        </w:rPr>
        <w:t>2018</w:t>
      </w:r>
      <w:r>
        <w:rPr/>
        <w:t>年各委员会工作情况如下： </w:t>
      </w:r>
      <w:r>
        <w:rPr>
          <w:spacing w:val="-2"/>
        </w:rPr>
        <w:t>战略委员会，</w:t>
      </w:r>
      <w:r>
        <w:rPr>
          <w:rFonts w:ascii="Times New Roman" w:hAnsi="Times New Roman" w:cs="Times New Roman" w:eastAsia="Times New Roman" w:hint="default"/>
          <w:spacing w:val="-2"/>
        </w:rPr>
        <w:t>2018</w:t>
      </w:r>
      <w:r>
        <w:rPr>
          <w:spacing w:val="-2"/>
        </w:rPr>
        <w:t>年对公司各项对外投资事项召开了相关会议，进行了讨论、分析，并向董事会提出了意见。</w:t>
      </w:r>
      <w:r>
        <w:rPr>
          <w:rFonts w:ascii="Times New Roman" w:hAnsi="Times New Roman" w:cs="Times New Roman" w:eastAsia="Times New Roman" w:hint="default"/>
          <w:spacing w:val="-2"/>
        </w:rPr>
        <w:t>2018</w:t>
      </w:r>
      <w:r>
        <w:rPr>
          <w:spacing w:val="-2"/>
        </w:rPr>
        <w:t>年度</w:t>
      </w:r>
    </w:p>
    <w:p>
      <w:pPr>
        <w:pStyle w:val="BodyText"/>
        <w:spacing w:line="477" w:lineRule="auto" w:before="43"/>
        <w:ind w:left="134" w:right="1032"/>
        <w:jc w:val="left"/>
      </w:pPr>
      <w:r>
        <w:rPr>
          <w:spacing w:val="-2"/>
        </w:rPr>
        <w:t>共召开十四次战略委员会会议，认真研究并审议通过了《关于子公司慧联神州对外投资设立子公司的议案》、《关于终止执</w:t>
      </w:r>
      <w:r>
        <w:rPr>
          <w:spacing w:val="-66"/>
        </w:rPr>
        <w:t> </w:t>
      </w:r>
      <w:r>
        <w:rPr>
          <w:spacing w:val="-66"/>
        </w:rPr>
      </w:r>
      <w:r>
        <w:rPr>
          <w:spacing w:val="-2"/>
        </w:rPr>
        <w:t>行子公司泰岳香港对外投资设立公司事项的议案》、《关于对外投资设立合资公司的议案》、《关于向旗下全资公司增资的</w:t>
      </w:r>
    </w:p>
    <w:p>
      <w:pPr>
        <w:spacing w:after="0" w:line="477" w:lineRule="auto"/>
        <w:jc w:val="left"/>
        <w:sectPr>
          <w:pgSz w:w="11910" w:h="16840"/>
          <w:pgMar w:header="851" w:footer="979" w:top="1400" w:bottom="1160" w:left="1000" w:right="0"/>
        </w:sectPr>
      </w:pPr>
    </w:p>
    <w:p>
      <w:pPr>
        <w:spacing w:line="240" w:lineRule="auto" w:before="7"/>
        <w:rPr>
          <w:rFonts w:ascii="宋体" w:hAnsi="宋体" w:cs="宋体" w:eastAsia="宋体" w:hint="default"/>
          <w:sz w:val="3"/>
          <w:szCs w:val="3"/>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BodyText"/>
        <w:spacing w:line="463" w:lineRule="auto" w:before="83"/>
        <w:ind w:right="1129"/>
        <w:jc w:val="both"/>
      </w:pPr>
      <w:r>
        <w:rPr>
          <w:spacing w:val="-2"/>
        </w:rPr>
        <w:t>议案》、《关于高新投为公司发行超短期融资券提供担保的议案》、《关于公司申请银行综合授信事项的议案》、《关于为</w:t>
      </w:r>
      <w:r>
        <w:rPr>
          <w:spacing w:val="-69"/>
        </w:rPr>
        <w:t> </w:t>
      </w:r>
      <w:r>
        <w:rPr>
          <w:spacing w:val="-69"/>
        </w:rPr>
      </w:r>
      <w:r>
        <w:rPr/>
        <w:t>北京小漫科技有限公司增资的议案》、《关于公司以资产抵押向银行申请贷款的议案》、《关于与蓝鸥科技签订</w:t>
      </w:r>
      <w:r>
        <w:rPr>
          <w:rFonts w:ascii="Times New Roman" w:hAnsi="Times New Roman" w:cs="Times New Roman" w:eastAsia="Times New Roman" w:hint="default"/>
        </w:rPr>
        <w:t>&lt;</w:t>
      </w:r>
      <w:r>
        <w:rPr/>
        <w:t>投资框架 </w:t>
      </w:r>
      <w:r>
        <w:rPr>
          <w:spacing w:val="-5"/>
        </w:rPr>
        <w:t>协议之补充协议二</w:t>
      </w:r>
      <w:r>
        <w:rPr>
          <w:rFonts w:ascii="Times New Roman" w:hAnsi="Times New Roman" w:cs="Times New Roman" w:eastAsia="Times New Roman" w:hint="default"/>
          <w:spacing w:val="-5"/>
        </w:rPr>
        <w:t>&gt;</w:t>
      </w:r>
      <w:r>
        <w:rPr>
          <w:spacing w:val="-5"/>
        </w:rPr>
        <w:t>的议案》、《关于转让泰岳</w:t>
      </w:r>
      <w:r>
        <w:rPr>
          <w:rFonts w:ascii="Times New Roman" w:hAnsi="Times New Roman" w:cs="Times New Roman" w:eastAsia="Times New Roman" w:hint="default"/>
          <w:spacing w:val="-5"/>
        </w:rPr>
        <w:t>360</w:t>
      </w:r>
      <w:r>
        <w:rPr>
          <w:spacing w:val="-5"/>
        </w:rPr>
        <w:t>公司部分股权的议案》、《关于合资企业帝派科技注册资本调整的议案》、</w:t>
      </w:r>
    </w:p>
    <w:p>
      <w:pPr>
        <w:pStyle w:val="BodyText"/>
        <w:spacing w:line="463" w:lineRule="auto" w:before="34"/>
        <w:ind w:right="1130"/>
        <w:jc w:val="both"/>
      </w:pPr>
      <w:r>
        <w:rPr/>
        <w:t>《关于对外投资参股设立玄一科技的议案》、《关于转让泰岳</w:t>
      </w:r>
      <w:r>
        <w:rPr>
          <w:rFonts w:ascii="Times New Roman" w:hAnsi="Times New Roman" w:cs="Times New Roman" w:eastAsia="Times New Roman" w:hint="default"/>
        </w:rPr>
        <w:t>360</w:t>
      </w:r>
      <w:r>
        <w:rPr/>
        <w:t>公司部分股权的议案》、《关于调整对合资企业帝派科技</w:t>
      </w:r>
      <w:r>
        <w:rPr>
          <w:spacing w:val="-82"/>
        </w:rPr>
        <w:t> </w:t>
      </w:r>
      <w:r>
        <w:rPr>
          <w:spacing w:val="-82"/>
        </w:rPr>
      </w:r>
      <w:r>
        <w:rPr>
          <w:spacing w:val="-2"/>
        </w:rPr>
        <w:t>投资金额暨签署</w:t>
      </w:r>
      <w:r>
        <w:rPr>
          <w:rFonts w:ascii="宋体" w:hAnsi="宋体" w:cs="宋体" w:eastAsia="宋体" w:hint="default"/>
          <w:spacing w:val="-2"/>
        </w:rPr>
        <w:t>&lt;</w:t>
      </w:r>
      <w:r>
        <w:rPr>
          <w:spacing w:val="-2"/>
        </w:rPr>
        <w:t>补充协议</w:t>
      </w:r>
      <w:r>
        <w:rPr>
          <w:rFonts w:ascii="宋体" w:hAnsi="宋体" w:cs="宋体" w:eastAsia="宋体" w:hint="default"/>
          <w:spacing w:val="-2"/>
        </w:rPr>
        <w:t>&gt;</w:t>
      </w:r>
      <w:r>
        <w:rPr>
          <w:spacing w:val="-2"/>
        </w:rPr>
        <w:t>的议案》、《关于对外投资设立合资公司的议案》、《关于全资子公司北京壳木软件有限责任公</w:t>
      </w:r>
      <w:r>
        <w:rPr>
          <w:spacing w:val="-66"/>
        </w:rPr>
        <w:t> </w:t>
      </w:r>
      <w:r>
        <w:rPr>
          <w:spacing w:val="-66"/>
        </w:rPr>
      </w:r>
      <w:r>
        <w:rPr>
          <w:spacing w:val="-2"/>
        </w:rPr>
        <w:t>司增资天津智子网络科技有限公司的议案》、《关于子公司天津小漫对外投资设立公司的议案》、《关于对外投资设立子公</w:t>
      </w:r>
      <w:r>
        <w:rPr>
          <w:spacing w:val="-68"/>
        </w:rPr>
        <w:t> </w:t>
      </w:r>
      <w:r>
        <w:rPr>
          <w:spacing w:val="-68"/>
        </w:rPr>
      </w:r>
      <w:r>
        <w:rPr/>
        <w:t>司的议案》、《关于转让泰岳</w:t>
      </w:r>
      <w:r>
        <w:rPr>
          <w:rFonts w:ascii="Times New Roman" w:hAnsi="Times New Roman" w:cs="Times New Roman" w:eastAsia="Times New Roman" w:hint="default"/>
        </w:rPr>
        <w:t>360</w:t>
      </w:r>
      <w:r>
        <w:rPr/>
        <w:t>公司部分股权方案调整的议案》、《关于玄一科技增资的议案》、《关于帝派科技增资的</w:t>
      </w:r>
      <w:r>
        <w:rPr>
          <w:spacing w:val="-83"/>
        </w:rPr>
        <w:t> </w:t>
      </w:r>
      <w:r>
        <w:rPr>
          <w:spacing w:val="-83"/>
        </w:rPr>
      </w:r>
      <w:r>
        <w:rPr>
          <w:spacing w:val="-2"/>
        </w:rPr>
        <w:t>议案》、《关于公司对外投资设立合资公司的议案》、《关于公司向银行申请综合授信的议案》、《关于转让玄一科技公司</w:t>
      </w:r>
      <w:r>
        <w:rPr>
          <w:spacing w:val="-68"/>
        </w:rPr>
        <w:t> </w:t>
      </w:r>
      <w:r>
        <w:rPr>
          <w:spacing w:val="-68"/>
        </w:rPr>
      </w:r>
      <w:r>
        <w:rPr>
          <w:spacing w:val="-2"/>
        </w:rPr>
        <w:t>股权的议案》、《关于转让控股子公司</w:t>
      </w:r>
      <w:r>
        <w:rPr>
          <w:rFonts w:ascii="Times New Roman" w:hAnsi="Times New Roman" w:cs="Times New Roman" w:eastAsia="Times New Roman" w:hint="default"/>
          <w:spacing w:val="-2"/>
        </w:rPr>
        <w:t>——</w:t>
      </w:r>
      <w:r>
        <w:rPr>
          <w:spacing w:val="-2"/>
        </w:rPr>
        <w:t>融聚世界股权的议案》、《关于控股子公司对外融资的议案》、《关于公司申请</w:t>
      </w:r>
      <w:r>
        <w:rPr>
          <w:spacing w:val="-68"/>
        </w:rPr>
        <w:t> </w:t>
      </w:r>
      <w:r>
        <w:rPr>
          <w:spacing w:val="-68"/>
        </w:rPr>
      </w:r>
      <w:r>
        <w:rPr/>
        <w:t>银行综合授信事项的议案》等议案，并向董事会提出了专业委员会意见。</w:t>
      </w:r>
    </w:p>
    <w:p>
      <w:pPr>
        <w:pStyle w:val="BodyText"/>
        <w:spacing w:line="451" w:lineRule="auto" w:before="65"/>
        <w:ind w:right="1130" w:firstLine="357"/>
        <w:jc w:val="both"/>
      </w:pPr>
      <w:r>
        <w:rPr>
          <w:spacing w:val="-2"/>
        </w:rPr>
        <w:t>提名委员会，</w:t>
      </w:r>
      <w:r>
        <w:rPr>
          <w:rFonts w:ascii="Times New Roman" w:hAnsi="Times New Roman" w:cs="Times New Roman" w:eastAsia="Times New Roman" w:hint="default"/>
          <w:spacing w:val="-2"/>
        </w:rPr>
        <w:t>2018</w:t>
      </w:r>
      <w:r>
        <w:rPr>
          <w:spacing w:val="-2"/>
        </w:rPr>
        <w:t>年召开了三次提名委员会会议，经认真研究，提名徐斯平先生为审计委员会委员、提名冒大卫先生为</w:t>
      </w:r>
      <w:r>
        <w:rPr/>
        <w:t> 董事、提名李力先生为公司副董事长、提名冒大卫先生为公司总裁，并提交董事会审批。</w:t>
      </w:r>
    </w:p>
    <w:p>
      <w:pPr>
        <w:pStyle w:val="BodyText"/>
        <w:spacing w:line="463" w:lineRule="auto" w:before="74"/>
        <w:ind w:right="1131" w:firstLine="357"/>
        <w:jc w:val="both"/>
      </w:pPr>
      <w:r>
        <w:rPr>
          <w:spacing w:val="-2"/>
        </w:rPr>
        <w:t>审计委员会，在公司</w:t>
      </w:r>
      <w:r>
        <w:rPr>
          <w:rFonts w:ascii="Times New Roman" w:hAnsi="Times New Roman" w:cs="Times New Roman" w:eastAsia="Times New Roman" w:hint="default"/>
          <w:spacing w:val="-2"/>
        </w:rPr>
        <w:t>2018</w:t>
      </w:r>
      <w:r>
        <w:rPr>
          <w:spacing w:val="-2"/>
        </w:rPr>
        <w:t>年度审计报告的编制和披露过程中，切实履行独立董事的责任和义务，认真听取管理层对公司</w:t>
      </w:r>
      <w:r>
        <w:rPr/>
        <w:t> </w:t>
      </w:r>
      <w:r>
        <w:rPr>
          <w:spacing w:val="-2"/>
        </w:rPr>
        <w:t>全年生产经营情况和重大事项进展情况的汇报，认真阅读公司出具的相关材料；了解、掌握</w:t>
      </w:r>
      <w:r>
        <w:rPr>
          <w:rFonts w:ascii="Times New Roman" w:hAnsi="Times New Roman" w:cs="Times New Roman" w:eastAsia="Times New Roman" w:hint="default"/>
          <w:spacing w:val="-2"/>
        </w:rPr>
        <w:t>2018</w:t>
      </w:r>
      <w:r>
        <w:rPr>
          <w:spacing w:val="-2"/>
        </w:rPr>
        <w:t>年年报审计工作安排及审计</w:t>
      </w:r>
      <w:r>
        <w:rPr>
          <w:spacing w:val="-61"/>
        </w:rPr>
        <w:t> </w:t>
      </w:r>
      <w:r>
        <w:rPr>
          <w:spacing w:val="-2"/>
        </w:rPr>
        <w:t>工作进展情况，听取注册会计师介绍初审意见情况，并就相关问题与注册会计师、公司管理层进行了充分的沟通；在注册会</w:t>
      </w:r>
      <w:r>
        <w:rPr>
          <w:spacing w:val="-66"/>
        </w:rPr>
        <w:t> </w:t>
      </w:r>
      <w:r>
        <w:rPr>
          <w:spacing w:val="-66"/>
        </w:rPr>
      </w:r>
      <w:r>
        <w:rPr>
          <w:spacing w:val="-2"/>
        </w:rPr>
        <w:t>计师进场后积极关注审计进程，就审计过程中发现的问题进行有效沟通；审计结束后认真阅读了年审注册会计师出具的公司</w:t>
      </w:r>
      <w:r>
        <w:rPr>
          <w:spacing w:val="-64"/>
        </w:rPr>
        <w:t> </w:t>
      </w:r>
      <w:r>
        <w:rPr>
          <w:spacing w:val="-64"/>
        </w:rPr>
      </w:r>
      <w:r>
        <w:rPr>
          <w:rFonts w:ascii="Times New Roman" w:hAnsi="Times New Roman" w:cs="Times New Roman" w:eastAsia="Times New Roman" w:hint="default"/>
        </w:rPr>
        <w:t>2018</w:t>
      </w:r>
      <w:r>
        <w:rPr/>
        <w:t>年度审计报告，并同意提交董事会审阅。</w:t>
      </w:r>
    </w:p>
    <w:p>
      <w:pPr>
        <w:spacing w:line="240" w:lineRule="auto" w:before="12"/>
        <w:rPr>
          <w:rFonts w:ascii="宋体" w:hAnsi="宋体" w:cs="宋体" w:eastAsia="宋体" w:hint="default"/>
          <w:sz w:val="15"/>
          <w:szCs w:val="15"/>
        </w:rPr>
      </w:pPr>
    </w:p>
    <w:p>
      <w:pPr>
        <w:pStyle w:val="Heading2"/>
        <w:spacing w:line="240" w:lineRule="auto"/>
        <w:ind w:right="0"/>
        <w:jc w:val="both"/>
        <w:rPr>
          <w:b w:val="0"/>
          <w:bCs w:val="0"/>
        </w:rPr>
      </w:pPr>
      <w:bookmarkStart w:name="七、监事会工作情况" w:id="153"/>
      <w:bookmarkEnd w:id="153"/>
      <w:r>
        <w:rPr>
          <w:b w:val="0"/>
          <w:bCs w:val="0"/>
        </w:rPr>
      </w:r>
      <w:r>
        <w:rPr/>
        <w:t>七、监事会工作情况</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right="0"/>
        <w:jc w:val="both"/>
      </w:pPr>
      <w:r>
        <w:rPr/>
        <w:t>监事会在报告期内的监督活动中发现公司是否存在风险</w:t>
      </w:r>
    </w:p>
    <w:p>
      <w:pPr>
        <w:spacing w:line="240" w:lineRule="auto" w:before="12"/>
        <w:rPr>
          <w:rFonts w:ascii="宋体" w:hAnsi="宋体" w:cs="宋体" w:eastAsia="宋体" w:hint="default"/>
          <w:sz w:val="14"/>
          <w:szCs w:val="14"/>
        </w:rPr>
      </w:pPr>
    </w:p>
    <w:p>
      <w:pPr>
        <w:spacing w:before="0"/>
        <w:ind w:left="15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否</w:t>
      </w:r>
      <w:r>
        <w:rPr>
          <w:rFonts w:ascii="宋体" w:hAnsi="宋体" w:cs="宋体" w:eastAsia="宋体" w:hint="default"/>
          <w:sz w:val="18"/>
          <w:szCs w:val="18"/>
        </w:rPr>
      </w:r>
    </w:p>
    <w:p>
      <w:pPr>
        <w:pStyle w:val="Heading2"/>
        <w:spacing w:line="240" w:lineRule="auto" w:before="132"/>
        <w:ind w:right="0"/>
        <w:jc w:val="both"/>
        <w:rPr>
          <w:b w:val="0"/>
          <w:bCs w:val="0"/>
        </w:rPr>
      </w:pPr>
      <w:bookmarkStart w:name="八、高级管理人员的考评及激励情况" w:id="154"/>
      <w:bookmarkEnd w:id="154"/>
      <w:r>
        <w:rPr>
          <w:b w:val="0"/>
          <w:bCs w:val="0"/>
        </w:rPr>
      </w:r>
      <w:r>
        <w:rPr/>
        <w:t>八、高级管理人员的考评及激励情况</w:t>
      </w:r>
      <w:r>
        <w:rPr>
          <w:b w:val="0"/>
          <w:bCs w:val="0"/>
        </w:rPr>
      </w:r>
    </w:p>
    <w:p>
      <w:pPr>
        <w:pStyle w:val="BodyText"/>
        <w:spacing w:line="477" w:lineRule="auto" w:before="202"/>
        <w:ind w:right="1133" w:firstLine="360"/>
        <w:jc w:val="both"/>
      </w:pPr>
      <w:r>
        <w:rPr>
          <w:spacing w:val="-2"/>
        </w:rPr>
        <w:t>公司建立了高级管理人员的选择、考评、激励与约束机制。公司高级管理人员均由董事会聘任，直接对董事会负责，承</w:t>
      </w:r>
      <w:r>
        <w:rPr/>
        <w:t> </w:t>
      </w:r>
      <w:r>
        <w:rPr>
          <w:spacing w:val="-2"/>
        </w:rPr>
        <w:t>担董事会下达的经营指标。董事会下设的薪酬与考核委员会负责对高级管理人员的工作能力、履职情况、责任目标完成情况</w:t>
      </w:r>
      <w:r>
        <w:rPr>
          <w:spacing w:val="-66"/>
        </w:rPr>
        <w:t> </w:t>
      </w:r>
      <w:r>
        <w:rPr>
          <w:spacing w:val="-66"/>
        </w:rPr>
      </w:r>
      <w:r>
        <w:rPr/>
        <w:t>等进行年终考评，制定薪酬方案并报董事会审批。</w:t>
      </w:r>
    </w:p>
    <w:p>
      <w:pPr>
        <w:pStyle w:val="BodyText"/>
        <w:spacing w:line="477" w:lineRule="auto" w:before="54"/>
        <w:ind w:right="1130" w:firstLine="360"/>
        <w:jc w:val="both"/>
      </w:pPr>
      <w:r>
        <w:rPr>
          <w:spacing w:val="-2"/>
        </w:rPr>
        <w:t>报告期内，高级管理人员能够严格按照《公司法》、《公司章程》及国家有关法律法规认真履行职责，积极落实公司股</w:t>
      </w:r>
      <w:r>
        <w:rPr/>
        <w:t> </w:t>
      </w:r>
      <w:r>
        <w:rPr>
          <w:spacing w:val="-2"/>
        </w:rPr>
        <w:t>东大会和董事会相关决议。根据公司薪酬绩效考核制度，公司高级管理人员的薪酬由公司董事会依据每位的年度绩效目标确</w:t>
      </w:r>
      <w:r>
        <w:rPr>
          <w:spacing w:val="-64"/>
        </w:rPr>
        <w:t> </w:t>
      </w:r>
      <w:r>
        <w:rPr>
          <w:spacing w:val="-64"/>
        </w:rPr>
      </w:r>
      <w:r>
        <w:rPr>
          <w:spacing w:val="-2"/>
        </w:rPr>
        <w:t>定范围，并由公司董事会进行考评。对高管人员的考评，既评估当年的绩效完成情况，也兼顾公司长期发展的要求，年度经</w:t>
      </w:r>
      <w:r>
        <w:rPr>
          <w:spacing w:val="-66"/>
        </w:rPr>
        <w:t> </w:t>
      </w:r>
      <w:r>
        <w:rPr>
          <w:spacing w:val="-66"/>
        </w:rPr>
      </w:r>
      <w:r>
        <w:rPr>
          <w:spacing w:val="-2"/>
        </w:rPr>
        <w:t>营目标与年度考评结果直接挂钩。高管人员的薪酬主要由基本薪酬、年度绩效奖金和股权激励三部分构成，其中，基本薪酬</w:t>
      </w:r>
      <w:r>
        <w:rPr>
          <w:spacing w:val="-66"/>
        </w:rPr>
        <w:t> </w:t>
      </w:r>
      <w:r>
        <w:rPr>
          <w:spacing w:val="-66"/>
        </w:rPr>
      </w:r>
      <w:r>
        <w:rPr>
          <w:spacing w:val="-2"/>
        </w:rPr>
        <w:t>按月发放，年度绩效奖金根据高管人员年度绩效目标完成情况在年末考评后一次性兑现，股权激励依据公司股权激励计划执</w:t>
      </w:r>
    </w:p>
    <w:p>
      <w:pPr>
        <w:spacing w:after="0" w:line="477" w:lineRule="auto"/>
        <w:jc w:val="both"/>
        <w:sectPr>
          <w:pgSz w:w="11910" w:h="16840"/>
          <w:pgMar w:header="851" w:footer="979" w:top="1400" w:bottom="1160" w:left="980" w:right="0"/>
        </w:sectPr>
      </w:pPr>
    </w:p>
    <w:p>
      <w:pPr>
        <w:spacing w:line="240" w:lineRule="auto" w:before="1"/>
        <w:rPr>
          <w:rFonts w:ascii="宋体" w:hAnsi="宋体" w:cs="宋体" w:eastAsia="宋体" w:hint="default"/>
          <w:sz w:val="8"/>
          <w:szCs w:val="8"/>
        </w:rPr>
      </w:pPr>
      <w:r>
        <w:rPr/>
        <w:pict>
          <v:group style="position:absolute;margin-left:383.980011pt;margin-top:404.059998pt;width:149.8pt;height:15.6pt;mso-position-horizontal-relative:page;mso-position-vertical-relative:page;z-index:-1076848" coordorigin="7680,8081" coordsize="2996,312">
            <v:shape style="position:absolute;left:7680;top:8081;width:2996;height:312" coordorigin="7680,8081" coordsize="2996,312" path="m7680,8393l10675,8393,10675,8081,7680,8081,7680,8393xe" filled="true" fillcolor="#ffffff" stroked="false">
              <v:path arrowok="t"/>
              <v:fill type="solid"/>
            </v:shape>
            <w10:wrap type="none"/>
          </v:group>
        </w:pict>
      </w:r>
      <w:r>
        <w:rPr/>
        <w:pict>
          <v:group style="position:absolute;margin-left:383.980011pt;margin-top:544.479980pt;width:149.8pt;height:17.6pt;mso-position-horizontal-relative:page;mso-position-vertical-relative:page;z-index:-1076824" coordorigin="7680,10890" coordsize="2996,352">
            <v:shape style="position:absolute;left:7680;top:10890;width:2996;height:352" coordorigin="7680,10890" coordsize="2996,352" path="m7680,11241l10675,11241,10675,10890,7680,10890,7680,11241xe" filled="true" fillcolor="#ffffff" stroked="false">
              <v:path arrowok="t"/>
              <v:fill type="solid"/>
            </v:shape>
            <w10:wrap type="none"/>
          </v:group>
        </w:pict>
      </w:r>
    </w:p>
    <w:p>
      <w:pPr>
        <w:pStyle w:val="BodyText"/>
        <w:spacing w:line="240" w:lineRule="auto" w:before="44"/>
        <w:ind w:right="0"/>
        <w:jc w:val="left"/>
      </w:pPr>
      <w:r>
        <w:rPr/>
        <w:t>行。</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Heading2"/>
        <w:spacing w:line="240" w:lineRule="auto"/>
        <w:ind w:right="0"/>
        <w:jc w:val="left"/>
        <w:rPr>
          <w:b w:val="0"/>
          <w:bCs w:val="0"/>
        </w:rPr>
      </w:pPr>
      <w:bookmarkStart w:name="九、内部控制评价报告" w:id="155"/>
      <w:bookmarkEnd w:id="155"/>
      <w:r>
        <w:rPr>
          <w:b w:val="0"/>
          <w:bCs w:val="0"/>
        </w:rPr>
      </w:r>
      <w:r>
        <w:rPr/>
        <w:t>九、内部控制评价报告</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报告期内发现的内部控制重大缺陷的具体情况" w:id="156"/>
      <w:bookmarkEnd w:id="156"/>
      <w:r>
        <w:rPr>
          <w:b w:val="0"/>
          <w:bCs w:val="0"/>
        </w:rPr>
      </w: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宋体" w:hAnsi="宋体" w:cs="宋体" w:eastAsia="宋体" w:hint="default"/>
          <w:b/>
          <w:bCs/>
          <w:sz w:val="18"/>
          <w:szCs w:val="18"/>
        </w:rPr>
        <w:t>√</w:t>
      </w:r>
      <w:r>
        <w:rPr>
          <w:rFonts w:ascii="宋体" w:hAnsi="宋体" w:cs="宋体" w:eastAsia="宋体" w:hint="default"/>
          <w:b/>
          <w:bCs/>
          <w:spacing w:val="-2"/>
          <w:sz w:val="18"/>
          <w:szCs w:val="18"/>
        </w:rPr>
        <w:t> </w:t>
      </w:r>
      <w:r>
        <w:rPr>
          <w:rFonts w:ascii="宋体" w:hAnsi="宋体" w:cs="宋体" w:eastAsia="宋体" w:hint="default"/>
          <w:b/>
          <w:bCs/>
          <w:sz w:val="18"/>
          <w:szCs w:val="18"/>
        </w:rPr>
        <w:t>否</w:t>
      </w:r>
      <w:r>
        <w:rPr>
          <w:rFonts w:ascii="宋体" w:hAnsi="宋体" w:cs="宋体" w:eastAsia="宋体" w:hint="default"/>
          <w:sz w:val="18"/>
          <w:szCs w:val="18"/>
        </w:rPr>
      </w:r>
    </w:p>
    <w:p>
      <w:pPr>
        <w:spacing w:line="240" w:lineRule="auto" w:before="10"/>
        <w:rPr>
          <w:rFonts w:ascii="宋体" w:hAnsi="宋体" w:cs="宋体" w:eastAsia="宋体" w:hint="default"/>
          <w:b/>
          <w:bCs/>
          <w:sz w:val="25"/>
          <w:szCs w:val="25"/>
        </w:rPr>
      </w:pPr>
    </w:p>
    <w:p>
      <w:pPr>
        <w:pStyle w:val="Heading3"/>
        <w:spacing w:line="240" w:lineRule="auto"/>
        <w:ind w:right="0"/>
        <w:jc w:val="left"/>
        <w:rPr>
          <w:b w:val="0"/>
          <w:bCs w:val="0"/>
        </w:rPr>
      </w:pPr>
      <w:bookmarkStart w:name="2、内控自我评价报告" w:id="157"/>
      <w:bookmarkEnd w:id="157"/>
      <w:r>
        <w:rPr>
          <w:b w:val="0"/>
          <w:bCs w:val="0"/>
        </w:rPr>
      </w:r>
      <w:r>
        <w:rPr>
          <w:rFonts w:ascii="Times New Roman" w:hAnsi="Times New Roman" w:cs="Times New Roman" w:eastAsia="Times New Roman" w:hint="default"/>
        </w:rPr>
        <w:t>2</w:t>
      </w:r>
      <w:r>
        <w:rPr/>
        <w:t>、内控自我评价报告</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189"/>
        <w:gridCol w:w="3341"/>
        <w:gridCol w:w="3039"/>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3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6" w:right="0"/>
              <w:jc w:val="left"/>
              <w:rPr>
                <w:rFonts w:ascii="宋体" w:hAnsi="宋体" w:cs="宋体" w:eastAsia="宋体" w:hint="default"/>
                <w:sz w:val="18"/>
                <w:szCs w:val="18"/>
              </w:rPr>
            </w:pPr>
            <w:r>
              <w:rPr>
                <w:rFonts w:ascii="宋体" w:hAnsi="宋体" w:cs="宋体" w:eastAsia="宋体" w:hint="default"/>
                <w:sz w:val="18"/>
                <w:szCs w:val="18"/>
              </w:rPr>
              <w:t>具体详见巨潮资讯网</w:t>
            </w:r>
          </w:p>
        </w:tc>
      </w:tr>
      <w:tr>
        <w:trPr>
          <w:trHeight w:val="714"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94"/>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纳入评价范围单位资产总额占公司合并 财务报表资产总额的比例</w:t>
            </w:r>
          </w:p>
        </w:tc>
        <w:tc>
          <w:tcPr>
            <w:tcW w:w="63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r>
      <w:tr>
        <w:trPr>
          <w:trHeight w:val="715"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94"/>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纳入评价范围单位营业收入占公司合并 财务报表营业收入的比例</w:t>
            </w:r>
          </w:p>
        </w:tc>
        <w:tc>
          <w:tcPr>
            <w:tcW w:w="63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956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3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9"/>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2542" w:hRule="exact"/>
        </w:trPr>
        <w:tc>
          <w:tcPr>
            <w:tcW w:w="31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341" w:type="dxa"/>
            <w:vMerge w:val="restart"/>
            <w:tcBorders>
              <w:top w:val="single" w:sz="4" w:space="0" w:color="000000"/>
              <w:left w:val="single" w:sz="9" w:space="0" w:color="D2D2D2"/>
              <w:right w:val="single" w:sz="9" w:space="0" w:color="FFFFFF"/>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312" w:lineRule="auto" w:before="148"/>
              <w:ind w:left="22" w:right="-28"/>
              <w:jc w:val="left"/>
              <w:rPr>
                <w:rFonts w:ascii="宋体" w:hAnsi="宋体" w:cs="宋体" w:eastAsia="宋体" w:hint="default"/>
                <w:sz w:val="18"/>
                <w:szCs w:val="18"/>
              </w:rPr>
            </w:pPr>
            <w:r>
              <w:rPr>
                <w:rFonts w:ascii="宋体" w:hAnsi="宋体" w:cs="宋体" w:eastAsia="宋体" w:hint="default"/>
                <w:spacing w:val="-6"/>
                <w:sz w:val="18"/>
                <w:szCs w:val="18"/>
              </w:rPr>
              <w:t>一、重大缺陷：单独缺陷或连同其他缺陷，</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导致不能及时防止或发现并纠正财务报告</w:t>
            </w:r>
            <w:r>
              <w:rPr>
                <w:rFonts w:ascii="宋体" w:hAnsi="宋体" w:cs="宋体" w:eastAsia="宋体" w:hint="default"/>
                <w:sz w:val="18"/>
                <w:szCs w:val="18"/>
              </w:rPr>
              <w:t> 中的重大错报。出现下列情形的，认定为 </w:t>
            </w:r>
            <w:r>
              <w:rPr>
                <w:rFonts w:ascii="宋体" w:hAnsi="宋体" w:cs="宋体" w:eastAsia="宋体" w:hint="default"/>
                <w:spacing w:val="-5"/>
                <w:sz w:val="18"/>
                <w:szCs w:val="18"/>
              </w:rPr>
              <w:t>重大缺陷：（</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）董事、监事和高级管理人</w:t>
            </w:r>
            <w:r>
              <w:rPr>
                <w:rFonts w:ascii="宋体" w:hAnsi="宋体" w:cs="宋体" w:eastAsia="宋体" w:hint="default"/>
                <w:spacing w:val="-85"/>
                <w:sz w:val="18"/>
                <w:szCs w:val="18"/>
              </w:rPr>
              <w:t> </w:t>
            </w:r>
            <w:r>
              <w:rPr>
                <w:rFonts w:ascii="宋体" w:hAnsi="宋体" w:cs="宋体" w:eastAsia="宋体" w:hint="default"/>
                <w:spacing w:val="-5"/>
                <w:sz w:val="18"/>
                <w:szCs w:val="18"/>
              </w:rPr>
              <w:t>员舞弊；（</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）注册会计师发现当期财务报</w:t>
            </w:r>
            <w:r>
              <w:rPr>
                <w:rFonts w:ascii="宋体" w:hAnsi="宋体" w:cs="宋体" w:eastAsia="宋体" w:hint="default"/>
                <w:spacing w:val="-85"/>
                <w:sz w:val="18"/>
                <w:szCs w:val="18"/>
              </w:rPr>
              <w:t> </w:t>
            </w:r>
            <w:r>
              <w:rPr>
                <w:rFonts w:ascii="宋体" w:hAnsi="宋体" w:cs="宋体" w:eastAsia="宋体" w:hint="default"/>
                <w:sz w:val="18"/>
                <w:szCs w:val="18"/>
              </w:rPr>
              <w:t>告存在重大错报，而内部控制在运行过程 </w:t>
            </w:r>
            <w:r>
              <w:rPr>
                <w:rFonts w:ascii="宋体" w:hAnsi="宋体" w:cs="宋体" w:eastAsia="宋体" w:hint="default"/>
                <w:spacing w:val="-5"/>
                <w:sz w:val="18"/>
                <w:szCs w:val="18"/>
              </w:rPr>
              <w:t>中未能发现该错报；（</w:t>
            </w:r>
            <w:r>
              <w:rPr>
                <w:rFonts w:ascii="Times New Roman" w:hAnsi="Times New Roman" w:cs="Times New Roman" w:eastAsia="Times New Roman" w:hint="default"/>
                <w:spacing w:val="-5"/>
                <w:sz w:val="18"/>
                <w:szCs w:val="18"/>
              </w:rPr>
              <w:t>3</w:t>
            </w:r>
            <w:r>
              <w:rPr>
                <w:rFonts w:ascii="宋体" w:hAnsi="宋体" w:cs="宋体" w:eastAsia="宋体" w:hint="default"/>
                <w:spacing w:val="-5"/>
                <w:sz w:val="18"/>
                <w:szCs w:val="18"/>
              </w:rPr>
              <w:t>）董事会或其授权</w:t>
            </w:r>
            <w:r>
              <w:rPr>
                <w:rFonts w:ascii="宋体" w:hAnsi="宋体" w:cs="宋体" w:eastAsia="宋体" w:hint="default"/>
                <w:spacing w:val="-85"/>
                <w:sz w:val="18"/>
                <w:szCs w:val="18"/>
              </w:rPr>
              <w:t> </w:t>
            </w:r>
            <w:r>
              <w:rPr>
                <w:rFonts w:ascii="宋体" w:hAnsi="宋体" w:cs="宋体" w:eastAsia="宋体" w:hint="default"/>
                <w:sz w:val="18"/>
                <w:szCs w:val="18"/>
              </w:rPr>
              <w:t>机构及内审部门对公司的内部控制监督无 效。</w:t>
            </w:r>
          </w:p>
          <w:p>
            <w:pPr>
              <w:pStyle w:val="TableParagraph"/>
              <w:spacing w:line="319" w:lineRule="auto" w:before="61"/>
              <w:ind w:left="22" w:right="-28"/>
              <w:jc w:val="left"/>
              <w:rPr>
                <w:rFonts w:ascii="宋体" w:hAnsi="宋体" w:cs="宋体" w:eastAsia="宋体" w:hint="default"/>
                <w:sz w:val="18"/>
                <w:szCs w:val="18"/>
              </w:rPr>
            </w:pPr>
            <w:r>
              <w:rPr>
                <w:rFonts w:ascii="宋体" w:hAnsi="宋体" w:cs="宋体" w:eastAsia="宋体" w:hint="default"/>
                <w:spacing w:val="-6"/>
                <w:sz w:val="18"/>
                <w:szCs w:val="18"/>
              </w:rPr>
              <w:t>二、重要缺陷：单独缺陷或连同其他缺陷，</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导致不能及时防止或发现并纠正财务报告</w:t>
            </w:r>
            <w:r>
              <w:rPr>
                <w:rFonts w:ascii="宋体" w:hAnsi="宋体" w:cs="宋体" w:eastAsia="宋体" w:hint="default"/>
                <w:sz w:val="18"/>
                <w:szCs w:val="18"/>
              </w:rPr>
              <w:t> 中虽不构成重大错报但应仍引起管理层重 视的错报。 三、一般缺陷：不构成重大缺陷或重要缺 陷的其他内部控制缺陷。</w:t>
            </w:r>
          </w:p>
        </w:tc>
        <w:tc>
          <w:tcPr>
            <w:tcW w:w="3039" w:type="dxa"/>
            <w:vMerge w:val="restart"/>
            <w:tcBorders>
              <w:top w:val="single" w:sz="4" w:space="0" w:color="000000"/>
              <w:left w:val="single" w:sz="9" w:space="0" w:color="FFFFFF"/>
              <w:right w:val="single" w:sz="4" w:space="0" w:color="000000"/>
            </w:tcBorders>
          </w:tcPr>
          <w:p>
            <w:pPr>
              <w:pStyle w:val="TableParagraph"/>
              <w:spacing w:line="304" w:lineRule="auto" w:before="52"/>
              <w:ind w:left="4" w:right="-43"/>
              <w:jc w:val="left"/>
              <w:rPr>
                <w:rFonts w:ascii="宋体" w:hAnsi="宋体" w:cs="宋体" w:eastAsia="宋体" w:hint="default"/>
                <w:sz w:val="18"/>
                <w:szCs w:val="18"/>
              </w:rPr>
            </w:pPr>
            <w:r>
              <w:rPr>
                <w:rFonts w:ascii="宋体" w:hAnsi="宋体" w:cs="宋体" w:eastAsia="宋体" w:hint="default"/>
                <w:spacing w:val="-6"/>
                <w:w w:val="100"/>
                <w:sz w:val="18"/>
                <w:szCs w:val="18"/>
              </w:rPr>
              <w:t>一、重大缺陷：（</w:t>
            </w:r>
            <w:r>
              <w:rPr>
                <w:rFonts w:ascii="Times New Roman" w:hAnsi="Times New Roman" w:cs="Times New Roman" w:eastAsia="Times New Roman" w:hint="default"/>
                <w:spacing w:val="-6"/>
                <w:w w:val="100"/>
                <w:sz w:val="18"/>
                <w:szCs w:val="18"/>
              </w:rPr>
              <w:t>1</w:t>
            </w:r>
            <w:r>
              <w:rPr>
                <w:rFonts w:ascii="宋体" w:hAnsi="宋体" w:cs="宋体" w:eastAsia="宋体" w:hint="default"/>
                <w:spacing w:val="-6"/>
                <w:w w:val="100"/>
                <w:sz w:val="18"/>
                <w:szCs w:val="18"/>
              </w:rPr>
              <w:t>）严重缺乏</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三重一</w:t>
            </w:r>
            <w:r>
              <w:rPr>
                <w:rFonts w:ascii="宋体" w:hAnsi="宋体" w:cs="宋体" w:eastAsia="宋体" w:hint="default"/>
                <w:spacing w:val="-74"/>
                <w:w w:val="100"/>
                <w:sz w:val="18"/>
                <w:szCs w:val="18"/>
              </w:rPr>
              <w:t> </w:t>
            </w:r>
            <w:r>
              <w:rPr>
                <w:rFonts w:ascii="宋体" w:hAnsi="宋体" w:cs="宋体" w:eastAsia="宋体" w:hint="default"/>
                <w:sz w:val="18"/>
                <w:szCs w:val="18"/>
              </w:rPr>
              <w:t>大</w:t>
            </w:r>
            <w:r>
              <w:rPr>
                <w:rFonts w:ascii="Times New Roman" w:hAnsi="Times New Roman" w:cs="Times New Roman" w:eastAsia="Times New Roman" w:hint="default"/>
                <w:sz w:val="18"/>
                <w:szCs w:val="18"/>
              </w:rPr>
              <w:t>”</w:t>
            </w:r>
            <w:r>
              <w:rPr>
                <w:rFonts w:ascii="宋体" w:hAnsi="宋体" w:cs="宋体" w:eastAsia="宋体" w:hint="default"/>
                <w:sz w:val="18"/>
                <w:szCs w:val="18"/>
              </w:rPr>
              <w:t>决策程序，决策过程不民主，造成 </w:t>
            </w:r>
            <w:r>
              <w:rPr>
                <w:rFonts w:ascii="宋体" w:hAnsi="宋体" w:cs="宋体" w:eastAsia="宋体" w:hint="default"/>
                <w:spacing w:val="-9"/>
                <w:sz w:val="18"/>
                <w:szCs w:val="18"/>
              </w:rPr>
              <w:t>决策严重失误；（</w:t>
            </w:r>
            <w:r>
              <w:rPr>
                <w:rFonts w:ascii="Times New Roman" w:hAnsi="Times New Roman" w:cs="Times New Roman" w:eastAsia="Times New Roman" w:hint="default"/>
                <w:spacing w:val="-9"/>
                <w:sz w:val="18"/>
                <w:szCs w:val="18"/>
              </w:rPr>
              <w:t>2</w:t>
            </w:r>
            <w:r>
              <w:rPr>
                <w:rFonts w:ascii="宋体" w:hAnsi="宋体" w:cs="宋体" w:eastAsia="宋体" w:hint="default"/>
                <w:spacing w:val="-9"/>
                <w:sz w:val="18"/>
                <w:szCs w:val="18"/>
              </w:rPr>
              <w:t>）经营行为严重违反</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9"/>
                <w:sz w:val="18"/>
                <w:szCs w:val="18"/>
              </w:rPr>
              <w:t>国家有关法律、法规；（</w:t>
            </w:r>
            <w:r>
              <w:rPr>
                <w:rFonts w:ascii="Times New Roman" w:hAnsi="Times New Roman" w:cs="Times New Roman" w:eastAsia="Times New Roman" w:hint="default"/>
                <w:spacing w:val="-9"/>
                <w:sz w:val="18"/>
                <w:szCs w:val="18"/>
              </w:rPr>
              <w:t>3</w:t>
            </w:r>
            <w:r>
              <w:rPr>
                <w:rFonts w:ascii="宋体" w:hAnsi="宋体" w:cs="宋体" w:eastAsia="宋体" w:hint="default"/>
                <w:spacing w:val="-9"/>
                <w:sz w:val="18"/>
                <w:szCs w:val="18"/>
              </w:rPr>
              <w:t>）管理人员或</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9"/>
                <w:sz w:val="18"/>
                <w:szCs w:val="18"/>
              </w:rPr>
              <w:t>技术人员大量流失；（</w:t>
            </w:r>
            <w:r>
              <w:rPr>
                <w:rFonts w:ascii="Times New Roman" w:hAnsi="Times New Roman" w:cs="Times New Roman" w:eastAsia="Times New Roman" w:hint="default"/>
                <w:spacing w:val="-9"/>
                <w:sz w:val="18"/>
                <w:szCs w:val="18"/>
              </w:rPr>
              <w:t>4</w:t>
            </w:r>
            <w:r>
              <w:rPr>
                <w:rFonts w:ascii="宋体" w:hAnsi="宋体" w:cs="宋体" w:eastAsia="宋体" w:hint="default"/>
                <w:spacing w:val="-9"/>
                <w:sz w:val="18"/>
                <w:szCs w:val="18"/>
              </w:rPr>
              <w:t>）内部控制评价</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5"/>
                <w:sz w:val="18"/>
                <w:szCs w:val="18"/>
              </w:rPr>
              <w:t>结果特别是重大缺陷未得到整改；（</w:t>
            </w:r>
            <w:r>
              <w:rPr>
                <w:rFonts w:ascii="Times New Roman" w:hAnsi="Times New Roman" w:cs="Times New Roman" w:eastAsia="Times New Roman" w:hint="default"/>
                <w:spacing w:val="-5"/>
                <w:sz w:val="18"/>
                <w:szCs w:val="18"/>
              </w:rPr>
              <w:t>5</w:t>
            </w:r>
            <w:r>
              <w:rPr>
                <w:rFonts w:ascii="宋体" w:hAnsi="宋体" w:cs="宋体" w:eastAsia="宋体" w:hint="default"/>
                <w:spacing w:val="-5"/>
                <w:sz w:val="18"/>
                <w:szCs w:val="18"/>
              </w:rPr>
              <w:t>）</w:t>
            </w:r>
            <w:r>
              <w:rPr>
                <w:rFonts w:ascii="宋体" w:hAnsi="宋体" w:cs="宋体" w:eastAsia="宋体" w:hint="default"/>
                <w:sz w:val="18"/>
                <w:szCs w:val="18"/>
              </w:rPr>
              <w:t> 重要业务缺乏制度控制或制度系统性 </w:t>
            </w:r>
            <w:r>
              <w:rPr>
                <w:rFonts w:ascii="宋体" w:hAnsi="宋体" w:cs="宋体" w:eastAsia="宋体" w:hint="default"/>
                <w:spacing w:val="-9"/>
                <w:sz w:val="18"/>
                <w:szCs w:val="18"/>
              </w:rPr>
              <w:t>失效；（</w:t>
            </w:r>
            <w:r>
              <w:rPr>
                <w:rFonts w:ascii="Times New Roman" w:hAnsi="Times New Roman" w:cs="Times New Roman" w:eastAsia="Times New Roman" w:hint="default"/>
                <w:spacing w:val="-9"/>
                <w:sz w:val="18"/>
                <w:szCs w:val="18"/>
              </w:rPr>
              <w:t>6</w:t>
            </w:r>
            <w:r>
              <w:rPr>
                <w:rFonts w:ascii="宋体" w:hAnsi="宋体" w:cs="宋体" w:eastAsia="宋体" w:hint="default"/>
                <w:spacing w:val="-9"/>
                <w:sz w:val="18"/>
                <w:szCs w:val="18"/>
              </w:rPr>
              <w:t>）其造成的负面影响波及范围</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4"/>
                <w:sz w:val="18"/>
                <w:szCs w:val="18"/>
              </w:rPr>
              <w:t>极广、普遍引起公众关注，为公司声誉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9"/>
                <w:sz w:val="18"/>
                <w:szCs w:val="18"/>
              </w:rPr>
              <w:t>带来无法弥补的损害；（</w:t>
            </w:r>
            <w:r>
              <w:rPr>
                <w:rFonts w:ascii="Times New Roman" w:hAnsi="Times New Roman" w:cs="Times New Roman" w:eastAsia="Times New Roman" w:hint="default"/>
                <w:spacing w:val="-9"/>
                <w:sz w:val="18"/>
                <w:szCs w:val="18"/>
              </w:rPr>
              <w:t>7</w:t>
            </w:r>
            <w:r>
              <w:rPr>
                <w:rFonts w:ascii="宋体" w:hAnsi="宋体" w:cs="宋体" w:eastAsia="宋体" w:hint="default"/>
                <w:spacing w:val="-9"/>
                <w:sz w:val="18"/>
                <w:szCs w:val="18"/>
              </w:rPr>
              <w:t>）政府或监管</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机构已经针对相关方面进行调查。</w:t>
            </w:r>
          </w:p>
          <w:p>
            <w:pPr>
              <w:pStyle w:val="TableParagraph"/>
              <w:spacing w:line="319" w:lineRule="auto" w:before="66"/>
              <w:ind w:left="4" w:right="21"/>
              <w:jc w:val="left"/>
              <w:rPr>
                <w:rFonts w:ascii="宋体" w:hAnsi="宋体" w:cs="宋体" w:eastAsia="宋体" w:hint="default"/>
                <w:sz w:val="18"/>
                <w:szCs w:val="18"/>
              </w:rPr>
            </w:pPr>
            <w:r>
              <w:rPr>
                <w:rFonts w:ascii="宋体" w:hAnsi="宋体" w:cs="宋体" w:eastAsia="宋体" w:hint="default"/>
                <w:spacing w:val="-4"/>
                <w:sz w:val="18"/>
                <w:szCs w:val="18"/>
              </w:rPr>
              <w:t>二、重要缺陷：除上述重大缺陷的其他</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情形按影响程度分别确定为重要缺陷 或一般缺陷。</w:t>
            </w:r>
          </w:p>
          <w:p>
            <w:pPr>
              <w:pStyle w:val="TableParagraph"/>
              <w:spacing w:line="319" w:lineRule="auto" w:before="56"/>
              <w:ind w:left="4" w:right="21"/>
              <w:jc w:val="left"/>
              <w:rPr>
                <w:rFonts w:ascii="宋体" w:hAnsi="宋体" w:cs="宋体" w:eastAsia="宋体" w:hint="default"/>
                <w:sz w:val="18"/>
                <w:szCs w:val="18"/>
              </w:rPr>
            </w:pPr>
            <w:r>
              <w:rPr>
                <w:rFonts w:ascii="宋体" w:hAnsi="宋体" w:cs="宋体" w:eastAsia="宋体" w:hint="default"/>
                <w:spacing w:val="-4"/>
                <w:sz w:val="18"/>
                <w:szCs w:val="18"/>
              </w:rPr>
              <w:t>三、一般缺陷：除上述重大缺陷的其他</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情形按影响程度分别确定为重要缺陷 或一般缺陷。</w:t>
            </w:r>
          </w:p>
        </w:tc>
      </w:tr>
      <w:tr>
        <w:trPr>
          <w:trHeight w:val="392" w:hRule="exact"/>
        </w:trPr>
        <w:tc>
          <w:tcPr>
            <w:tcW w:w="318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41" w:type="dxa"/>
            <w:vMerge/>
            <w:tcBorders>
              <w:left w:val="single" w:sz="9" w:space="0" w:color="D2D2D2"/>
              <w:right w:val="single" w:sz="9" w:space="0" w:color="FFFFFF"/>
            </w:tcBorders>
          </w:tcPr>
          <w:p>
            <w:pPr/>
          </w:p>
        </w:tc>
        <w:tc>
          <w:tcPr>
            <w:tcW w:w="3039" w:type="dxa"/>
            <w:vMerge/>
            <w:tcBorders>
              <w:left w:val="single" w:sz="9" w:space="0" w:color="FFFFFF"/>
              <w:right w:val="single" w:sz="4" w:space="0" w:color="000000"/>
            </w:tcBorders>
          </w:tcPr>
          <w:p>
            <w:pPr/>
          </w:p>
        </w:tc>
      </w:tr>
      <w:tr>
        <w:trPr>
          <w:trHeight w:val="2540" w:hRule="exact"/>
        </w:trPr>
        <w:tc>
          <w:tcPr>
            <w:tcW w:w="3189" w:type="dxa"/>
            <w:tcBorders>
              <w:top w:val="nil" w:sz="6" w:space="0" w:color="auto"/>
              <w:left w:val="single" w:sz="4" w:space="0" w:color="000000"/>
              <w:bottom w:val="single" w:sz="4" w:space="0" w:color="000000"/>
              <w:right w:val="single" w:sz="4" w:space="0" w:color="000000"/>
            </w:tcBorders>
            <w:shd w:val="clear" w:color="auto" w:fill="D2D2D2"/>
          </w:tcPr>
          <w:p>
            <w:pPr/>
          </w:p>
        </w:tc>
        <w:tc>
          <w:tcPr>
            <w:tcW w:w="3341" w:type="dxa"/>
            <w:vMerge/>
            <w:tcBorders>
              <w:left w:val="single" w:sz="9" w:space="0" w:color="D2D2D2"/>
              <w:bottom w:val="single" w:sz="4" w:space="0" w:color="000000"/>
              <w:right w:val="single" w:sz="9" w:space="0" w:color="FFFFFF"/>
            </w:tcBorders>
          </w:tcPr>
          <w:p>
            <w:pPr/>
          </w:p>
        </w:tc>
        <w:tc>
          <w:tcPr>
            <w:tcW w:w="3039" w:type="dxa"/>
            <w:vMerge/>
            <w:tcBorders>
              <w:left w:val="single" w:sz="9" w:space="0" w:color="FFFFFF"/>
              <w:bottom w:val="single" w:sz="4" w:space="0" w:color="000000"/>
              <w:right w:val="single" w:sz="4" w:space="0" w:color="000000"/>
            </w:tcBorders>
          </w:tcPr>
          <w:p>
            <w:pPr/>
          </w:p>
        </w:tc>
      </w:tr>
      <w:tr>
        <w:trPr>
          <w:trHeight w:val="766" w:hRule="exact"/>
        </w:trPr>
        <w:tc>
          <w:tcPr>
            <w:tcW w:w="31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341" w:type="dxa"/>
            <w:vMerge w:val="restart"/>
            <w:tcBorders>
              <w:top w:val="single" w:sz="4" w:space="0" w:color="000000"/>
              <w:left w:val="single" w:sz="9" w:space="0" w:color="D2D2D2"/>
              <w:right w:val="single" w:sz="4" w:space="0" w:color="000000"/>
            </w:tcBorders>
          </w:tcPr>
          <w:p>
            <w:pPr>
              <w:pStyle w:val="TableParagraph"/>
              <w:spacing w:line="304" w:lineRule="auto" w:before="51"/>
              <w:ind w:left="22" w:right="33"/>
              <w:jc w:val="left"/>
              <w:rPr>
                <w:rFonts w:ascii="宋体" w:hAnsi="宋体" w:cs="宋体" w:eastAsia="宋体" w:hint="default"/>
                <w:sz w:val="18"/>
                <w:szCs w:val="18"/>
              </w:rPr>
            </w:pPr>
            <w:r>
              <w:rPr>
                <w:rFonts w:ascii="宋体" w:hAnsi="宋体" w:cs="宋体" w:eastAsia="宋体" w:hint="default"/>
                <w:sz w:val="18"/>
                <w:szCs w:val="18"/>
              </w:rPr>
              <w:t>一、重大缺陷定量标准：错报≧总资产的 </w:t>
            </w:r>
            <w:r>
              <w:rPr>
                <w:rFonts w:ascii="Times New Roman" w:hAnsi="Times New Roman" w:cs="Times New Roman" w:eastAsia="Times New Roman" w:hint="default"/>
                <w:sz w:val="18"/>
                <w:szCs w:val="18"/>
              </w:rPr>
              <w:t>3% </w:t>
            </w:r>
            <w:r>
              <w:rPr>
                <w:rFonts w:ascii="宋体" w:hAnsi="宋体" w:cs="宋体" w:eastAsia="宋体" w:hint="default"/>
                <w:sz w:val="18"/>
                <w:szCs w:val="18"/>
              </w:rPr>
              <w:t>或者错报≧营业收入总额的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 </w:t>
            </w:r>
            <w:r>
              <w:rPr>
                <w:rFonts w:ascii="宋体" w:hAnsi="宋体" w:cs="宋体" w:eastAsia="宋体" w:hint="default"/>
                <w:spacing w:val="-6"/>
                <w:sz w:val="18"/>
                <w:szCs w:val="18"/>
              </w:rPr>
              <w:t>二、重要缺陷定量标准：总资产的</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≦错</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报﹤总资产的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或者营业收入总额的 </w:t>
            </w:r>
            <w:r>
              <w:rPr>
                <w:rFonts w:ascii="Times New Roman" w:hAnsi="Times New Roman" w:cs="Times New Roman" w:eastAsia="Times New Roman" w:hint="default"/>
                <w:sz w:val="18"/>
                <w:szCs w:val="18"/>
              </w:rPr>
              <w:t>2%</w:t>
            </w:r>
            <w:r>
              <w:rPr>
                <w:rFonts w:ascii="宋体" w:hAnsi="宋体" w:cs="宋体" w:eastAsia="宋体" w:hint="default"/>
                <w:sz w:val="18"/>
                <w:szCs w:val="18"/>
              </w:rPr>
              <w:t>≦错报﹤营业收入总额的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 </w:t>
            </w:r>
            <w:r>
              <w:rPr>
                <w:rFonts w:ascii="宋体" w:hAnsi="宋体" w:cs="宋体" w:eastAsia="宋体" w:hint="default"/>
                <w:spacing w:val="-6"/>
                <w:sz w:val="18"/>
                <w:szCs w:val="18"/>
              </w:rPr>
              <w:t>三、一般缺陷：错报﹤总资产的</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或者错</w:t>
            </w:r>
          </w:p>
        </w:tc>
        <w:tc>
          <w:tcPr>
            <w:tcW w:w="3039" w:type="dxa"/>
            <w:vMerge w:val="restart"/>
            <w:tcBorders>
              <w:top w:val="single" w:sz="4" w:space="0" w:color="000000"/>
              <w:left w:val="single" w:sz="4" w:space="0" w:color="000000"/>
              <w:right w:val="single" w:sz="4" w:space="0" w:color="000000"/>
            </w:tcBorders>
          </w:tcPr>
          <w:p>
            <w:pPr>
              <w:pStyle w:val="TableParagraph"/>
              <w:spacing w:line="307" w:lineRule="auto" w:before="51"/>
              <w:ind w:left="11" w:right="20"/>
              <w:jc w:val="left"/>
              <w:rPr>
                <w:rFonts w:ascii="Times New Roman" w:hAnsi="Times New Roman" w:cs="Times New Roman" w:eastAsia="Times New Roman" w:hint="default"/>
                <w:sz w:val="18"/>
                <w:szCs w:val="18"/>
              </w:rPr>
            </w:pPr>
            <w:r>
              <w:rPr>
                <w:rFonts w:ascii="宋体" w:hAnsi="宋体" w:cs="宋体" w:eastAsia="宋体" w:hint="default"/>
                <w:spacing w:val="-4"/>
                <w:sz w:val="18"/>
                <w:szCs w:val="18"/>
              </w:rPr>
              <w:t>一、重大缺陷定量标准：错报≧总资产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的 </w:t>
            </w:r>
            <w:r>
              <w:rPr>
                <w:rFonts w:ascii="Times New Roman" w:hAnsi="Times New Roman" w:cs="Times New Roman" w:eastAsia="Times New Roman" w:hint="default"/>
                <w:sz w:val="18"/>
                <w:szCs w:val="18"/>
              </w:rPr>
              <w:t>3% </w:t>
            </w:r>
            <w:r>
              <w:rPr>
                <w:rFonts w:ascii="宋体" w:hAnsi="宋体" w:cs="宋体" w:eastAsia="宋体" w:hint="default"/>
                <w:sz w:val="18"/>
                <w:szCs w:val="18"/>
              </w:rPr>
              <w:t>或者错报≧营业收入总额的 </w:t>
            </w:r>
            <w:r>
              <w:rPr>
                <w:rFonts w:ascii="Times New Roman" w:hAnsi="Times New Roman" w:cs="Times New Roman" w:eastAsia="Times New Roman" w:hint="default"/>
                <w:sz w:val="18"/>
                <w:szCs w:val="18"/>
              </w:rPr>
              <w:t>3%</w:t>
            </w:r>
            <w:r>
              <w:rPr>
                <w:rFonts w:ascii="宋体" w:hAnsi="宋体" w:cs="宋体" w:eastAsia="宋体" w:hint="default"/>
                <w:sz w:val="18"/>
                <w:szCs w:val="18"/>
              </w:rPr>
              <w:t>。 二、重要缺陷定量标准：总资产的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p>
            <w:pPr>
              <w:pStyle w:val="TableParagraph"/>
              <w:spacing w:line="300" w:lineRule="auto" w:before="7"/>
              <w:ind w:left="11" w:right="121"/>
              <w:jc w:val="left"/>
              <w:rPr>
                <w:rFonts w:ascii="宋体" w:hAnsi="宋体" w:cs="宋体" w:eastAsia="宋体" w:hint="default"/>
                <w:sz w:val="18"/>
                <w:szCs w:val="18"/>
              </w:rPr>
            </w:pPr>
            <w:r>
              <w:rPr>
                <w:rFonts w:ascii="宋体" w:hAnsi="宋体" w:cs="宋体" w:eastAsia="宋体" w:hint="default"/>
                <w:sz w:val="18"/>
                <w:szCs w:val="18"/>
              </w:rPr>
              <w:t>≦错报﹤总资产的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或者营业收入 总额的 </w:t>
            </w:r>
            <w:r>
              <w:rPr>
                <w:rFonts w:ascii="Times New Roman" w:hAnsi="Times New Roman" w:cs="Times New Roman" w:eastAsia="Times New Roman" w:hint="default"/>
                <w:sz w:val="18"/>
                <w:szCs w:val="18"/>
              </w:rPr>
              <w:t>2%</w:t>
            </w:r>
            <w:r>
              <w:rPr>
                <w:rFonts w:ascii="宋体" w:hAnsi="宋体" w:cs="宋体" w:eastAsia="宋体" w:hint="default"/>
                <w:sz w:val="18"/>
                <w:szCs w:val="18"/>
              </w:rPr>
              <w:t>≦错报﹤营业收入总额的</w:t>
            </w:r>
          </w:p>
        </w:tc>
      </w:tr>
      <w:tr>
        <w:trPr>
          <w:trHeight w:val="392" w:hRule="exact"/>
        </w:trPr>
        <w:tc>
          <w:tcPr>
            <w:tcW w:w="318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41" w:type="dxa"/>
            <w:vMerge/>
            <w:tcBorders>
              <w:left w:val="single" w:sz="9" w:space="0" w:color="D2D2D2"/>
              <w:right w:val="single" w:sz="4" w:space="0" w:color="000000"/>
            </w:tcBorders>
          </w:tcPr>
          <w:p>
            <w:pPr/>
          </w:p>
        </w:tc>
        <w:tc>
          <w:tcPr>
            <w:tcW w:w="3039" w:type="dxa"/>
            <w:vMerge/>
            <w:tcBorders>
              <w:left w:val="single" w:sz="4" w:space="0" w:color="000000"/>
              <w:right w:val="single" w:sz="4" w:space="0" w:color="000000"/>
            </w:tcBorders>
          </w:tcPr>
          <w:p>
            <w:pPr/>
          </w:p>
        </w:tc>
      </w:tr>
      <w:tr>
        <w:trPr>
          <w:trHeight w:val="766" w:hRule="exact"/>
        </w:trPr>
        <w:tc>
          <w:tcPr>
            <w:tcW w:w="3189" w:type="dxa"/>
            <w:tcBorders>
              <w:top w:val="nil" w:sz="6" w:space="0" w:color="auto"/>
              <w:left w:val="single" w:sz="4" w:space="0" w:color="000000"/>
              <w:bottom w:val="single" w:sz="4" w:space="0" w:color="000000"/>
              <w:right w:val="single" w:sz="4" w:space="0" w:color="000000"/>
            </w:tcBorders>
            <w:shd w:val="clear" w:color="auto" w:fill="D2D2D2"/>
          </w:tcPr>
          <w:p>
            <w:pPr/>
          </w:p>
        </w:tc>
        <w:tc>
          <w:tcPr>
            <w:tcW w:w="3341" w:type="dxa"/>
            <w:vMerge/>
            <w:tcBorders>
              <w:left w:val="single" w:sz="9" w:space="0" w:color="D2D2D2"/>
              <w:bottom w:val="single" w:sz="4" w:space="0" w:color="000000"/>
              <w:right w:val="single" w:sz="4" w:space="0" w:color="000000"/>
            </w:tcBorders>
          </w:tcPr>
          <w:p>
            <w:pPr/>
          </w:p>
        </w:tc>
        <w:tc>
          <w:tcPr>
            <w:tcW w:w="3039" w:type="dxa"/>
            <w:vMerge/>
            <w:tcBorders>
              <w:left w:val="single" w:sz="4" w:space="0" w:color="000000"/>
              <w:bottom w:val="single" w:sz="4" w:space="0" w:color="000000"/>
              <w:right w:val="single" w:sz="4" w:space="0" w:color="000000"/>
            </w:tcBorders>
          </w:tcPr>
          <w:p>
            <w:pPr/>
          </w:p>
        </w:tc>
      </w:tr>
    </w:tbl>
    <w:p>
      <w:pPr>
        <w:spacing w:after="0"/>
        <w:sectPr>
          <w:pgSz w:w="11910" w:h="16840"/>
          <w:pgMar w:header="851" w:footer="979" w:top="1400" w:bottom="1160" w:left="980" w:right="0"/>
        </w:sectPr>
      </w:pPr>
    </w:p>
    <w:p>
      <w:pPr>
        <w:spacing w:line="240" w:lineRule="auto" w:before="3"/>
        <w:rPr>
          <w:rFonts w:ascii="宋体" w:hAnsi="宋体" w:cs="宋体" w:eastAsia="宋体" w:hint="default"/>
          <w:b/>
          <w:bCs/>
          <w:sz w:val="3"/>
          <w:szCs w:val="3"/>
        </w:rPr>
      </w:pPr>
    </w:p>
    <w:tbl>
      <w:tblPr>
        <w:tblW w:w="0" w:type="auto"/>
        <w:jc w:val="left"/>
        <w:tblInd w:w="109" w:type="dxa"/>
        <w:tblLayout w:type="fixed"/>
        <w:tblCellMar>
          <w:top w:w="0" w:type="dxa"/>
          <w:left w:w="0" w:type="dxa"/>
          <w:bottom w:w="0" w:type="dxa"/>
          <w:right w:w="0" w:type="dxa"/>
        </w:tblCellMar>
        <w:tblLook w:val="01E0"/>
      </w:tblPr>
      <w:tblGrid>
        <w:gridCol w:w="3194"/>
        <w:gridCol w:w="3324"/>
        <w:gridCol w:w="3051"/>
      </w:tblGrid>
      <w:tr>
        <w:trPr>
          <w:trHeight w:val="998" w:hRule="exact"/>
        </w:trPr>
        <w:tc>
          <w:tcPr>
            <w:tcW w:w="3194" w:type="dxa"/>
            <w:tcBorders>
              <w:top w:val="single" w:sz="10" w:space="0" w:color="000000"/>
              <w:left w:val="single" w:sz="4" w:space="0" w:color="000000"/>
              <w:bottom w:val="single" w:sz="4" w:space="0" w:color="000000"/>
              <w:right w:val="single" w:sz="4" w:space="0" w:color="000000"/>
            </w:tcBorders>
            <w:shd w:val="clear" w:color="auto" w:fill="D2D2D2"/>
          </w:tcPr>
          <w:p>
            <w:pPr/>
          </w:p>
        </w:tc>
        <w:tc>
          <w:tcPr>
            <w:tcW w:w="332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7"/>
              <w:ind w:left="23" w:right="0"/>
              <w:jc w:val="left"/>
              <w:rPr>
                <w:rFonts w:ascii="宋体" w:hAnsi="宋体" w:cs="宋体" w:eastAsia="宋体" w:hint="default"/>
                <w:sz w:val="18"/>
                <w:szCs w:val="18"/>
              </w:rPr>
            </w:pPr>
            <w:r>
              <w:rPr>
                <w:rFonts w:ascii="宋体" w:hAnsi="宋体" w:cs="宋体" w:eastAsia="宋体" w:hint="default"/>
                <w:sz w:val="18"/>
                <w:szCs w:val="18"/>
              </w:rPr>
              <w:t>报﹤营业收入总额的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305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p>
          <w:p>
            <w:pPr>
              <w:pStyle w:val="TableParagraph"/>
              <w:spacing w:line="302" w:lineRule="auto" w:before="63"/>
              <w:ind w:left="22" w:right="31"/>
              <w:jc w:val="left"/>
              <w:rPr>
                <w:rFonts w:ascii="宋体" w:hAnsi="宋体" w:cs="宋体" w:eastAsia="宋体" w:hint="default"/>
                <w:sz w:val="18"/>
                <w:szCs w:val="18"/>
              </w:rPr>
            </w:pPr>
            <w:r>
              <w:rPr>
                <w:rFonts w:ascii="宋体" w:hAnsi="宋体" w:cs="宋体" w:eastAsia="宋体" w:hint="default"/>
                <w:sz w:val="18"/>
                <w:szCs w:val="18"/>
              </w:rPr>
              <w:t>三、一般缺陷：影响﹤总资产的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或 者影响﹤营业收入总额的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2"/>
        <w:rPr>
          <w:rFonts w:ascii="宋体" w:hAnsi="宋体" w:cs="宋体" w:eastAsia="宋体" w:hint="default"/>
          <w:b/>
          <w:bCs/>
          <w:sz w:val="18"/>
          <w:szCs w:val="18"/>
        </w:rPr>
      </w:pPr>
    </w:p>
    <w:p>
      <w:pPr>
        <w:pStyle w:val="Heading2"/>
        <w:spacing w:line="240" w:lineRule="auto" w:before="26"/>
        <w:ind w:left="114" w:right="1276"/>
        <w:jc w:val="left"/>
        <w:rPr>
          <w:b w:val="0"/>
          <w:bCs w:val="0"/>
        </w:rPr>
      </w:pPr>
      <w:bookmarkStart w:name="十、内部控制审计报告或鉴证报告" w:id="158"/>
      <w:bookmarkEnd w:id="158"/>
      <w:r>
        <w:rPr>
          <w:b w:val="0"/>
          <w:bCs w:val="0"/>
        </w:rPr>
      </w:r>
      <w:r>
        <w:rPr/>
        <w:t>十、内部控制审计报告或鉴证报告</w:t>
      </w:r>
      <w:r>
        <w:rPr>
          <w:b w:val="0"/>
          <w:bCs w:val="0"/>
        </w:rPr>
      </w:r>
    </w:p>
    <w:p>
      <w:pPr>
        <w:spacing w:line="240" w:lineRule="auto" w:before="7"/>
        <w:rPr>
          <w:rFonts w:ascii="宋体" w:hAnsi="宋体" w:cs="宋体" w:eastAsia="宋体" w:hint="default"/>
          <w:b/>
          <w:bCs/>
          <w:sz w:val="26"/>
          <w:szCs w:val="26"/>
        </w:rPr>
      </w:pPr>
    </w:p>
    <w:p>
      <w:pPr>
        <w:pStyle w:val="Heading5"/>
        <w:spacing w:line="240" w:lineRule="auto"/>
        <w:ind w:left="114" w:right="1276"/>
        <w:jc w:val="left"/>
        <w:rPr>
          <w:b w:val="0"/>
          <w:bCs w:val="0"/>
        </w:rPr>
      </w:pPr>
      <w:r>
        <w:rPr/>
        <w:t>不适用</w:t>
      </w:r>
      <w:r>
        <w:rPr>
          <w:b w:val="0"/>
          <w:bCs w:val="0"/>
        </w:rPr>
      </w:r>
    </w:p>
    <w:p>
      <w:pPr>
        <w:spacing w:after="0" w:line="240" w:lineRule="auto"/>
        <w:jc w:val="left"/>
        <w:sectPr>
          <w:pgSz w:w="11910" w:h="16840"/>
          <w:pgMar w:header="851" w:footer="979" w:top="1400" w:bottom="1160" w:left="1020" w:right="0"/>
        </w:sect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5"/>
          <w:szCs w:val="15"/>
        </w:rPr>
      </w:pPr>
    </w:p>
    <w:p>
      <w:pPr>
        <w:pStyle w:val="Heading1"/>
        <w:spacing w:line="240" w:lineRule="auto"/>
        <w:ind w:left="3207" w:right="0"/>
        <w:jc w:val="left"/>
        <w:rPr>
          <w:b w:val="0"/>
          <w:bCs w:val="0"/>
        </w:rPr>
      </w:pPr>
      <w:bookmarkStart w:name="第十节公司债券相关情况" w:id="159"/>
      <w:bookmarkEnd w:id="159"/>
      <w:r>
        <w:rPr>
          <w:b w:val="0"/>
          <w:bCs w:val="0"/>
        </w:rPr>
      </w:r>
      <w:bookmarkStart w:name="_bookmark9" w:id="160"/>
      <w:bookmarkEnd w:id="160"/>
      <w:r>
        <w:rPr>
          <w:b w:val="0"/>
          <w:bCs w:val="0"/>
        </w:rPr>
      </w:r>
      <w:r>
        <w:rPr/>
        <w:t>第十节公司债券相关情况</w:t>
      </w:r>
      <w:r>
        <w:rPr>
          <w:b w:val="0"/>
          <w:bCs w:val="0"/>
        </w:rPr>
      </w:r>
    </w:p>
    <w:p>
      <w:pPr>
        <w:spacing w:line="240" w:lineRule="auto" w:before="0"/>
        <w:rPr>
          <w:rFonts w:ascii="宋体" w:hAnsi="宋体" w:cs="宋体" w:eastAsia="宋体" w:hint="default"/>
          <w:b/>
          <w:bCs/>
          <w:sz w:val="32"/>
          <w:szCs w:val="32"/>
        </w:rPr>
      </w:pPr>
    </w:p>
    <w:p>
      <w:pPr>
        <w:pStyle w:val="BodyText"/>
        <w:spacing w:line="477" w:lineRule="auto" w:before="215"/>
        <w:ind w:right="2112"/>
        <w:jc w:val="left"/>
        <w:rPr>
          <w:rFonts w:ascii="宋体" w:hAnsi="宋体" w:cs="宋体" w:eastAsia="宋体" w:hint="default"/>
        </w:rPr>
      </w:pPr>
      <w:r>
        <w:rPr/>
        <w:t>公司是否存在公开发行并在证券交易所上市，且在年度报告批准报出日未到期或到期未能全额兑付的公司债券 </w:t>
      </w:r>
      <w:r>
        <w:rPr>
          <w:rFonts w:ascii="宋体" w:hAnsi="宋体" w:cs="宋体" w:eastAsia="宋体" w:hint="default"/>
          <w:b/>
          <w:bCs/>
        </w:rPr>
        <w:t>否</w:t>
      </w:r>
      <w:r>
        <w:rPr>
          <w:rFonts w:ascii="宋体" w:hAnsi="宋体" w:cs="宋体" w:eastAsia="宋体" w:hint="default"/>
        </w:rPr>
      </w:r>
    </w:p>
    <w:p>
      <w:pPr>
        <w:spacing w:after="0" w:line="477" w:lineRule="auto"/>
        <w:jc w:val="left"/>
        <w:rPr>
          <w:rFonts w:ascii="宋体" w:hAnsi="宋体" w:cs="宋体" w:eastAsia="宋体" w:hint="default"/>
        </w:rPr>
        <w:sectPr>
          <w:headerReference w:type="default" r:id="rId90"/>
          <w:pgSz w:w="11910" w:h="16840"/>
          <w:pgMar w:header="851" w:footer="979" w:top="1400" w:bottom="1160" w:left="980" w:right="0"/>
        </w:sectPr>
      </w:pPr>
    </w:p>
    <w:p>
      <w:pPr>
        <w:spacing w:line="240" w:lineRule="auto" w:before="0"/>
        <w:rPr>
          <w:rFonts w:ascii="宋体" w:hAnsi="宋体" w:cs="宋体" w:eastAsia="宋体" w:hint="default"/>
          <w:b/>
          <w:bCs/>
          <w:sz w:val="20"/>
          <w:szCs w:val="20"/>
        </w:rPr>
      </w:pPr>
    </w:p>
    <w:p>
      <w:pPr>
        <w:pStyle w:val="Heading1"/>
        <w:spacing w:line="240" w:lineRule="auto" w:before="155"/>
        <w:ind w:right="979"/>
        <w:jc w:val="center"/>
        <w:rPr>
          <w:b w:val="0"/>
          <w:bCs w:val="0"/>
        </w:rPr>
      </w:pPr>
      <w:bookmarkStart w:name="第十一节财务报告" w:id="161"/>
      <w:bookmarkEnd w:id="161"/>
      <w:r>
        <w:rPr>
          <w:b w:val="0"/>
          <w:bCs w:val="0"/>
        </w:rPr>
      </w:r>
      <w:bookmarkStart w:name="_bookmark10" w:id="162"/>
      <w:bookmarkEnd w:id="162"/>
      <w:r>
        <w:rPr>
          <w:b w:val="0"/>
          <w:bCs w:val="0"/>
        </w:rPr>
      </w:r>
      <w:r>
        <w:rPr/>
        <w:t>第十一节财务报告</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left"/>
        <w:rPr>
          <w:b w:val="0"/>
          <w:bCs w:val="0"/>
        </w:rPr>
      </w:pPr>
      <w:bookmarkStart w:name="一、审计报告" w:id="163"/>
      <w:bookmarkEnd w:id="163"/>
      <w:r>
        <w:rPr>
          <w:b w:val="0"/>
          <w:bCs w:val="0"/>
        </w:rPr>
      </w:r>
      <w:r>
        <w:rPr/>
        <w:t>一、审计报告</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4"/>
        <w:gridCol w:w="4785"/>
      </w:tblGrid>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信会师报字</w:t>
            </w:r>
            <w:r>
              <w:rPr>
                <w:rFonts w:ascii="Times New Roman" w:hAnsi="Times New Roman" w:cs="Times New Roman" w:eastAsia="Times New Roman" w:hint="default"/>
                <w:sz w:val="18"/>
                <w:szCs w:val="18"/>
              </w:rPr>
              <w:t>[2019]</w:t>
            </w:r>
            <w:r>
              <w:rPr>
                <w:rFonts w:ascii="宋体" w:hAnsi="宋体" w:cs="宋体" w:eastAsia="宋体" w:hint="default"/>
                <w:sz w:val="18"/>
                <w:szCs w:val="18"/>
              </w:rPr>
              <w:t>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ZA13085 </w:t>
            </w:r>
            <w:r>
              <w:rPr>
                <w:rFonts w:ascii="宋体" w:hAnsi="宋体" w:cs="宋体" w:eastAsia="宋体" w:hint="default"/>
                <w:sz w:val="18"/>
                <w:szCs w:val="18"/>
              </w:rPr>
              <w:t>号</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王一芳、张佳朕</w:t>
            </w:r>
          </w:p>
        </w:tc>
      </w:tr>
    </w:tbl>
    <w:p>
      <w:pPr>
        <w:spacing w:after="0" w:line="240" w:lineRule="auto"/>
        <w:jc w:val="left"/>
        <w:rPr>
          <w:rFonts w:ascii="宋体" w:hAnsi="宋体" w:cs="宋体" w:eastAsia="宋体" w:hint="default"/>
          <w:sz w:val="18"/>
          <w:szCs w:val="18"/>
        </w:rPr>
        <w:sectPr>
          <w:pgSz w:w="11910" w:h="16840"/>
          <w:pgMar w:header="851" w:footer="979" w:top="1460" w:bottom="1160" w:left="980" w:right="0"/>
        </w:sectPr>
      </w:pPr>
    </w:p>
    <w:p>
      <w:pPr>
        <w:pStyle w:val="Heading2"/>
        <w:spacing w:line="240" w:lineRule="auto" w:before="12"/>
        <w:ind w:left="0" w:right="976"/>
        <w:jc w:val="center"/>
        <w:rPr>
          <w:b w:val="0"/>
          <w:bCs w:val="0"/>
        </w:rPr>
      </w:pPr>
      <w:r>
        <w:rPr/>
        <w:pict>
          <v:group style="position:absolute;margin-left:55.200001pt;margin-top:2.195596pt;width:485pt;height:.1pt;mso-position-horizontal-relative:page;mso-position-vertical-relative:paragraph;z-index:-1076800" coordorigin="1104,44" coordsize="9700,2">
            <v:shape style="position:absolute;left:1104;top:44;width:9700;height:2" coordorigin="1104,44" coordsize="9700,0" path="m1104,44l10804,44e" filled="false" stroked="true" strokeweight=".72pt" strokecolor="#000000">
              <v:path arrowok="t"/>
            </v:shape>
            <w10:wrap type="none"/>
          </v:group>
        </w:pict>
      </w:r>
      <w:r>
        <w:rPr/>
        <w:t>审计报告</w:t>
      </w:r>
      <w:r>
        <w:rPr>
          <w:b w:val="0"/>
          <w:bCs w:val="0"/>
        </w:rPr>
      </w:r>
    </w:p>
    <w:p>
      <w:pPr>
        <w:spacing w:line="240" w:lineRule="auto" w:before="1"/>
        <w:rPr>
          <w:rFonts w:ascii="宋体" w:hAnsi="宋体" w:cs="宋体" w:eastAsia="宋体" w:hint="default"/>
          <w:b/>
          <w:bCs/>
          <w:sz w:val="24"/>
          <w:szCs w:val="24"/>
        </w:rPr>
      </w:pPr>
    </w:p>
    <w:p>
      <w:pPr>
        <w:pStyle w:val="BodyText"/>
        <w:spacing w:line="240" w:lineRule="auto" w:before="44"/>
        <w:ind w:left="0" w:right="1130"/>
        <w:jc w:val="right"/>
      </w:pPr>
      <w:r>
        <w:rPr>
          <w:spacing w:val="-1"/>
        </w:rPr>
        <w:t>信会师报字</w:t>
      </w:r>
      <w:r>
        <w:rPr>
          <w:rFonts w:ascii="Times New Roman" w:hAnsi="Times New Roman" w:cs="Times New Roman" w:eastAsia="Times New Roman" w:hint="default"/>
          <w:spacing w:val="-1"/>
        </w:rPr>
        <w:t>[2019]</w:t>
      </w:r>
      <w:r>
        <w:rPr>
          <w:spacing w:val="-1"/>
        </w:rPr>
        <w:t>第</w:t>
      </w:r>
      <w:r>
        <w:rPr>
          <w:rFonts w:ascii="Times New Roman" w:hAnsi="Times New Roman" w:cs="Times New Roman" w:eastAsia="Times New Roman" w:hint="default"/>
          <w:spacing w:val="-1"/>
        </w:rPr>
        <w:t>ZA13085</w:t>
      </w:r>
      <w:r>
        <w:rPr>
          <w:spacing w:val="-1"/>
        </w:rPr>
        <w:t>号</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pStyle w:val="Heading5"/>
        <w:spacing w:line="477" w:lineRule="auto"/>
        <w:ind w:left="515" w:right="7320" w:hanging="362"/>
        <w:jc w:val="left"/>
        <w:rPr>
          <w:b w:val="0"/>
          <w:bCs w:val="0"/>
        </w:rPr>
      </w:pPr>
      <w:r>
        <w:rPr/>
        <w:t>北京神州泰岳软件股份有限公司全体股东：</w:t>
      </w:r>
      <w:r>
        <w:rPr>
          <w:w w:val="99"/>
        </w:rPr>
        <w:t> </w:t>
      </w:r>
      <w:r>
        <w:rPr/>
        <w:t>一、审计意见</w:t>
      </w:r>
      <w:r>
        <w:rPr>
          <w:b w:val="0"/>
          <w:bCs w:val="0"/>
        </w:rPr>
      </w:r>
    </w:p>
    <w:p>
      <w:pPr>
        <w:pStyle w:val="BodyText"/>
        <w:spacing w:line="451" w:lineRule="auto" w:before="54"/>
        <w:ind w:right="1130" w:firstLine="360"/>
        <w:jc w:val="right"/>
      </w:pPr>
      <w:r>
        <w:rPr>
          <w:spacing w:val="-2"/>
        </w:rPr>
        <w:t>我们审计了北京神州泰岳软件股份有限公司（以下简称神州泰岳）财务报表，包括</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日的合并及母公司资产</w:t>
      </w:r>
      <w:r>
        <w:rPr/>
        <w:t> </w:t>
      </w:r>
      <w:r>
        <w:rPr>
          <w:spacing w:val="-5"/>
        </w:rPr>
        <w:t>负债表，</w:t>
      </w:r>
      <w:r>
        <w:rPr>
          <w:rFonts w:ascii="Times New Roman" w:hAnsi="Times New Roman" w:cs="Times New Roman" w:eastAsia="Times New Roman" w:hint="default"/>
          <w:spacing w:val="-5"/>
        </w:rPr>
        <w:t>2018</w:t>
      </w:r>
      <w:r>
        <w:rPr>
          <w:spacing w:val="-5"/>
        </w:rPr>
        <w:t>年度的合并及母公司利润表、合并及母公司现金流量表、合并及母公司股东权益变动表以及相关财务报表附注。</w:t>
      </w:r>
      <w:r>
        <w:rPr>
          <w:spacing w:val="-79"/>
        </w:rPr>
        <w:t> </w:t>
      </w:r>
      <w:r>
        <w:rPr>
          <w:spacing w:val="-79"/>
        </w:rPr>
      </w:r>
      <w:r>
        <w:rPr>
          <w:spacing w:val="-2"/>
        </w:rPr>
        <w:t>我们认为，后附的财务报表在所有重大方面按照企业会计准则的规定编制，公允反映了神州泰岳</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日的合并</w:t>
      </w:r>
    </w:p>
    <w:p>
      <w:pPr>
        <w:spacing w:line="451" w:lineRule="auto" w:before="43"/>
        <w:ind w:left="515" w:right="5173" w:hanging="362"/>
        <w:jc w:val="left"/>
        <w:rPr>
          <w:rFonts w:ascii="宋体" w:hAnsi="宋体" w:cs="宋体" w:eastAsia="宋体" w:hint="default"/>
          <w:sz w:val="18"/>
          <w:szCs w:val="18"/>
        </w:rPr>
      </w:pPr>
      <w:r>
        <w:rPr>
          <w:rFonts w:ascii="宋体" w:hAnsi="宋体" w:cs="宋体" w:eastAsia="宋体" w:hint="default"/>
          <w:sz w:val="18"/>
          <w:szCs w:val="18"/>
        </w:rPr>
        <w:t>及母公司财务状况以及</w:t>
      </w:r>
      <w:r>
        <w:rPr>
          <w:rFonts w:ascii="Times New Roman" w:hAnsi="Times New Roman" w:cs="Times New Roman" w:eastAsia="Times New Roman" w:hint="default"/>
          <w:sz w:val="18"/>
          <w:szCs w:val="18"/>
        </w:rPr>
        <w:t>2018</w:t>
      </w:r>
      <w:r>
        <w:rPr>
          <w:rFonts w:ascii="宋体" w:hAnsi="宋体" w:cs="宋体" w:eastAsia="宋体" w:hint="default"/>
          <w:sz w:val="18"/>
          <w:szCs w:val="18"/>
        </w:rPr>
        <w:t>年度的合并及母公司经营成果和现金流量。 </w:t>
      </w:r>
      <w:r>
        <w:rPr>
          <w:rFonts w:ascii="宋体" w:hAnsi="宋体" w:cs="宋体" w:eastAsia="宋体" w:hint="default"/>
          <w:b/>
          <w:bCs/>
          <w:sz w:val="18"/>
          <w:szCs w:val="18"/>
        </w:rPr>
        <w:t>二、形成审计意见的基础</w:t>
      </w:r>
      <w:r>
        <w:rPr>
          <w:rFonts w:ascii="宋体" w:hAnsi="宋体" w:cs="宋体" w:eastAsia="宋体" w:hint="default"/>
          <w:sz w:val="18"/>
          <w:szCs w:val="18"/>
        </w:rPr>
      </w:r>
    </w:p>
    <w:p>
      <w:pPr>
        <w:pStyle w:val="BodyText"/>
        <w:spacing w:line="463" w:lineRule="auto" w:before="74"/>
        <w:ind w:right="1130" w:firstLine="360"/>
        <w:jc w:val="both"/>
      </w:pPr>
      <w:r>
        <w:rPr>
          <w:spacing w:val="-2"/>
        </w:rPr>
        <w:t>我们按照中国注册会计师审计准则的规定执行了审计工作。审计报告的</w:t>
      </w:r>
      <w:r>
        <w:rPr>
          <w:rFonts w:ascii="Times New Roman" w:hAnsi="Times New Roman" w:cs="Times New Roman" w:eastAsia="Times New Roman" w:hint="default"/>
          <w:spacing w:val="-2"/>
        </w:rPr>
        <w:t>“</w:t>
      </w:r>
      <w:r>
        <w:rPr>
          <w:spacing w:val="-2"/>
        </w:rPr>
        <w:t>注册会计师对财务报表审计的责任</w:t>
      </w:r>
      <w:r>
        <w:rPr>
          <w:rFonts w:ascii="Times New Roman" w:hAnsi="Times New Roman" w:cs="Times New Roman" w:eastAsia="Times New Roman" w:hint="default"/>
          <w:spacing w:val="-2"/>
        </w:rPr>
        <w:t>”</w:t>
      </w:r>
      <w:r>
        <w:rPr>
          <w:spacing w:val="-2"/>
        </w:rPr>
        <w:t>部分进一步</w:t>
      </w:r>
      <w:r>
        <w:rPr/>
        <w:t> </w:t>
      </w:r>
      <w:r>
        <w:rPr>
          <w:spacing w:val="-2"/>
        </w:rPr>
        <w:t>阐述了我们在这些准则下的责任。按照中国注册会计师职业道德守则，我们独立于神州泰岳，并履行了职业道德方面的其他</w:t>
      </w:r>
      <w:r>
        <w:rPr>
          <w:spacing w:val="-66"/>
        </w:rPr>
        <w:t> </w:t>
      </w:r>
      <w:r>
        <w:rPr>
          <w:spacing w:val="-66"/>
        </w:rPr>
      </w:r>
      <w:r>
        <w:rPr/>
        <w:t>责任。我们相信，我们获取的审计证据是充分、适当的，为发表审计意见提供了基础。</w:t>
      </w:r>
    </w:p>
    <w:p>
      <w:pPr>
        <w:pStyle w:val="BodyText"/>
        <w:spacing w:line="477" w:lineRule="auto" w:before="65"/>
        <w:ind w:left="514" w:right="0" w:firstLine="2"/>
        <w:jc w:val="left"/>
      </w:pPr>
      <w:r>
        <w:rPr>
          <w:rFonts w:ascii="宋体" w:hAnsi="宋体" w:cs="宋体" w:eastAsia="宋体" w:hint="default"/>
          <w:b/>
          <w:bCs/>
        </w:rPr>
        <w:t>三、关键审计事项</w:t>
      </w:r>
      <w:r>
        <w:rPr>
          <w:rFonts w:ascii="宋体" w:hAnsi="宋体" w:cs="宋体" w:eastAsia="宋体" w:hint="default"/>
          <w:b/>
          <w:bCs/>
          <w:w w:val="99"/>
        </w:rPr>
        <w:t> </w:t>
      </w:r>
      <w:r>
        <w:rPr>
          <w:spacing w:val="-2"/>
        </w:rPr>
        <w:t>关键审计事项是我们根据职业判断，认为对本期财务报表审计最为重要的事项。这些事项的应对以对财务报表整体进行</w:t>
      </w:r>
    </w:p>
    <w:p>
      <w:pPr>
        <w:pStyle w:val="BodyText"/>
        <w:spacing w:line="240" w:lineRule="auto" w:before="54"/>
        <w:ind w:right="0"/>
        <w:jc w:val="left"/>
      </w:pPr>
      <w:r>
        <w:rPr/>
        <w:t>审计并形成审计意见为背景</w:t>
      </w:r>
      <w:r>
        <w:rPr>
          <w:spacing w:val="-87"/>
        </w:rPr>
        <w:t>，</w:t>
      </w:r>
      <w:r>
        <w:rPr/>
        <w:t>我们不对这些事项单独发表意见</w:t>
      </w:r>
      <w:r>
        <w:rPr>
          <w:spacing w:val="-87"/>
        </w:rPr>
        <w:t>。</w:t>
      </w:r>
      <w:r>
        <w:rPr/>
        <w:t>我们确定下列事项是需要在审计报告中沟通的关键审计事项。</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tbl>
      <w:tblPr>
        <w:tblW w:w="0" w:type="auto"/>
        <w:jc w:val="left"/>
        <w:tblInd w:w="137" w:type="dxa"/>
        <w:tblLayout w:type="fixed"/>
        <w:tblCellMar>
          <w:top w:w="0" w:type="dxa"/>
          <w:left w:w="0" w:type="dxa"/>
          <w:bottom w:w="0" w:type="dxa"/>
          <w:right w:w="0" w:type="dxa"/>
        </w:tblCellMar>
        <w:tblLook w:val="01E0"/>
      </w:tblPr>
      <w:tblGrid>
        <w:gridCol w:w="4880"/>
        <w:gridCol w:w="4779"/>
      </w:tblGrid>
      <w:tr>
        <w:trPr>
          <w:trHeight w:val="427" w:hRule="exact"/>
        </w:trPr>
        <w:tc>
          <w:tcPr>
            <w:tcW w:w="4880" w:type="dxa"/>
            <w:tcBorders>
              <w:top w:val="single" w:sz="6" w:space="0" w:color="000000"/>
              <w:left w:val="single" w:sz="6" w:space="0" w:color="000000"/>
              <w:bottom w:val="single" w:sz="6" w:space="0" w:color="000000"/>
              <w:right w:val="single" w:sz="6" w:space="0" w:color="000000"/>
            </w:tcBorders>
            <w:shd w:val="clear" w:color="auto" w:fill="D0CECE"/>
          </w:tcPr>
          <w:p>
            <w:pPr>
              <w:pStyle w:val="TableParagraph"/>
              <w:spacing w:line="240" w:lineRule="auto" w:before="62"/>
              <w:ind w:right="1"/>
              <w:jc w:val="center"/>
              <w:rPr>
                <w:rFonts w:ascii="宋体" w:hAnsi="宋体" w:cs="宋体" w:eastAsia="宋体" w:hint="default"/>
                <w:sz w:val="18"/>
                <w:szCs w:val="18"/>
              </w:rPr>
            </w:pPr>
            <w:r>
              <w:rPr>
                <w:rFonts w:ascii="宋体" w:hAnsi="宋体" w:cs="宋体" w:eastAsia="宋体" w:hint="default"/>
                <w:b/>
                <w:bCs/>
                <w:sz w:val="18"/>
                <w:szCs w:val="18"/>
              </w:rPr>
              <w:t>关键审计事项</w:t>
            </w:r>
            <w:r>
              <w:rPr>
                <w:rFonts w:ascii="宋体" w:hAnsi="宋体" w:cs="宋体" w:eastAsia="宋体" w:hint="default"/>
                <w:sz w:val="18"/>
                <w:szCs w:val="18"/>
              </w:rPr>
            </w:r>
          </w:p>
        </w:tc>
        <w:tc>
          <w:tcPr>
            <w:tcW w:w="4779" w:type="dxa"/>
            <w:tcBorders>
              <w:top w:val="single" w:sz="6" w:space="0" w:color="000000"/>
              <w:left w:val="single" w:sz="6" w:space="0" w:color="000000"/>
              <w:bottom w:val="single" w:sz="6" w:space="0" w:color="000000"/>
              <w:right w:val="single" w:sz="6" w:space="0" w:color="000000"/>
            </w:tcBorders>
            <w:shd w:val="clear" w:color="auto" w:fill="D0CECE"/>
          </w:tcPr>
          <w:p>
            <w:pPr>
              <w:pStyle w:val="TableParagraph"/>
              <w:spacing w:line="240" w:lineRule="auto" w:before="62"/>
              <w:ind w:left="1207" w:right="0"/>
              <w:jc w:val="left"/>
              <w:rPr>
                <w:rFonts w:ascii="宋体" w:hAnsi="宋体" w:cs="宋体" w:eastAsia="宋体" w:hint="default"/>
                <w:sz w:val="18"/>
                <w:szCs w:val="18"/>
              </w:rPr>
            </w:pPr>
            <w:r>
              <w:rPr>
                <w:rFonts w:ascii="宋体" w:hAnsi="宋体" w:cs="宋体" w:eastAsia="宋体" w:hint="default"/>
                <w:b/>
                <w:bCs/>
                <w:sz w:val="18"/>
                <w:szCs w:val="18"/>
              </w:rPr>
              <w:t>该事项在审计中是如何应对的</w:t>
            </w:r>
            <w:r>
              <w:rPr>
                <w:rFonts w:ascii="宋体" w:hAnsi="宋体" w:cs="宋体" w:eastAsia="宋体" w:hint="default"/>
                <w:sz w:val="18"/>
                <w:szCs w:val="18"/>
              </w:rPr>
            </w:r>
          </w:p>
        </w:tc>
      </w:tr>
      <w:tr>
        <w:trPr>
          <w:trHeight w:val="427" w:hRule="exact"/>
        </w:trPr>
        <w:tc>
          <w:tcPr>
            <w:tcW w:w="965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b/>
                <w:bCs/>
                <w:sz w:val="18"/>
                <w:szCs w:val="18"/>
              </w:rPr>
              <w:t>（一）应收账款减值</w:t>
            </w:r>
            <w:r>
              <w:rPr>
                <w:rFonts w:ascii="宋体" w:hAnsi="宋体" w:cs="宋体" w:eastAsia="宋体" w:hint="default"/>
                <w:sz w:val="18"/>
                <w:szCs w:val="18"/>
              </w:rPr>
            </w:r>
          </w:p>
        </w:tc>
      </w:tr>
      <w:tr>
        <w:trPr>
          <w:trHeight w:val="4643" w:hRule="exact"/>
        </w:trPr>
        <w:tc>
          <w:tcPr>
            <w:tcW w:w="4880" w:type="dxa"/>
            <w:tcBorders>
              <w:top w:val="single" w:sz="6" w:space="0" w:color="000000"/>
              <w:left w:val="single" w:sz="6" w:space="0" w:color="000000"/>
              <w:bottom w:val="single" w:sz="6" w:space="0" w:color="000000"/>
              <w:right w:val="single" w:sz="6" w:space="0" w:color="000000"/>
            </w:tcBorders>
          </w:tcPr>
          <w:p>
            <w:pPr>
              <w:pStyle w:val="TableParagraph"/>
              <w:spacing w:line="314" w:lineRule="auto" w:before="62"/>
              <w:ind w:left="2" w:right="1"/>
              <w:jc w:val="left"/>
              <w:rPr>
                <w:rFonts w:ascii="宋体" w:hAnsi="宋体" w:cs="宋体" w:eastAsia="宋体" w:hint="default"/>
                <w:sz w:val="18"/>
                <w:szCs w:val="18"/>
              </w:rPr>
            </w:pPr>
            <w:r>
              <w:rPr>
                <w:rFonts w:ascii="宋体" w:hAnsi="宋体" w:cs="宋体" w:eastAsia="宋体" w:hint="default"/>
                <w:sz w:val="18"/>
                <w:szCs w:val="18"/>
              </w:rPr>
              <w:t>参见财务报表附注五（十一）应收款项坏账准备与财务报表附 注七（四）（</w:t>
            </w:r>
            <w:r>
              <w:rPr>
                <w:rFonts w:ascii="Times New Roman" w:hAnsi="Times New Roman" w:cs="Times New Roman" w:eastAsia="Times New Roman" w:hint="default"/>
                <w:sz w:val="18"/>
                <w:szCs w:val="18"/>
              </w:rPr>
              <w:t>2</w:t>
            </w:r>
            <w:r>
              <w:rPr>
                <w:rFonts w:ascii="宋体" w:hAnsi="宋体" w:cs="宋体" w:eastAsia="宋体" w:hint="default"/>
                <w:sz w:val="18"/>
                <w:szCs w:val="18"/>
              </w:rPr>
              <w:t>）应收账款。 截至</w:t>
            </w: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日，神州泰岳合并财务报表中应收账款的账 面余额合计为</w:t>
            </w:r>
            <w:r>
              <w:rPr>
                <w:rFonts w:ascii="Times New Roman" w:hAnsi="Times New Roman" w:cs="Times New Roman" w:eastAsia="Times New Roman" w:hint="default"/>
                <w:sz w:val="18"/>
                <w:szCs w:val="18"/>
              </w:rPr>
              <w:t>1,382,471,635.34</w:t>
            </w:r>
            <w:r>
              <w:rPr>
                <w:rFonts w:ascii="宋体" w:hAnsi="宋体" w:cs="宋体" w:eastAsia="宋体" w:hint="default"/>
                <w:sz w:val="18"/>
                <w:szCs w:val="18"/>
              </w:rPr>
              <w:t>元，坏账准备合计为 </w:t>
            </w:r>
            <w:r>
              <w:rPr>
                <w:rFonts w:ascii="Times New Roman" w:hAnsi="Times New Roman" w:cs="Times New Roman" w:eastAsia="Times New Roman" w:hint="default"/>
                <w:sz w:val="18"/>
                <w:szCs w:val="18"/>
              </w:rPr>
              <w:t>241,393,529.68</w:t>
            </w:r>
            <w:r>
              <w:rPr>
                <w:rFonts w:ascii="宋体" w:hAnsi="宋体" w:cs="宋体" w:eastAsia="宋体" w:hint="default"/>
                <w:sz w:val="18"/>
                <w:szCs w:val="18"/>
              </w:rPr>
              <w:t>元。</w:t>
            </w:r>
          </w:p>
          <w:p>
            <w:pPr>
              <w:pStyle w:val="TableParagraph"/>
              <w:spacing w:line="319" w:lineRule="auto" w:before="40"/>
              <w:ind w:left="2" w:right="1"/>
              <w:jc w:val="left"/>
              <w:rPr>
                <w:rFonts w:ascii="宋体" w:hAnsi="宋体" w:cs="宋体" w:eastAsia="宋体" w:hint="default"/>
                <w:sz w:val="18"/>
                <w:szCs w:val="18"/>
              </w:rPr>
            </w:pPr>
            <w:r>
              <w:rPr>
                <w:rFonts w:ascii="宋体" w:hAnsi="宋体" w:cs="宋体" w:eastAsia="宋体" w:hint="default"/>
                <w:sz w:val="18"/>
                <w:szCs w:val="18"/>
              </w:rPr>
              <w:t>当存在客观证据表明应收账款存在减值时，管理层根据预计未 来现金流量现值低于账面价值的差额计提单项减值准备。对于 不存在减值客观证据的应收款项，管理层根据信用风险特征将 其分为若干组合进行评估。管理层根据以前年度与之具有类似 信用风险特征的应收款项组合的实际损失率及账龄分析为基 础，结合现时情况确定应计提的坏账准备。</w:t>
            </w:r>
          </w:p>
          <w:p>
            <w:pPr>
              <w:pStyle w:val="TableParagraph"/>
              <w:spacing w:line="319" w:lineRule="auto" w:before="55"/>
              <w:ind w:left="2" w:right="1"/>
              <w:jc w:val="left"/>
              <w:rPr>
                <w:rFonts w:ascii="宋体" w:hAnsi="宋体" w:cs="宋体" w:eastAsia="宋体" w:hint="default"/>
                <w:sz w:val="18"/>
                <w:szCs w:val="18"/>
              </w:rPr>
            </w:pPr>
            <w:r>
              <w:rPr>
                <w:rFonts w:ascii="宋体" w:hAnsi="宋体" w:cs="宋体" w:eastAsia="宋体" w:hint="default"/>
                <w:sz w:val="18"/>
                <w:szCs w:val="18"/>
              </w:rPr>
              <w:t>由于应收款项金额重大，且管理层在确定应收账款减值时作出 了重大判断，我们将应收账款的减值确定为关键审计事项。</w:t>
            </w:r>
          </w:p>
        </w:tc>
        <w:tc>
          <w:tcPr>
            <w:tcW w:w="4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与应收款项减值有关的审计程序包括：</w:t>
            </w:r>
          </w:p>
          <w:p>
            <w:pPr>
              <w:pStyle w:val="TableParagraph"/>
              <w:spacing w:line="309" w:lineRule="auto" w:before="115"/>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、我们评估并测试了管理层复核、评估和确定应收账款减值 的内部控制，包括有关识别减值客观证据和计算减值准备的 控制。</w:t>
            </w:r>
          </w:p>
          <w:p>
            <w:pPr>
              <w:pStyle w:val="TableParagraph"/>
              <w:spacing w:line="302" w:lineRule="auto" w:before="64"/>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、我们选取样本检查了管理层编制的应收账款账龄分析表的 准确性，并测试了与维护账龄分析表相关信息的控制程序。</w:t>
            </w:r>
          </w:p>
          <w:p>
            <w:pPr>
              <w:pStyle w:val="TableParagraph"/>
              <w:spacing w:line="312" w:lineRule="auto" w:before="68"/>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、我们选取金额重大或高风险的应收账款，独立测试了其可 收回性。我们在评估应收账款的可回收性时，检查了相关的 支持性证据，包括期后收款、客户的信用历史、经营情况、 还款能力等。</w:t>
            </w:r>
          </w:p>
          <w:p>
            <w:pPr>
              <w:pStyle w:val="TableParagraph"/>
              <w:spacing w:line="312" w:lineRule="auto" w:before="61"/>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、我们通过考虑历史上同类应收账款组合的实际坏账发生金 额及情况，结合客户信用和市场条件等因素，评估了管理层 将应收账款划分为若干组合进行减值评估的方法和计算是否 适当。</w:t>
            </w:r>
          </w:p>
        </w:tc>
      </w:tr>
      <w:tr>
        <w:trPr>
          <w:trHeight w:val="427" w:hRule="exact"/>
        </w:trPr>
        <w:tc>
          <w:tcPr>
            <w:tcW w:w="965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b/>
                <w:bCs/>
                <w:sz w:val="18"/>
                <w:szCs w:val="18"/>
              </w:rPr>
              <w:t>（二）商誉减值</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pgSz w:w="11910" w:h="16840"/>
          <w:pgMar w:header="851" w:footer="979" w:top="140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pStyle w:val="BodyText"/>
        <w:spacing w:line="477" w:lineRule="auto" w:before="44"/>
        <w:ind w:left="494" w:right="1032" w:firstLine="1"/>
        <w:jc w:val="left"/>
      </w:pPr>
      <w:r>
        <w:rPr/>
        <w:pict>
          <v:shape style="position:absolute;margin-left:55.860001pt;margin-top:-526.368286pt;width:484.05pt;height:524.15pt;mso-position-horizontal-relative:page;mso-position-vertical-relative:paragraph;z-index:272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880"/>
                    <w:gridCol w:w="4779"/>
                  </w:tblGrid>
                  <w:tr>
                    <w:trPr>
                      <w:trHeight w:val="434" w:hRule="exact"/>
                    </w:trPr>
                    <w:tc>
                      <w:tcPr>
                        <w:tcW w:w="4880" w:type="dxa"/>
                        <w:tcBorders>
                          <w:top w:val="single" w:sz="12" w:space="0" w:color="000000"/>
                          <w:left w:val="single" w:sz="6" w:space="0" w:color="000000"/>
                          <w:bottom w:val="single" w:sz="6" w:space="0" w:color="000000"/>
                          <w:right w:val="single" w:sz="6" w:space="0" w:color="000000"/>
                        </w:tcBorders>
                        <w:shd w:val="clear" w:color="auto" w:fill="D0CECE"/>
                      </w:tcPr>
                      <w:p>
                        <w:pPr>
                          <w:pStyle w:val="TableParagraph"/>
                          <w:spacing w:line="240" w:lineRule="auto" w:before="62"/>
                          <w:ind w:right="1"/>
                          <w:jc w:val="center"/>
                          <w:rPr>
                            <w:rFonts w:ascii="宋体" w:hAnsi="宋体" w:cs="宋体" w:eastAsia="宋体" w:hint="default"/>
                            <w:sz w:val="18"/>
                            <w:szCs w:val="18"/>
                          </w:rPr>
                        </w:pPr>
                        <w:r>
                          <w:rPr>
                            <w:rFonts w:ascii="宋体" w:hAnsi="宋体" w:cs="宋体" w:eastAsia="宋体" w:hint="default"/>
                            <w:b/>
                            <w:bCs/>
                            <w:sz w:val="18"/>
                            <w:szCs w:val="18"/>
                          </w:rPr>
                          <w:t>关键审计事项</w:t>
                        </w:r>
                        <w:r>
                          <w:rPr>
                            <w:rFonts w:ascii="宋体" w:hAnsi="宋体" w:cs="宋体" w:eastAsia="宋体" w:hint="default"/>
                            <w:sz w:val="18"/>
                            <w:szCs w:val="18"/>
                          </w:rPr>
                        </w:r>
                      </w:p>
                    </w:tc>
                    <w:tc>
                      <w:tcPr>
                        <w:tcW w:w="4779" w:type="dxa"/>
                        <w:tcBorders>
                          <w:top w:val="single" w:sz="12" w:space="0" w:color="000000"/>
                          <w:left w:val="single" w:sz="6" w:space="0" w:color="000000"/>
                          <w:bottom w:val="single" w:sz="6" w:space="0" w:color="000000"/>
                          <w:right w:val="single" w:sz="6" w:space="0" w:color="000000"/>
                        </w:tcBorders>
                        <w:shd w:val="clear" w:color="auto" w:fill="D0CECE"/>
                      </w:tcPr>
                      <w:p>
                        <w:pPr>
                          <w:pStyle w:val="TableParagraph"/>
                          <w:spacing w:line="240" w:lineRule="auto" w:before="62"/>
                          <w:ind w:left="1207" w:right="0"/>
                          <w:jc w:val="left"/>
                          <w:rPr>
                            <w:rFonts w:ascii="宋体" w:hAnsi="宋体" w:cs="宋体" w:eastAsia="宋体" w:hint="default"/>
                            <w:sz w:val="18"/>
                            <w:szCs w:val="18"/>
                          </w:rPr>
                        </w:pPr>
                        <w:r>
                          <w:rPr>
                            <w:rFonts w:ascii="宋体" w:hAnsi="宋体" w:cs="宋体" w:eastAsia="宋体" w:hint="default"/>
                            <w:b/>
                            <w:bCs/>
                            <w:sz w:val="18"/>
                            <w:szCs w:val="18"/>
                          </w:rPr>
                          <w:t>该事项在审计中是如何应对的</w:t>
                        </w:r>
                        <w:r>
                          <w:rPr>
                            <w:rFonts w:ascii="宋体" w:hAnsi="宋体" w:cs="宋体" w:eastAsia="宋体" w:hint="default"/>
                            <w:sz w:val="18"/>
                            <w:szCs w:val="18"/>
                          </w:rPr>
                        </w:r>
                      </w:p>
                    </w:tc>
                  </w:tr>
                  <w:tr>
                    <w:trPr>
                      <w:trHeight w:val="6011" w:hRule="exact"/>
                    </w:trPr>
                    <w:tc>
                      <w:tcPr>
                        <w:tcW w:w="488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2"/>
                          <w:ind w:left="2" w:right="1"/>
                          <w:jc w:val="left"/>
                          <w:rPr>
                            <w:rFonts w:ascii="宋体" w:hAnsi="宋体" w:cs="宋体" w:eastAsia="宋体" w:hint="default"/>
                            <w:sz w:val="18"/>
                            <w:szCs w:val="18"/>
                          </w:rPr>
                        </w:pPr>
                        <w:r>
                          <w:rPr>
                            <w:rFonts w:ascii="宋体" w:hAnsi="宋体" w:cs="宋体" w:eastAsia="宋体" w:hint="default"/>
                            <w:sz w:val="18"/>
                            <w:szCs w:val="18"/>
                          </w:rPr>
                          <w:t>商誉减值的会计政策详情及分析请参见财务报表附注五（二十 二）长期资产减值以及财务报表附注七（二十二）商誉。</w:t>
                        </w:r>
                      </w:p>
                      <w:p>
                        <w:pPr>
                          <w:pStyle w:val="TableParagraph"/>
                          <w:spacing w:line="300" w:lineRule="auto" w:before="59"/>
                          <w:ind w:left="2" w:right="2"/>
                          <w:jc w:val="left"/>
                          <w:rPr>
                            <w:rFonts w:ascii="宋体" w:hAnsi="宋体" w:cs="宋体" w:eastAsia="宋体" w:hint="default"/>
                            <w:sz w:val="18"/>
                            <w:szCs w:val="18"/>
                          </w:rPr>
                        </w:pPr>
                        <w:r>
                          <w:rPr>
                            <w:rFonts w:ascii="宋体" w:hAnsi="宋体" w:cs="宋体" w:eastAsia="宋体" w:hint="default"/>
                            <w:sz w:val="18"/>
                            <w:szCs w:val="18"/>
                          </w:rPr>
                          <w:t>截至</w:t>
                        </w: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日，神州泰岳合并报表中商誉的账面价值合 计人民币</w:t>
                        </w:r>
                        <w:r>
                          <w:rPr>
                            <w:rFonts w:ascii="Times New Roman" w:hAnsi="Times New Roman" w:cs="Times New Roman" w:eastAsia="Times New Roman" w:hint="default"/>
                            <w:sz w:val="18"/>
                            <w:szCs w:val="18"/>
                          </w:rPr>
                          <w:t>2,111,969,054.86</w:t>
                        </w:r>
                        <w:r>
                          <w:rPr>
                            <w:rFonts w:ascii="宋体" w:hAnsi="宋体" w:cs="宋体" w:eastAsia="宋体" w:hint="default"/>
                            <w:sz w:val="18"/>
                            <w:szCs w:val="18"/>
                          </w:rPr>
                          <w:t>元，相应的减值准备余额为人民币 </w:t>
                        </w:r>
                        <w:r>
                          <w:rPr>
                            <w:rFonts w:ascii="Times New Roman" w:hAnsi="Times New Roman" w:cs="Times New Roman" w:eastAsia="Times New Roman" w:hint="default"/>
                            <w:sz w:val="18"/>
                            <w:szCs w:val="18"/>
                          </w:rPr>
                          <w:t>73,008,484.91</w:t>
                        </w:r>
                        <w:r>
                          <w:rPr>
                            <w:rFonts w:ascii="宋体" w:hAnsi="宋体" w:cs="宋体" w:eastAsia="宋体" w:hint="default"/>
                            <w:sz w:val="18"/>
                            <w:szCs w:val="18"/>
                          </w:rPr>
                          <w:t>元。</w:t>
                        </w:r>
                      </w:p>
                      <w:p>
                        <w:pPr>
                          <w:pStyle w:val="TableParagraph"/>
                          <w:spacing w:line="319" w:lineRule="auto" w:before="51"/>
                          <w:ind w:left="2" w:right="1"/>
                          <w:jc w:val="left"/>
                          <w:rPr>
                            <w:rFonts w:ascii="宋体" w:hAnsi="宋体" w:cs="宋体" w:eastAsia="宋体" w:hint="default"/>
                            <w:sz w:val="18"/>
                            <w:szCs w:val="18"/>
                          </w:rPr>
                        </w:pPr>
                        <w:r>
                          <w:rPr>
                            <w:rFonts w:ascii="宋体" w:hAnsi="宋体" w:cs="宋体" w:eastAsia="宋体" w:hint="default"/>
                            <w:sz w:val="18"/>
                            <w:szCs w:val="18"/>
                          </w:rPr>
                          <w:t>管理层每年评估商誉可能出现减值的情况。商誉的减值评估结 果由管理层及其聘任的外部评估师编制的评估报告为基础进 行确定。减值评估是依据所编制的折现现金流预测而估计商誉 的使用价值。折现现金流预测的编制涉及运用重大判断和估 计，特别是确定收入增长率以及确定所应用的风险调整折现率 时均存在固有不确定性和可能受到管理层偏好的影响。</w:t>
                        </w:r>
                      </w:p>
                      <w:p>
                        <w:pPr>
                          <w:pStyle w:val="TableParagraph"/>
                          <w:spacing w:line="319" w:lineRule="auto" w:before="55"/>
                          <w:ind w:left="2" w:right="1"/>
                          <w:jc w:val="both"/>
                          <w:rPr>
                            <w:rFonts w:ascii="宋体" w:hAnsi="宋体" w:cs="宋体" w:eastAsia="宋体" w:hint="default"/>
                            <w:sz w:val="18"/>
                            <w:szCs w:val="18"/>
                          </w:rPr>
                        </w:pPr>
                        <w:r>
                          <w:rPr>
                            <w:rFonts w:ascii="宋体" w:hAnsi="宋体" w:cs="宋体" w:eastAsia="宋体" w:hint="default"/>
                            <w:sz w:val="18"/>
                            <w:szCs w:val="18"/>
                          </w:rPr>
                          <w:t>由于商誉的减值预测和折现未来现金流量涉及固有不确定性， 以及管理层在选用假设和估计时可能出现偏好的风险，我们将 评估商誉的减值视为关键审计事项。</w:t>
                        </w:r>
                      </w:p>
                    </w:tc>
                    <w:tc>
                      <w:tcPr>
                        <w:tcW w:w="4779" w:type="dxa"/>
                        <w:tcBorders>
                          <w:top w:val="single" w:sz="6" w:space="0" w:color="000000"/>
                          <w:left w:val="single" w:sz="6" w:space="0" w:color="000000"/>
                          <w:bottom w:val="single" w:sz="6" w:space="0" w:color="000000"/>
                          <w:right w:val="single" w:sz="6" w:space="0" w:color="000000"/>
                        </w:tcBorders>
                      </w:tcPr>
                      <w:p>
                        <w:pPr>
                          <w:pStyle w:val="TableParagraph"/>
                          <w:spacing w:line="36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与商誉减值有关的审计程序包括： 与商誉减值有关的审计程序包括但不限于：</w:t>
                        </w:r>
                      </w:p>
                      <w:p>
                        <w:pPr>
                          <w:pStyle w:val="TableParagraph"/>
                          <w:spacing w:line="309" w:lineRule="auto" w:before="25"/>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、我们评估及测试了与商誉减值测试相关的内部控制的设计 及执行有效性，包括关键假设的采用及减值计提金额的复核 及审批；</w:t>
                        </w:r>
                      </w:p>
                      <w:p>
                        <w:pPr>
                          <w:pStyle w:val="TableParagraph"/>
                          <w:spacing w:line="302" w:lineRule="auto" w:before="62"/>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、评价管理层委聘的外部估值专家的胜任能力、专业素质和 客观性；</w:t>
                        </w:r>
                      </w:p>
                      <w:p>
                        <w:pPr>
                          <w:pStyle w:val="TableParagraph"/>
                          <w:spacing w:line="309" w:lineRule="auto" w:before="69"/>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、独立聘请外部估值专家，对其胜任能力进行评价，要求其 对管理层及其专家的估值结果中涉及的资产组划分、关键参 数等进行复核，提供专业意见。</w:t>
                        </w:r>
                      </w:p>
                      <w:p>
                        <w:pPr>
                          <w:pStyle w:val="TableParagraph"/>
                          <w:spacing w:line="302" w:lineRule="auto" w:before="62"/>
                          <w:ind w:left="2" w:right="1"/>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4</w:t>
                        </w:r>
                        <w:r>
                          <w:rPr>
                            <w:rFonts w:ascii="宋体" w:hAnsi="宋体" w:cs="宋体" w:eastAsia="宋体" w:hint="default"/>
                            <w:spacing w:val="-1"/>
                            <w:sz w:val="18"/>
                            <w:szCs w:val="18"/>
                          </w:rPr>
                          <w:t>、通过参考行业惯例，评估了管理层进行现金流量预测时使</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用的估值方法的适当性；</w:t>
                        </w:r>
                      </w:p>
                      <w:p>
                        <w:pPr>
                          <w:pStyle w:val="TableParagraph"/>
                          <w:spacing w:line="312" w:lineRule="auto" w:before="68"/>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、基于同行业可比公司的市场数据重新计算折现率，并将我 们的计算结果与管理层计算预计未来现金流量现值时采用的 折现率进行比较，以评价其计算预计未来现金流量现值时采 用的折现率；</w:t>
                        </w:r>
                      </w:p>
                      <w:p>
                        <w:pPr>
                          <w:pStyle w:val="TableParagraph"/>
                          <w:spacing w:line="302" w:lineRule="auto" w:before="61"/>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、评价财务报表中与商誉相关的披露是否符合企业会计准则 的要求。</w:t>
                        </w:r>
                      </w:p>
                    </w:tc>
                  </w:tr>
                  <w:tr>
                    <w:trPr>
                      <w:trHeight w:val="427" w:hRule="exact"/>
                    </w:trPr>
                    <w:tc>
                      <w:tcPr>
                        <w:tcW w:w="965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b/>
                            <w:bCs/>
                            <w:sz w:val="18"/>
                            <w:szCs w:val="18"/>
                          </w:rPr>
                          <w:t>（三）诉讼事项</w:t>
                        </w:r>
                        <w:r>
                          <w:rPr>
                            <w:rFonts w:ascii="宋体" w:hAnsi="宋体" w:cs="宋体" w:eastAsia="宋体" w:hint="default"/>
                            <w:sz w:val="18"/>
                            <w:szCs w:val="18"/>
                          </w:rPr>
                        </w:r>
                      </w:p>
                    </w:tc>
                  </w:tr>
                  <w:tr>
                    <w:trPr>
                      <w:trHeight w:val="3588" w:hRule="exact"/>
                    </w:trPr>
                    <w:tc>
                      <w:tcPr>
                        <w:tcW w:w="4880" w:type="dxa"/>
                        <w:tcBorders>
                          <w:top w:val="single" w:sz="6" w:space="0" w:color="000000"/>
                          <w:left w:val="single" w:sz="6" w:space="0" w:color="000000"/>
                          <w:bottom w:val="single" w:sz="6" w:space="0" w:color="000000"/>
                          <w:right w:val="single" w:sz="6" w:space="0" w:color="000000"/>
                        </w:tcBorders>
                      </w:tcPr>
                      <w:p>
                        <w:pPr>
                          <w:pStyle w:val="TableParagraph"/>
                          <w:spacing w:line="314" w:lineRule="auto" w:before="62"/>
                          <w:ind w:left="2" w:right="1"/>
                          <w:jc w:val="both"/>
                          <w:rPr>
                            <w:rFonts w:ascii="宋体" w:hAnsi="宋体" w:cs="宋体" w:eastAsia="宋体" w:hint="default"/>
                            <w:sz w:val="18"/>
                            <w:szCs w:val="18"/>
                          </w:rPr>
                        </w:pPr>
                        <w:r>
                          <w:rPr>
                            <w:rFonts w:ascii="宋体" w:hAnsi="宋体" w:cs="宋体" w:eastAsia="宋体" w:hint="default"/>
                            <w:sz w:val="18"/>
                            <w:szCs w:val="18"/>
                          </w:rPr>
                          <w:t>如财务报表附注十六（八）所列述，公司全资子公司北京神州 泰岳系统集成有限公司涉及诉讼事项，这些诉讼事项主要是北 京神州泰岳系统集成有限公司起诉大唐半导体设计有限公司， 要求其支付合同款项并支付相应违约金</w:t>
                        </w:r>
                        <w:r>
                          <w:rPr>
                            <w:rFonts w:ascii="Times New Roman" w:hAnsi="Times New Roman" w:cs="Times New Roman" w:eastAsia="Times New Roman" w:hint="default"/>
                            <w:sz w:val="18"/>
                            <w:szCs w:val="18"/>
                          </w:rPr>
                          <w:t>32,046.01</w:t>
                        </w:r>
                        <w:r>
                          <w:rPr>
                            <w:rFonts w:ascii="宋体" w:hAnsi="宋体" w:cs="宋体" w:eastAsia="宋体" w:hint="default"/>
                            <w:sz w:val="18"/>
                            <w:szCs w:val="18"/>
                          </w:rPr>
                          <w:t>万元；以及起 诉大唐微电子技术有限公司，要求其支付合同款项并支付相应 违约金</w:t>
                        </w:r>
                        <w:r>
                          <w:rPr>
                            <w:rFonts w:ascii="Times New Roman" w:hAnsi="Times New Roman" w:cs="Times New Roman" w:eastAsia="Times New Roman" w:hint="default"/>
                            <w:sz w:val="18"/>
                            <w:szCs w:val="18"/>
                          </w:rPr>
                          <w:t>10,434.36</w:t>
                        </w:r>
                        <w:r>
                          <w:rPr>
                            <w:rFonts w:ascii="宋体" w:hAnsi="宋体" w:cs="宋体" w:eastAsia="宋体" w:hint="default"/>
                            <w:sz w:val="18"/>
                            <w:szCs w:val="18"/>
                          </w:rPr>
                          <w:t>万元。上述两项合计金额约为</w:t>
                        </w:r>
                        <w:r>
                          <w:rPr>
                            <w:rFonts w:ascii="Times New Roman" w:hAnsi="Times New Roman" w:cs="Times New Roman" w:eastAsia="Times New Roman" w:hint="default"/>
                            <w:sz w:val="18"/>
                            <w:szCs w:val="18"/>
                          </w:rPr>
                          <w:t>42,480.37</w:t>
                        </w:r>
                        <w:r>
                          <w:rPr>
                            <w:rFonts w:ascii="宋体" w:hAnsi="宋体" w:cs="宋体" w:eastAsia="宋体" w:hint="default"/>
                            <w:sz w:val="18"/>
                            <w:szCs w:val="18"/>
                          </w:rPr>
                          <w:t>万元</w:t>
                        </w:r>
                      </w:p>
                      <w:p>
                        <w:pPr>
                          <w:pStyle w:val="TableParagraph"/>
                          <w:spacing w:line="319" w:lineRule="auto" w:before="1"/>
                          <w:ind w:left="2" w:right="1"/>
                          <w:jc w:val="left"/>
                          <w:rPr>
                            <w:rFonts w:ascii="宋体" w:hAnsi="宋体" w:cs="宋体" w:eastAsia="宋体" w:hint="default"/>
                            <w:sz w:val="18"/>
                            <w:szCs w:val="18"/>
                          </w:rPr>
                        </w:pPr>
                        <w:r>
                          <w:rPr>
                            <w:rFonts w:ascii="宋体" w:hAnsi="宋体" w:cs="宋体" w:eastAsia="宋体" w:hint="default"/>
                            <w:sz w:val="18"/>
                            <w:szCs w:val="18"/>
                          </w:rPr>
                          <w:t>（账面其他应收款原值不含利息金额为</w:t>
                        </w:r>
                        <w:r>
                          <w:rPr>
                            <w:rFonts w:ascii="Times New Roman" w:hAnsi="Times New Roman" w:cs="Times New Roman" w:eastAsia="Times New Roman" w:hint="default"/>
                            <w:sz w:val="18"/>
                            <w:szCs w:val="18"/>
                          </w:rPr>
                          <w:t>40,231.18</w:t>
                        </w:r>
                        <w:r>
                          <w:rPr>
                            <w:rFonts w:ascii="宋体" w:hAnsi="宋体" w:cs="宋体" w:eastAsia="宋体" w:hint="default"/>
                            <w:sz w:val="18"/>
                            <w:szCs w:val="18"/>
                          </w:rPr>
                          <w:t>万元），公司 累计计提坏账准备</w:t>
                        </w:r>
                        <w:r>
                          <w:rPr>
                            <w:rFonts w:ascii="Times New Roman" w:hAnsi="Times New Roman" w:cs="Times New Roman" w:eastAsia="Times New Roman" w:hint="default"/>
                            <w:sz w:val="18"/>
                            <w:szCs w:val="18"/>
                          </w:rPr>
                          <w:t>4,660.49</w:t>
                        </w:r>
                        <w:r>
                          <w:rPr>
                            <w:rFonts w:ascii="宋体" w:hAnsi="宋体" w:cs="宋体" w:eastAsia="宋体" w:hint="default"/>
                            <w:sz w:val="18"/>
                            <w:szCs w:val="18"/>
                          </w:rPr>
                          <w:t>万元。 由于上述案件目前尚未进入实体审理阶段，在相关诉讼判决之 前评估案件结果对应收款项可收回性的影响金额需要管理层 做出重大的判断，因此我们把诉讼事项列为关键审计事项。</w:t>
                        </w:r>
                      </w:p>
                    </w:tc>
                    <w:tc>
                      <w:tcPr>
                        <w:tcW w:w="477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我们针对诉讼事项执行的审计程序包括但不限于：</w:t>
                        </w:r>
                      </w:p>
                      <w:p>
                        <w:pPr>
                          <w:pStyle w:val="TableParagraph"/>
                          <w:spacing w:line="302" w:lineRule="auto" w:before="115"/>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、与管理层及公司法务部进行沟通，了解诉讼应对措施及处 理情况，评估管理层对相关诉讼处理是否恰当；</w:t>
                        </w:r>
                      </w:p>
                      <w:p>
                        <w:pPr>
                          <w:pStyle w:val="TableParagraph"/>
                          <w:spacing w:line="302" w:lineRule="auto" w:before="69"/>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、向公司聘请的负责案件的律师进行函证、询问，获取相关 律师关于诉讼情况的介绍及法律分析等专业意见；</w:t>
                        </w:r>
                      </w:p>
                      <w:p>
                        <w:pPr>
                          <w:pStyle w:val="TableParagraph"/>
                          <w:spacing w:line="302" w:lineRule="auto" w:before="68"/>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、收集相关资料及证据评价管理层对相关应收款项可收回性 的估计是否合理、充分；</w:t>
                        </w:r>
                      </w:p>
                      <w:p>
                        <w:pPr>
                          <w:pStyle w:val="TableParagraph"/>
                          <w:spacing w:line="302" w:lineRule="auto" w:before="68"/>
                          <w:ind w:left="2" w:right="171"/>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、检查有关诉讼信息在财务报表及附注中的列报和披露情 况，评估相关信息的列报与披露是否恰当。</w:t>
                        </w:r>
                      </w:p>
                    </w:tc>
                  </w:tr>
                </w:tbl>
                <w:p>
                  <w:pPr/>
                </w:p>
              </w:txbxContent>
            </v:textbox>
            <w10:wrap type="none"/>
          </v:shape>
        </w:pict>
      </w:r>
      <w:r>
        <w:rPr>
          <w:rFonts w:ascii="宋体" w:hAnsi="宋体" w:cs="宋体" w:eastAsia="宋体" w:hint="default"/>
          <w:b/>
          <w:bCs/>
        </w:rPr>
        <w:t>四、其他信息</w:t>
      </w:r>
      <w:r>
        <w:rPr>
          <w:rFonts w:ascii="宋体" w:hAnsi="宋体" w:cs="宋体" w:eastAsia="宋体" w:hint="default"/>
          <w:b/>
          <w:bCs/>
          <w:w w:val="99"/>
        </w:rPr>
        <w:t> </w:t>
      </w:r>
      <w:r>
        <w:rPr>
          <w:spacing w:val="-2"/>
        </w:rPr>
        <w:t>神州泰岳管理层（以下简称管理层）对其他信息负责。其他信息包括神州泰岳</w:t>
      </w:r>
      <w:r>
        <w:rPr>
          <w:rFonts w:ascii="Times New Roman" w:hAnsi="Times New Roman" w:cs="Times New Roman" w:eastAsia="Times New Roman" w:hint="default"/>
          <w:spacing w:val="-2"/>
        </w:rPr>
        <w:t>2018</w:t>
      </w:r>
      <w:r>
        <w:rPr>
          <w:spacing w:val="-2"/>
        </w:rPr>
        <w:t>年年度报告中涵盖的信息，但不包括</w:t>
      </w:r>
    </w:p>
    <w:p>
      <w:pPr>
        <w:pStyle w:val="BodyText"/>
        <w:spacing w:line="477" w:lineRule="auto" w:before="21"/>
        <w:ind w:left="494" w:right="1032" w:hanging="360"/>
        <w:jc w:val="left"/>
      </w:pPr>
      <w:r>
        <w:rPr/>
        <w:t>财务报表和我们的审计报告。 我们对财务报表发表的审计意见不涵盖其他信息，我们也不对其他信息发表任何形式的鉴证结论。 </w:t>
      </w:r>
      <w:r>
        <w:rPr>
          <w:spacing w:val="-2"/>
        </w:rPr>
        <w:t>结合我们对财务报表的审计，我们的责任是阅读其他信息，在此过程中，考虑其他信息是否与财务报表或我们在审计过</w:t>
      </w:r>
    </w:p>
    <w:p>
      <w:pPr>
        <w:pStyle w:val="BodyText"/>
        <w:spacing w:line="477" w:lineRule="auto" w:before="54"/>
        <w:ind w:left="494" w:right="1032" w:hanging="360"/>
        <w:jc w:val="left"/>
      </w:pPr>
      <w:r>
        <w:rPr/>
        <w:t>程中了解到的情况存在重大不一致或者似乎存在重大错报。 </w:t>
      </w:r>
      <w:r>
        <w:rPr>
          <w:spacing w:val="-2"/>
        </w:rPr>
        <w:t>基于我们已执行的工作，如果我们确定其他信息存在重大错报，我们应当报告该事实。在这方面，我们无任何事项需要</w:t>
      </w:r>
    </w:p>
    <w:p>
      <w:pPr>
        <w:spacing w:after="0" w:line="477" w:lineRule="auto"/>
        <w:jc w:val="left"/>
        <w:sectPr>
          <w:pgSz w:w="11910" w:h="16840"/>
          <w:pgMar w:header="851" w:footer="979" w:top="1460" w:bottom="1160" w:left="100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before="83"/>
        <w:ind w:right="0"/>
        <w:jc w:val="left"/>
      </w:pPr>
      <w:r>
        <w:rPr/>
        <w:t>报告。</w:t>
      </w:r>
    </w:p>
    <w:p>
      <w:pPr>
        <w:spacing w:line="240" w:lineRule="auto" w:before="10"/>
        <w:rPr>
          <w:rFonts w:ascii="宋体" w:hAnsi="宋体" w:cs="宋体" w:eastAsia="宋体" w:hint="default"/>
          <w:sz w:val="17"/>
          <w:szCs w:val="17"/>
        </w:rPr>
      </w:pPr>
    </w:p>
    <w:p>
      <w:pPr>
        <w:spacing w:line="477" w:lineRule="auto" w:before="0"/>
        <w:ind w:left="514" w:right="0" w:firstLine="1"/>
        <w:jc w:val="left"/>
        <w:rPr>
          <w:rFonts w:ascii="宋体" w:hAnsi="宋体" w:cs="宋体" w:eastAsia="宋体" w:hint="default"/>
          <w:sz w:val="18"/>
          <w:szCs w:val="18"/>
        </w:rPr>
      </w:pPr>
      <w:r>
        <w:rPr>
          <w:rFonts w:ascii="宋体" w:hAnsi="宋体" w:cs="宋体" w:eastAsia="宋体" w:hint="default"/>
          <w:b/>
          <w:bCs/>
          <w:sz w:val="18"/>
          <w:szCs w:val="18"/>
        </w:rPr>
        <w:t>五、管理层和治理层对财务报表的责任</w:t>
      </w:r>
      <w:r>
        <w:rPr>
          <w:rFonts w:ascii="宋体" w:hAnsi="宋体" w:cs="宋体" w:eastAsia="宋体" w:hint="default"/>
          <w:b/>
          <w:bCs/>
          <w:w w:val="99"/>
          <w:sz w:val="18"/>
          <w:szCs w:val="18"/>
        </w:rPr>
        <w:t> </w:t>
      </w:r>
      <w:r>
        <w:rPr>
          <w:rFonts w:ascii="宋体" w:hAnsi="宋体" w:cs="宋体" w:eastAsia="宋体" w:hint="default"/>
          <w:spacing w:val="-2"/>
          <w:sz w:val="18"/>
          <w:szCs w:val="18"/>
        </w:rPr>
        <w:t>管理层负责按照企业会计准则的规定编制财务报表，使其实现公允反映，并设计、执行和维护必要的内部控制，以使财</w:t>
      </w:r>
    </w:p>
    <w:p>
      <w:pPr>
        <w:pStyle w:val="BodyText"/>
        <w:spacing w:line="477" w:lineRule="auto" w:before="54"/>
        <w:ind w:left="514" w:right="0" w:hanging="360"/>
        <w:jc w:val="left"/>
      </w:pPr>
      <w:r>
        <w:rPr/>
        <w:t>务报表不存在由于舞弊或错误导致的重大错报。 </w:t>
      </w:r>
      <w:r>
        <w:rPr>
          <w:spacing w:val="-2"/>
        </w:rPr>
        <w:t>在编制财务报表时，管理层负责评估神州泰岳的持续经营能力，披露与持续经营相关的事项（如适用），并运用持续经</w:t>
      </w:r>
    </w:p>
    <w:p>
      <w:pPr>
        <w:spacing w:line="477" w:lineRule="auto" w:before="54"/>
        <w:ind w:left="514" w:right="5712" w:hanging="360"/>
        <w:jc w:val="left"/>
        <w:rPr>
          <w:rFonts w:ascii="宋体" w:hAnsi="宋体" w:cs="宋体" w:eastAsia="宋体" w:hint="default"/>
          <w:sz w:val="18"/>
          <w:szCs w:val="18"/>
        </w:rPr>
      </w:pPr>
      <w:r>
        <w:rPr>
          <w:rFonts w:ascii="宋体" w:hAnsi="宋体" w:cs="宋体" w:eastAsia="宋体" w:hint="default"/>
          <w:sz w:val="18"/>
          <w:szCs w:val="18"/>
        </w:rPr>
        <w:t>营假设，除非计划进行清算、终止运营或别无其他现实的选择。 治理层负责监督神州泰岳的财务报告过程。 </w:t>
      </w:r>
      <w:r>
        <w:rPr>
          <w:rFonts w:ascii="宋体" w:hAnsi="宋体" w:cs="宋体" w:eastAsia="宋体" w:hint="default"/>
          <w:b/>
          <w:bCs/>
          <w:sz w:val="18"/>
          <w:szCs w:val="18"/>
        </w:rPr>
        <w:t>六、注册会计师对财务报表审计的责任</w:t>
      </w:r>
      <w:r>
        <w:rPr>
          <w:rFonts w:ascii="宋体" w:hAnsi="宋体" w:cs="宋体" w:eastAsia="宋体" w:hint="default"/>
          <w:sz w:val="18"/>
          <w:szCs w:val="18"/>
        </w:rPr>
      </w:r>
    </w:p>
    <w:p>
      <w:pPr>
        <w:pStyle w:val="BodyText"/>
        <w:spacing w:line="477" w:lineRule="auto" w:before="54"/>
        <w:ind w:right="1131" w:firstLine="360"/>
        <w:jc w:val="both"/>
      </w:pPr>
      <w:r>
        <w:rPr>
          <w:spacing w:val="-2"/>
        </w:rPr>
        <w:t>我们的目标是对财务报表整体是否不存在由于舞弊或错误导致的重大错报获取合理保证，并出具包含审计意见的审计报</w:t>
      </w:r>
      <w:r>
        <w:rPr/>
        <w:t> </w:t>
      </w:r>
      <w:r>
        <w:rPr>
          <w:spacing w:val="-2"/>
        </w:rPr>
        <w:t>告。合理保证是高水平的保证，但并不能保证按照审计准则执行的审计在某一重大错报存在时总能发现。错报可能由于舞弊</w:t>
      </w:r>
      <w:r>
        <w:rPr>
          <w:spacing w:val="-66"/>
        </w:rPr>
        <w:t> </w:t>
      </w:r>
      <w:r>
        <w:rPr>
          <w:spacing w:val="-66"/>
        </w:rPr>
      </w:r>
      <w:r>
        <w:rPr>
          <w:spacing w:val="-2"/>
        </w:rPr>
        <w:t>或错误导致，如果合理预期错报单独或汇总起来可能影响财务报表使用者依据财务报表作出的经济决策，则通常认为错报是</w:t>
      </w:r>
      <w:r>
        <w:rPr>
          <w:spacing w:val="-64"/>
        </w:rPr>
        <w:t> </w:t>
      </w:r>
      <w:r>
        <w:rPr>
          <w:spacing w:val="-64"/>
        </w:rPr>
      </w:r>
      <w:r>
        <w:rPr/>
        <w:t>重大的。</w:t>
      </w:r>
    </w:p>
    <w:p>
      <w:pPr>
        <w:pStyle w:val="BodyText"/>
        <w:spacing w:line="240" w:lineRule="auto" w:before="54"/>
        <w:ind w:left="514" w:right="0"/>
        <w:jc w:val="left"/>
      </w:pPr>
      <w:r>
        <w:rPr/>
        <w:t>在按照审计准则执行审计工作的过程中，我们运用职业判断，并保持职业怀疑。同时，我们也执行以下工作：</w:t>
      </w:r>
    </w:p>
    <w:p>
      <w:pPr>
        <w:spacing w:line="240" w:lineRule="auto" w:before="10"/>
        <w:rPr>
          <w:rFonts w:ascii="宋体" w:hAnsi="宋体" w:cs="宋体" w:eastAsia="宋体" w:hint="default"/>
          <w:sz w:val="17"/>
          <w:szCs w:val="17"/>
        </w:rPr>
      </w:pPr>
    </w:p>
    <w:p>
      <w:pPr>
        <w:pStyle w:val="BodyText"/>
        <w:spacing w:line="463" w:lineRule="auto"/>
        <w:ind w:right="1032" w:firstLine="360"/>
        <w:jc w:val="left"/>
      </w:pPr>
      <w:r>
        <w:rPr/>
        <w:t>（</w:t>
      </w:r>
      <w:r>
        <w:rPr>
          <w:rFonts w:ascii="Times New Roman" w:hAnsi="Times New Roman" w:cs="Times New Roman" w:eastAsia="Times New Roman" w:hint="default"/>
        </w:rPr>
        <w:t>1</w:t>
      </w:r>
      <w:r>
        <w:rPr/>
        <w:t>）识别和评估由于舞弊或错误导致的财务报表重大错报风险，设计和实施审计程序以应对这些风险，并获取充分、 适当的审计证据，作为发表审计意见的基础。由于舞弊可能涉及串通、伪造、故意遗漏、虚假陈述或凌驾于内部控制之上，</w:t>
      </w:r>
      <w:r>
        <w:rPr>
          <w:spacing w:val="-85"/>
        </w:rPr>
        <w:t> </w:t>
      </w:r>
      <w:r>
        <w:rPr>
          <w:spacing w:val="-85"/>
        </w:rPr>
      </w:r>
      <w:r>
        <w:rPr/>
        <w:t>未能发现由于舞弊导致的重大错报的风险高于未能发现由于错误导致的重大错报的风险。</w:t>
      </w:r>
    </w:p>
    <w:p>
      <w:pPr>
        <w:pStyle w:val="BodyText"/>
        <w:spacing w:line="240" w:lineRule="auto" w:before="65"/>
        <w:ind w:left="514" w:right="0"/>
        <w:jc w:val="left"/>
      </w:pPr>
      <w:r>
        <w:rPr/>
        <w:t>（</w:t>
      </w:r>
      <w:r>
        <w:rPr>
          <w:rFonts w:ascii="Times New Roman" w:hAnsi="Times New Roman" w:cs="Times New Roman" w:eastAsia="Times New Roman" w:hint="default"/>
        </w:rPr>
        <w:t>2</w:t>
      </w:r>
      <w:r>
        <w:rPr/>
        <w:t>）了解与审计相关的内部控制，以设计恰当的审计程序，但目的并非对内部控制的有效性发表意见。</w:t>
      </w:r>
    </w:p>
    <w:p>
      <w:pPr>
        <w:spacing w:line="240" w:lineRule="auto" w:before="9"/>
        <w:rPr>
          <w:rFonts w:ascii="宋体" w:hAnsi="宋体" w:cs="宋体" w:eastAsia="宋体" w:hint="default"/>
          <w:sz w:val="16"/>
          <w:szCs w:val="16"/>
        </w:rPr>
      </w:pPr>
    </w:p>
    <w:p>
      <w:pPr>
        <w:pStyle w:val="BodyText"/>
        <w:spacing w:line="240" w:lineRule="auto"/>
        <w:ind w:left="514" w:right="0"/>
        <w:jc w:val="left"/>
      </w:pPr>
      <w:r>
        <w:rPr/>
        <w:t>（</w:t>
      </w:r>
      <w:r>
        <w:rPr>
          <w:rFonts w:ascii="Times New Roman" w:hAnsi="Times New Roman" w:cs="Times New Roman" w:eastAsia="Times New Roman" w:hint="default"/>
        </w:rPr>
        <w:t>3</w:t>
      </w:r>
      <w:r>
        <w:rPr/>
        <w:t>）评价管理层选用会计政策的恰当性和作出会计估计及相关披露的合理性。</w:t>
      </w:r>
    </w:p>
    <w:p>
      <w:pPr>
        <w:spacing w:line="240" w:lineRule="auto" w:before="9"/>
        <w:rPr>
          <w:rFonts w:ascii="宋体" w:hAnsi="宋体" w:cs="宋体" w:eastAsia="宋体" w:hint="default"/>
          <w:sz w:val="16"/>
          <w:szCs w:val="16"/>
        </w:rPr>
      </w:pPr>
    </w:p>
    <w:p>
      <w:pPr>
        <w:pStyle w:val="BodyText"/>
        <w:spacing w:line="468" w:lineRule="auto"/>
        <w:ind w:right="1131" w:firstLine="360"/>
        <w:jc w:val="both"/>
      </w:pPr>
      <w:r>
        <w:rPr/>
        <w:t>（</w:t>
      </w:r>
      <w:r>
        <w:rPr>
          <w:rFonts w:ascii="Times New Roman" w:hAnsi="Times New Roman" w:cs="Times New Roman" w:eastAsia="Times New Roman" w:hint="default"/>
        </w:rPr>
        <w:t>4</w:t>
      </w:r>
      <w:r>
        <w:rPr/>
        <w:t>）对管理层使用持续经营假设的恰当性得出结论。同时，根据获取的审计证据，就可能导致对神州泰岳持续经营能 </w:t>
      </w:r>
      <w:r>
        <w:rPr>
          <w:spacing w:val="-2"/>
        </w:rPr>
        <w:t>力产生重大疑虑的事项或情况是否存在重大不确定性得出结论。如果我们得出结论认为存在重大不确定性，审计准则要求我</w:t>
      </w:r>
      <w:r>
        <w:rPr>
          <w:spacing w:val="-64"/>
        </w:rPr>
        <w:t> </w:t>
      </w:r>
      <w:r>
        <w:rPr>
          <w:spacing w:val="-64"/>
        </w:rPr>
      </w:r>
      <w:r>
        <w:rPr>
          <w:spacing w:val="-2"/>
        </w:rPr>
        <w:t>们在审计报告中提请报表使用者注意财务报表中的相关披露；如果披露不充分，我们应当发表非无保留意见。我们的结论基</w:t>
      </w:r>
      <w:r>
        <w:rPr>
          <w:spacing w:val="-66"/>
        </w:rPr>
        <w:t> </w:t>
      </w:r>
      <w:r>
        <w:rPr>
          <w:spacing w:val="-66"/>
        </w:rPr>
      </w:r>
      <w:r>
        <w:rPr/>
        <w:t>于截至审计报告日可获得的信息。然而，未来的事项或情况可能导致神州泰岳不能持续经营。</w:t>
      </w:r>
    </w:p>
    <w:p>
      <w:pPr>
        <w:pStyle w:val="BodyText"/>
        <w:spacing w:line="240" w:lineRule="auto" w:before="61"/>
        <w:ind w:left="514" w:right="0"/>
        <w:jc w:val="left"/>
      </w:pPr>
      <w:r>
        <w:rPr/>
        <w:t>（</w:t>
      </w:r>
      <w:r>
        <w:rPr>
          <w:rFonts w:ascii="Times New Roman" w:hAnsi="Times New Roman" w:cs="Times New Roman" w:eastAsia="Times New Roman" w:hint="default"/>
        </w:rPr>
        <w:t>5</w:t>
      </w:r>
      <w:r>
        <w:rPr/>
        <w:t>）评价财务报表的总体列报、结构和内容（包括披露），并评价财务报表是否公允反映相关交易和事项。</w:t>
      </w:r>
    </w:p>
    <w:p>
      <w:pPr>
        <w:spacing w:line="240" w:lineRule="auto" w:before="9"/>
        <w:rPr>
          <w:rFonts w:ascii="宋体" w:hAnsi="宋体" w:cs="宋体" w:eastAsia="宋体" w:hint="default"/>
          <w:sz w:val="16"/>
          <w:szCs w:val="16"/>
        </w:rPr>
      </w:pPr>
    </w:p>
    <w:p>
      <w:pPr>
        <w:pStyle w:val="BodyText"/>
        <w:spacing w:line="451" w:lineRule="auto"/>
        <w:ind w:right="1122" w:firstLine="360"/>
        <w:jc w:val="left"/>
      </w:pPr>
      <w:r>
        <w:rPr/>
        <w:t>（</w:t>
      </w:r>
      <w:r>
        <w:rPr>
          <w:rFonts w:ascii="Times New Roman" w:hAnsi="Times New Roman" w:cs="Times New Roman" w:eastAsia="Times New Roman" w:hint="default"/>
        </w:rPr>
        <w:t>6</w:t>
      </w:r>
      <w:r>
        <w:rPr/>
        <w:t>）就神州泰岳中实体或业务活动的财务信息获取充分、适当的审计证据，以对财务报表发表审计意见。我们负责指 导、监督和执行集团审计，并对审计意见承担全部责任。</w:t>
      </w:r>
    </w:p>
    <w:p>
      <w:pPr>
        <w:pStyle w:val="BodyText"/>
        <w:spacing w:line="477" w:lineRule="auto" w:before="74"/>
        <w:ind w:right="0" w:firstLine="360"/>
        <w:jc w:val="left"/>
      </w:pPr>
      <w:r>
        <w:rPr>
          <w:spacing w:val="-2"/>
        </w:rPr>
        <w:t>我们与治理层就计划的审计范围、时间安排和重大审计发现等事项进行沟通，包括沟通我们在审计中识别出的值得关注</w:t>
      </w:r>
      <w:r>
        <w:rPr/>
        <w:t> 的内部控制缺陷。</w:t>
      </w:r>
    </w:p>
    <w:p>
      <w:pPr>
        <w:pStyle w:val="BodyText"/>
        <w:spacing w:line="477" w:lineRule="auto" w:before="54"/>
        <w:ind w:right="0" w:firstLine="360"/>
        <w:jc w:val="left"/>
      </w:pPr>
      <w:r>
        <w:rPr>
          <w:spacing w:val="-2"/>
        </w:rPr>
        <w:t>我们还就已遵守与独立性相关的职业道德要求向治理层提供声明，并与治理层沟通可能被合理认为影响我们独立性的所</w:t>
      </w:r>
      <w:r>
        <w:rPr/>
        <w:t> 有关系和其他事项，以及相关的防范措施（如适用）。</w:t>
      </w:r>
    </w:p>
    <w:p>
      <w:pPr>
        <w:pStyle w:val="BodyText"/>
        <w:spacing w:line="240" w:lineRule="auto" w:before="54"/>
        <w:ind w:left="514" w:right="0"/>
        <w:jc w:val="left"/>
      </w:pPr>
      <w:r>
        <w:rPr/>
        <w:t>从与治理层沟通过的事项中，我们确定哪些事项对本期财务报表审计最为重要，因而构成关键审计事项。我们在审计报</w:t>
      </w:r>
    </w:p>
    <w:p>
      <w:pPr>
        <w:spacing w:after="0" w:line="240" w:lineRule="auto"/>
        <w:jc w:val="left"/>
        <w:sectPr>
          <w:footerReference w:type="default" r:id="rId91"/>
          <w:pgSz w:w="11910" w:h="16840"/>
          <w:pgMar w:footer="979" w:header="851" w:top="1400" w:bottom="1160" w:left="980" w:right="0"/>
        </w:sectPr>
      </w:pPr>
    </w:p>
    <w:p>
      <w:pPr>
        <w:pStyle w:val="BodyText"/>
        <w:spacing w:line="477" w:lineRule="auto" w:before="140"/>
        <w:ind w:right="0"/>
        <w:jc w:val="left"/>
      </w:pPr>
      <w:r>
        <w:rPr>
          <w:spacing w:val="-2"/>
        </w:rPr>
        <w:t>告中描述这些事项，除非法律法规禁止公开披露这些事项，或在极少数情形下，如果合理预期在审计报告中沟通某事项造成</w:t>
      </w:r>
      <w:r>
        <w:rPr>
          <w:spacing w:val="-66"/>
        </w:rPr>
        <w:t> </w:t>
      </w:r>
      <w:r>
        <w:rPr>
          <w:spacing w:val="-66"/>
        </w:rPr>
      </w:r>
      <w:r>
        <w:rPr/>
        <w:t>的负面后果超过在公众利益方面产生的益处，我们确定不应在审计报告中沟通该事项。</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0"/>
          <w:szCs w:val="20"/>
        </w:rPr>
      </w:pPr>
    </w:p>
    <w:p>
      <w:pPr>
        <w:pStyle w:val="Heading5"/>
        <w:tabs>
          <w:tab w:pos="6050" w:val="left" w:leader="none"/>
        </w:tabs>
        <w:spacing w:line="240" w:lineRule="auto"/>
        <w:ind w:left="606" w:right="0"/>
        <w:jc w:val="left"/>
        <w:rPr>
          <w:b w:val="0"/>
          <w:bCs w:val="0"/>
        </w:rPr>
      </w:pPr>
      <w:r>
        <w:rPr>
          <w:w w:val="95"/>
        </w:rPr>
        <w:t>立信会计师事务所</w:t>
        <w:tab/>
      </w:r>
      <w:r>
        <w:rPr/>
        <w:t>中国注册会计师：</w:t>
      </w:r>
      <w:r>
        <w:rPr>
          <w:spacing w:val="-1"/>
        </w:rPr>
        <w:t> </w:t>
      </w:r>
      <w:r>
        <w:rPr/>
        <w:t>王一芳</w:t>
      </w:r>
      <w:r>
        <w:rPr>
          <w:b w:val="0"/>
          <w:bCs w:val="0"/>
        </w:rPr>
      </w:r>
    </w:p>
    <w:p>
      <w:pPr>
        <w:spacing w:line="240" w:lineRule="auto" w:before="10"/>
        <w:rPr>
          <w:rFonts w:ascii="宋体" w:hAnsi="宋体" w:cs="宋体" w:eastAsia="宋体" w:hint="default"/>
          <w:b/>
          <w:bCs/>
          <w:sz w:val="17"/>
          <w:szCs w:val="17"/>
        </w:rPr>
      </w:pPr>
    </w:p>
    <w:p>
      <w:pPr>
        <w:pStyle w:val="Heading5"/>
        <w:tabs>
          <w:tab w:pos="6028" w:val="left" w:leader="none"/>
        </w:tabs>
        <w:spacing w:line="240" w:lineRule="auto"/>
        <w:ind w:left="606" w:right="0"/>
        <w:jc w:val="left"/>
        <w:rPr>
          <w:b w:val="0"/>
          <w:bCs w:val="0"/>
        </w:rPr>
      </w:pPr>
      <w:r>
        <w:rPr>
          <w:w w:val="95"/>
        </w:rPr>
        <w:t>（特殊普通合伙）</w:t>
        <w:tab/>
      </w:r>
      <w:r>
        <w:rPr/>
        <w:t>（项目合伙人）</w:t>
      </w:r>
      <w:r>
        <w:rPr>
          <w:b w:val="0"/>
          <w:bCs w:val="0"/>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pStyle w:val="Heading5"/>
        <w:spacing w:line="240" w:lineRule="auto" w:before="150"/>
        <w:ind w:left="6050" w:right="0"/>
        <w:jc w:val="left"/>
        <w:rPr>
          <w:b w:val="0"/>
          <w:bCs w:val="0"/>
        </w:rPr>
      </w:pPr>
      <w:r>
        <w:rPr/>
        <w:t>中国注册会计师：</w:t>
      </w:r>
      <w:r>
        <w:rPr>
          <w:spacing w:val="-1"/>
        </w:rPr>
        <w:t> </w:t>
      </w:r>
      <w:r>
        <w:rPr/>
        <w:t>张佳朕</w:t>
      </w:r>
      <w:r>
        <w:rPr>
          <w:b w:val="0"/>
          <w:bCs w:val="0"/>
        </w:rPr>
      </w:r>
    </w:p>
    <w:p>
      <w:pPr>
        <w:spacing w:line="240" w:lineRule="auto" w:before="10"/>
        <w:rPr>
          <w:rFonts w:ascii="宋体" w:hAnsi="宋体" w:cs="宋体" w:eastAsia="宋体" w:hint="default"/>
          <w:b/>
          <w:bCs/>
          <w:sz w:val="17"/>
          <w:szCs w:val="17"/>
        </w:rPr>
      </w:pPr>
    </w:p>
    <w:p>
      <w:pPr>
        <w:pStyle w:val="Heading5"/>
        <w:tabs>
          <w:tab w:pos="5232" w:val="left" w:leader="none"/>
        </w:tabs>
        <w:spacing w:line="240" w:lineRule="auto"/>
        <w:ind w:left="0" w:right="2132"/>
        <w:jc w:val="center"/>
        <w:rPr>
          <w:b w:val="0"/>
          <w:bCs w:val="0"/>
        </w:rPr>
      </w:pPr>
      <w:r>
        <w:rPr>
          <w:w w:val="95"/>
        </w:rPr>
        <w:t>中国</w:t>
      </w:r>
      <w:r>
        <w:rPr>
          <w:rFonts w:ascii="Times New Roman" w:hAnsi="Times New Roman" w:cs="Times New Roman" w:eastAsia="Times New Roman" w:hint="default"/>
          <w:w w:val="95"/>
        </w:rPr>
        <w:t>•</w:t>
      </w:r>
      <w:r>
        <w:rPr>
          <w:w w:val="95"/>
        </w:rPr>
        <w:t>上海</w:t>
        <w:tab/>
      </w:r>
      <w:r>
        <w:rPr/>
        <w:t>二〇一九年四月二十五日</w:t>
      </w:r>
      <w:r>
        <w:rPr>
          <w:b w:val="0"/>
          <w:bCs w:val="0"/>
        </w:rPr>
      </w:r>
    </w:p>
    <w:p>
      <w:pPr>
        <w:spacing w:after="0" w:line="240" w:lineRule="auto"/>
        <w:jc w:val="center"/>
        <w:sectPr>
          <w:footerReference w:type="default" r:id="rId92"/>
          <w:pgSz w:w="11910" w:h="16840"/>
          <w:pgMar w:footer="979" w:header="851" w:top="1400" w:bottom="1160" w:left="980" w:right="0"/>
          <w:pgNumType w:start="101"/>
        </w:sectPr>
      </w:pPr>
    </w:p>
    <w:p>
      <w:pPr>
        <w:pStyle w:val="Heading2"/>
        <w:spacing w:line="240" w:lineRule="auto" w:before="14"/>
        <w:ind w:right="0"/>
        <w:jc w:val="left"/>
        <w:rPr>
          <w:b w:val="0"/>
          <w:bCs w:val="0"/>
        </w:rPr>
      </w:pPr>
      <w:r>
        <w:rPr/>
        <w:pict>
          <v:group style="position:absolute;margin-left:55.200001pt;margin-top:2.175601pt;width:485pt;height:.1pt;mso-position-horizontal-relative:page;mso-position-vertical-relative:paragraph;z-index:-1076728" coordorigin="1104,44" coordsize="9700,2">
            <v:shape style="position:absolute;left:1104;top:44;width:9700;height:2" coordorigin="1104,44" coordsize="9700,0" path="m1104,44l10804,44e" filled="false" stroked="true" strokeweight=".72pt" strokecolor="#000000">
              <v:path arrowok="t"/>
            </v:shape>
            <w10:wrap type="none"/>
          </v:group>
        </w:pict>
      </w:r>
      <w:bookmarkStart w:name="二、财务报表" w:id="164"/>
      <w:bookmarkEnd w:id="164"/>
      <w:r>
        <w:rPr>
          <w:b w:val="0"/>
          <w:bCs w:val="0"/>
        </w:rPr>
      </w:r>
      <w:r>
        <w:rPr/>
        <w:t>二、财务报表</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财务附注中报表的单位为：人民币元</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1、合并资产负债表" w:id="165"/>
      <w:bookmarkEnd w:id="165"/>
      <w:r>
        <w:rPr>
          <w:b w:val="0"/>
          <w:bCs w:val="0"/>
        </w:rPr>
      </w:r>
      <w:r>
        <w:rPr>
          <w:rFonts w:ascii="Times New Roman" w:hAnsi="Times New Roman" w:cs="Times New Roman" w:eastAsia="Times New Roman" w:hint="default"/>
        </w:rPr>
        <w:t>1</w:t>
      </w:r>
      <w:r>
        <w:rPr/>
        <w:t>、合并资产负债表</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51" w:footer="979" w:top="1400" w:bottom="1160" w:left="980" w:right="0"/>
        </w:sectPr>
      </w:pPr>
    </w:p>
    <w:p>
      <w:pPr>
        <w:pStyle w:val="BodyText"/>
        <w:spacing w:line="240" w:lineRule="auto" w:before="44"/>
        <w:ind w:right="-20"/>
        <w:jc w:val="left"/>
      </w:pPr>
      <w:r>
        <w:rPr/>
        <w:t>编制单位：北京神州泰岳软件股份有限公司</w:t>
      </w:r>
    </w:p>
    <w:p>
      <w:pPr>
        <w:spacing w:line="240" w:lineRule="auto" w:before="0"/>
        <w:rPr>
          <w:rFonts w:ascii="宋体" w:hAnsi="宋体" w:cs="宋体" w:eastAsia="宋体" w:hint="default"/>
          <w:sz w:val="18"/>
          <w:szCs w:val="18"/>
        </w:rPr>
      </w:pPr>
      <w:r>
        <w:rPr/>
        <w:br w:type="column"/>
      </w:r>
      <w:r>
        <w:rPr>
          <w:rFonts w:ascii="宋体"/>
          <w:sz w:val="18"/>
        </w:rPr>
      </w:r>
    </w:p>
    <w:p>
      <w:pPr>
        <w:pStyle w:val="BodyText"/>
        <w:spacing w:line="240" w:lineRule="auto" w:before="161"/>
        <w:ind w:left="153" w:right="-16"/>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12 </w:t>
      </w:r>
      <w:r>
        <w:rPr/>
        <w:t>月</w:t>
      </w:r>
      <w:r>
        <w:rPr>
          <w:spacing w:val="-46"/>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left="153" w:right="0"/>
        <w:jc w:val="left"/>
      </w:pPr>
      <w:r>
        <w:rPr/>
        <w:t>单位：元</w:t>
      </w:r>
    </w:p>
    <w:p>
      <w:pPr>
        <w:spacing w:after="0" w:line="240" w:lineRule="auto"/>
        <w:jc w:val="left"/>
        <w:sectPr>
          <w:type w:val="continuous"/>
          <w:pgSz w:w="11910" w:h="16840"/>
          <w:pgMar w:top="900" w:bottom="0" w:left="980" w:right="0"/>
          <w:cols w:num="3" w:equalWidth="0">
            <w:col w:w="3575" w:space="503"/>
            <w:col w:w="1639" w:space="3203"/>
            <w:col w:w="2010"/>
          </w:cols>
        </w:sectPr>
      </w:pP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4089"/>
        <w:gridCol w:w="2846"/>
        <w:gridCol w:w="2622"/>
      </w:tblGrid>
      <w:tr>
        <w:trPr>
          <w:trHeight w:val="403"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536,149,673.07</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789,487,325.40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05"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 资产</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1,144,124,855.16</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1,124,561,042.37</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51" w:right="0"/>
              <w:jc w:val="left"/>
              <w:rPr>
                <w:rFonts w:ascii="宋体" w:hAnsi="宋体" w:cs="宋体" w:eastAsia="宋体" w:hint="default"/>
                <w:sz w:val="18"/>
                <w:szCs w:val="18"/>
              </w:rPr>
            </w:pPr>
            <w:r>
              <w:rPr>
                <w:rFonts w:ascii="宋体" w:hAnsi="宋体" w:cs="宋体" w:eastAsia="宋体" w:hint="default"/>
                <w:sz w:val="18"/>
                <w:szCs w:val="18"/>
              </w:rPr>
              <w:t>其中：应收票据</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3,046,749.50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413,300.00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9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1,141,078,105.66</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1,124,147,742.37</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14,691,262.85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17,488,533.77</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385,548,617.74</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422,612,349.99</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51"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91"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165,368,186.38</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225,711,685.55</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149,809,218.40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205,235,975.95</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2,395,691,813.60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2,785,096,913.03</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发放贷款和垫款</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368,009,399.02</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363,997,368.12</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900" w:bottom="0" w:left="980" w:right="0"/>
        </w:sectPr>
      </w:pPr>
    </w:p>
    <w:p>
      <w:pPr>
        <w:spacing w:line="240" w:lineRule="auto" w:before="5"/>
        <w:rPr>
          <w:rFonts w:ascii="Times New Roman" w:hAnsi="Times New Roman" w:cs="Times New Roman" w:eastAsia="Times New Roman" w:hint="default"/>
          <w:sz w:val="17"/>
          <w:szCs w:val="17"/>
        </w:rPr>
      </w:pPr>
      <w:r>
        <w:rPr/>
        <w:pict>
          <v:shape style="position:absolute;margin-left:57.029999pt;margin-top:72.179985pt;width:478.6pt;height:680.4pt;mso-position-horizontal-relative:page;mso-position-vertical-relative:page;z-index:28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089"/>
                    <w:gridCol w:w="2846"/>
                    <w:gridCol w:w="2622"/>
                  </w:tblGrid>
                  <w:tr>
                    <w:trPr>
                      <w:trHeight w:val="415" w:hRule="exact"/>
                    </w:trPr>
                    <w:tc>
                      <w:tcPr>
                        <w:tcW w:w="408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3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2846" w:type="dxa"/>
                        <w:tcBorders>
                          <w:top w:val="single" w:sz="10" w:space="0" w:color="000000"/>
                          <w:left w:val="single" w:sz="10" w:space="0" w:color="D2D2D2"/>
                          <w:bottom w:val="single" w:sz="4" w:space="0" w:color="000000"/>
                          <w:right w:val="single" w:sz="4" w:space="0" w:color="000000"/>
                        </w:tcBorders>
                      </w:tcPr>
                      <w:p>
                        <w:pPr/>
                      </w:p>
                    </w:tc>
                    <w:tc>
                      <w:tcPr>
                        <w:tcW w:w="2622" w:type="dxa"/>
                        <w:tcBorders>
                          <w:top w:val="single" w:sz="10"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314,091,424.71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305,366,447.10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213,903,205.36</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159,980,567.72</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408,370,602.31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423,187,880.87</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137,556.35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120,021.25</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462,926,538.53</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368,313,073.42</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10,927,189.49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35,708,813.97</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2,038,960,569.95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2,062,615,454.86</w:t>
                        </w:r>
                      </w:p>
                    </w:tc>
                  </w:tr>
                  <w:tr>
                    <w:trPr>
                      <w:trHeight w:val="401"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3,089,976.59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6,468,270.47</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42,751,781.79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36,727,690.45</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376,120,000.00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377,042,891.17</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4,239,288,244.10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4,139,528,479.40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6,634,980,057.70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6,924,625,392.43</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380,000,000.00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301,445,999.00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85"/>
                          <w:jc w:val="righ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05"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 负债</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85"/>
                          <w:jc w:val="righ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273,604,713.99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215,120,889.30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123,720,317.85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116,716,453.49</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85"/>
                          <w:jc w:val="righ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69,353,186.28</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71,259,152.20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91,139,829.54</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129,763,691.94</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50,991,089.55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128,242,098.76</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1,825,152.09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20,662,667.36</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91"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bl>
                <w:p>
                  <w:pPr/>
                </w:p>
              </w:txbxContent>
            </v:textbox>
            <w10:wrap type="none"/>
          </v:shape>
        </w:pict>
      </w:r>
    </w:p>
    <w:p>
      <w:pPr>
        <w:spacing w:after="0" w:line="240" w:lineRule="auto"/>
        <w:rPr>
          <w:rFonts w:ascii="Times New Roman" w:hAnsi="Times New Roman" w:cs="Times New Roman" w:eastAsia="Times New Roman" w:hint="default"/>
          <w:sz w:val="17"/>
          <w:szCs w:val="17"/>
        </w:rPr>
        <w:sectPr>
          <w:pgSz w:w="11910" w:h="16840"/>
          <w:pgMar w:header="851" w:footer="979" w:top="1460" w:bottom="1160" w:left="1020" w:right="0"/>
        </w:sectPr>
      </w:pPr>
    </w:p>
    <w:p>
      <w:pPr>
        <w:spacing w:line="240" w:lineRule="auto" w:before="5"/>
        <w:rPr>
          <w:rFonts w:ascii="Times New Roman" w:hAnsi="Times New Roman" w:cs="Times New Roman" w:eastAsia="Times New Roman" w:hint="default"/>
          <w:sz w:val="17"/>
          <w:szCs w:val="17"/>
        </w:rPr>
      </w:pPr>
      <w:r>
        <w:rPr/>
        <w:pict>
          <v:shape style="position:absolute;margin-left:57.029999pt;margin-top:72.179985pt;width:478.6pt;height:684.9pt;mso-position-horizontal-relative:page;mso-position-vertical-relative:page;z-index:28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089"/>
                    <w:gridCol w:w="2846"/>
                    <w:gridCol w:w="2622"/>
                  </w:tblGrid>
                  <w:tr>
                    <w:trPr>
                      <w:trHeight w:val="415" w:hRule="exact"/>
                    </w:trPr>
                    <w:tc>
                      <w:tcPr>
                        <w:tcW w:w="408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371"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2846" w:type="dxa"/>
                        <w:tcBorders>
                          <w:top w:val="single" w:sz="10" w:space="0" w:color="000000"/>
                          <w:left w:val="single" w:sz="10" w:space="0" w:color="D2D2D2"/>
                          <w:bottom w:val="single" w:sz="4" w:space="0" w:color="000000"/>
                          <w:right w:val="single" w:sz="4" w:space="0" w:color="000000"/>
                        </w:tcBorders>
                      </w:tcPr>
                      <w:p>
                        <w:pPr/>
                      </w:p>
                    </w:tc>
                    <w:tc>
                      <w:tcPr>
                        <w:tcW w:w="2622" w:type="dxa"/>
                        <w:tcBorders>
                          <w:top w:val="single" w:sz="10"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324,152,259.87</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1,160,319.52</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500,000,000.00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1,312,961,397.08</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1,463,708,604.21</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62,500,000.00</w:t>
                        </w: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298,201,572.72</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91"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26,561,687.31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19,147,291.50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1,611,666.60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2,005,966.64</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1,177,009.70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1,587,836.11</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91,850,363.61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320,942,666.97</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1,404,811,760.69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1,784,651,271.18</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1,961,091,984.00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1,961,091,984.00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91"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447,563,721.16</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427,255,737.04</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1,920,436.00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-4,286,173.91</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231,293,196.44</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231,293,196.44</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2,597,364,473.99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2,530,844,496.31</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5,239,233,811.59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5,146,199,239.88</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-9,065,514.58</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-6,225,118.63</w:t>
                        </w:r>
                      </w:p>
                    </w:tc>
                  </w:tr>
                </w:tbl>
                <w:p>
                  <w:pPr/>
                </w:p>
              </w:txbxContent>
            </v:textbox>
            <w10:wrap type="none"/>
          </v:shape>
        </w:pict>
      </w:r>
    </w:p>
    <w:p>
      <w:pPr>
        <w:spacing w:after="0" w:line="240" w:lineRule="auto"/>
        <w:rPr>
          <w:rFonts w:ascii="Times New Roman" w:hAnsi="Times New Roman" w:cs="Times New Roman" w:eastAsia="Times New Roman" w:hint="default"/>
          <w:sz w:val="17"/>
          <w:szCs w:val="17"/>
        </w:rPr>
        <w:sectPr>
          <w:pgSz w:w="11910" w:h="16840"/>
          <w:pgMar w:header="851" w:footer="979" w:top="1460" w:bottom="1160" w:left="1020" w:right="0"/>
        </w:sectPr>
      </w:pPr>
    </w:p>
    <w:p>
      <w:pPr>
        <w:spacing w:line="240" w:lineRule="auto" w:before="9"/>
        <w:rPr>
          <w:rFonts w:ascii="Times New Roman" w:hAnsi="Times New Roman" w:cs="Times New Roman" w:eastAsia="Times New Roman"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4112"/>
        <w:gridCol w:w="2834"/>
        <w:gridCol w:w="2622"/>
      </w:tblGrid>
      <w:tr>
        <w:trPr>
          <w:trHeight w:val="415" w:hRule="exact"/>
        </w:trPr>
        <w:tc>
          <w:tcPr>
            <w:tcW w:w="411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283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Times New Roman" w:hAnsi="Times New Roman" w:cs="Times New Roman" w:eastAsia="Times New Roman" w:hint="default"/>
                <w:sz w:val="18"/>
                <w:szCs w:val="18"/>
              </w:rPr>
            </w:pPr>
            <w:r>
              <w:rPr>
                <w:rFonts w:ascii="Times New Roman"/>
                <w:spacing w:val="-1"/>
                <w:sz w:val="18"/>
              </w:rPr>
              <w:t>5,230,168,297.01</w:t>
            </w:r>
          </w:p>
        </w:tc>
        <w:tc>
          <w:tcPr>
            <w:tcW w:w="262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Times New Roman" w:hAnsi="Times New Roman" w:cs="Times New Roman" w:eastAsia="Times New Roman" w:hint="default"/>
                <w:sz w:val="18"/>
                <w:szCs w:val="18"/>
              </w:rPr>
            </w:pPr>
            <w:r>
              <w:rPr>
                <w:rFonts w:ascii="Times New Roman"/>
                <w:spacing w:val="-1"/>
                <w:sz w:val="18"/>
              </w:rPr>
              <w:t>5,139,974,121.25</w:t>
            </w:r>
          </w:p>
        </w:tc>
      </w:tr>
      <w:tr>
        <w:trPr>
          <w:trHeight w:val="403"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6,634,980,057.70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6,924,625,392.43</w:t>
            </w:r>
          </w:p>
        </w:tc>
      </w:tr>
    </w:tbl>
    <w:p>
      <w:pPr>
        <w:spacing w:line="240" w:lineRule="auto" w:before="3"/>
        <w:rPr>
          <w:rFonts w:ascii="Times New Roman" w:hAnsi="Times New Roman" w:cs="Times New Roman" w:eastAsia="Times New Roman" w:hint="default"/>
          <w:sz w:val="23"/>
          <w:szCs w:val="23"/>
        </w:rPr>
      </w:pPr>
    </w:p>
    <w:p>
      <w:pPr>
        <w:pStyle w:val="BodyText"/>
        <w:tabs>
          <w:tab w:pos="3330" w:val="left" w:leader="none"/>
          <w:tab w:pos="7381" w:val="left" w:leader="none"/>
        </w:tabs>
        <w:spacing w:line="240" w:lineRule="auto" w:before="44"/>
        <w:ind w:left="0" w:right="1229"/>
        <w:jc w:val="right"/>
      </w:pPr>
      <w:r>
        <w:rPr/>
        <w:t>法定代表人：王宁先生</w:t>
        <w:tab/>
        <w:t>主管会计工作负责人：林红女士</w:t>
        <w:tab/>
        <w:t>会计机构负责人：王辉先生</w:t>
      </w:r>
    </w:p>
    <w:p>
      <w:pPr>
        <w:spacing w:line="240" w:lineRule="auto" w:before="10"/>
        <w:rPr>
          <w:rFonts w:ascii="宋体" w:hAnsi="宋体" w:cs="宋体" w:eastAsia="宋体" w:hint="default"/>
          <w:sz w:val="26"/>
          <w:szCs w:val="26"/>
        </w:rPr>
      </w:pPr>
    </w:p>
    <w:p>
      <w:pPr>
        <w:pStyle w:val="Heading3"/>
        <w:spacing w:line="240" w:lineRule="auto"/>
        <w:ind w:left="114" w:right="1276"/>
        <w:jc w:val="left"/>
        <w:rPr>
          <w:b w:val="0"/>
          <w:bCs w:val="0"/>
        </w:rPr>
      </w:pPr>
      <w:bookmarkStart w:name="2、母公司资产负债表" w:id="166"/>
      <w:bookmarkEnd w:id="166"/>
      <w:r>
        <w:rPr>
          <w:b w:val="0"/>
          <w:bCs w:val="0"/>
        </w:rPr>
      </w:r>
      <w:r>
        <w:rPr>
          <w:rFonts w:ascii="Times New Roman" w:hAnsi="Times New Roman" w:cs="Times New Roman" w:eastAsia="Times New Roman" w:hint="default"/>
        </w:rPr>
        <w:t>2</w:t>
      </w:r>
      <w:r>
        <w:rPr/>
        <w:t>、母公司资产负债表</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4089"/>
        <w:gridCol w:w="2846"/>
        <w:gridCol w:w="2622"/>
      </w:tblGrid>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68,831,632.09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277,901,087.16</w:t>
            </w:r>
          </w:p>
        </w:tc>
      </w:tr>
      <w:tr>
        <w:trPr>
          <w:trHeight w:val="714"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05"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 资产</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703,519,105.30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689,936,666.75</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其中：应收票据</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1,748,655.50</w:t>
            </w: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9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701,770,449.80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689,936,666.75</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2,958,807.76</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3,396,415.57</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564,890,645.09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452,933,117.27</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91"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109,945,844.55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151,179,649.01</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70,061,822.85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193,075,463.55</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1,520,207,857.64</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1,768,422,399.31</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349,594,255.32</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345,700,000.00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3,340,171,107.80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3,285,004,103.72</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155,899,105.52</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159,980,567.72</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210,845,647.40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221,618,651.52</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400" w:bottom="1160" w:left="1020" w:right="0"/>
        </w:sectPr>
      </w:pPr>
    </w:p>
    <w:p>
      <w:pPr>
        <w:spacing w:line="240" w:lineRule="auto" w:before="5"/>
        <w:rPr>
          <w:rFonts w:ascii="Times New Roman" w:hAnsi="Times New Roman" w:cs="Times New Roman" w:eastAsia="Times New Roman" w:hint="default"/>
          <w:sz w:val="17"/>
          <w:szCs w:val="17"/>
        </w:rPr>
      </w:pPr>
      <w:r>
        <w:rPr/>
        <w:pict>
          <v:shape style="position:absolute;margin-left:57.029999pt;margin-top:72.179985pt;width:478.6pt;height:680.4pt;mso-position-horizontal-relative:page;mso-position-vertical-relative:page;z-index:28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089"/>
                    <w:gridCol w:w="2846"/>
                    <w:gridCol w:w="2622"/>
                  </w:tblGrid>
                  <w:tr>
                    <w:trPr>
                      <w:trHeight w:val="415" w:hRule="exact"/>
                    </w:trPr>
                    <w:tc>
                      <w:tcPr>
                        <w:tcW w:w="408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846" w:type="dxa"/>
                        <w:tcBorders>
                          <w:top w:val="single" w:sz="10" w:space="0" w:color="000000"/>
                          <w:left w:val="single" w:sz="10" w:space="0" w:color="D2D2D2"/>
                          <w:bottom w:val="single" w:sz="4" w:space="0" w:color="000000"/>
                          <w:right w:val="single" w:sz="4" w:space="0" w:color="000000"/>
                        </w:tcBorders>
                      </w:tcPr>
                      <w:p>
                        <w:pPr>
                          <w:pStyle w:val="TableParagraph"/>
                          <w:spacing w:line="240" w:lineRule="auto" w:before="97"/>
                          <w:ind w:right="20"/>
                          <w:jc w:val="right"/>
                          <w:rPr>
                            <w:rFonts w:ascii="Times New Roman" w:hAnsi="Times New Roman" w:cs="Times New Roman" w:eastAsia="Times New Roman" w:hint="default"/>
                            <w:sz w:val="18"/>
                            <w:szCs w:val="18"/>
                          </w:rPr>
                        </w:pPr>
                        <w:r>
                          <w:rPr>
                            <w:rFonts w:ascii="Times New Roman"/>
                            <w:spacing w:val="-1"/>
                            <w:sz w:val="18"/>
                          </w:rPr>
                          <w:t>239,418,879.22</w:t>
                        </w:r>
                      </w:p>
                    </w:tc>
                    <w:tc>
                      <w:tcPr>
                        <w:tcW w:w="262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0"/>
                          <w:jc w:val="right"/>
                          <w:rPr>
                            <w:rFonts w:ascii="Times New Roman" w:hAnsi="Times New Roman" w:cs="Times New Roman" w:eastAsia="Times New Roman" w:hint="default"/>
                            <w:sz w:val="18"/>
                            <w:szCs w:val="18"/>
                          </w:rPr>
                        </w:pPr>
                        <w:r>
                          <w:rPr>
                            <w:rFonts w:ascii="Times New Roman"/>
                            <w:spacing w:val="-1"/>
                            <w:sz w:val="18"/>
                          </w:rPr>
                          <w:t>200,403,033.21</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46,638,240.11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33,391,252.91</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4,342,567,235.37</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4,246,097,609.08</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5,862,775,093.01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6,014,520,008.39</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140,000,000.00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107,000,000.00</w:t>
                        </w:r>
                      </w:p>
                    </w:tc>
                  </w:tr>
                  <w:tr>
                    <w:trPr>
                      <w:trHeight w:val="713"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05"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 负债</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205,816,482.27</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168,893,062.08</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63,820,979.55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50,234,732.05</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33,870,871.62</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40,775,924.98</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40,100,123.43</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64,143,030.20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1,401,969,140.84</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1,155,659,916.64</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1,470,264.58</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20,662,667.36</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91"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324,063,094.45</w:t>
                        </w: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500,000,000.00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2,209,640,692.16</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2,086,706,665.95</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62,500,000.00</w:t>
                        </w: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298,201,572.72</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91"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14,025,164.32</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10,915,261.68</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bl>
                <w:p>
                  <w:pPr/>
                </w:p>
              </w:txbxContent>
            </v:textbox>
            <w10:wrap type="none"/>
          </v:shape>
        </w:pict>
      </w:r>
    </w:p>
    <w:p>
      <w:pPr>
        <w:spacing w:after="0" w:line="240" w:lineRule="auto"/>
        <w:rPr>
          <w:rFonts w:ascii="Times New Roman" w:hAnsi="Times New Roman" w:cs="Times New Roman" w:eastAsia="Times New Roman" w:hint="default"/>
          <w:sz w:val="17"/>
          <w:szCs w:val="17"/>
        </w:rPr>
        <w:sectPr>
          <w:pgSz w:w="11910" w:h="16840"/>
          <w:pgMar w:header="851" w:footer="979" w:top="1460" w:bottom="1160" w:left="1020" w:right="0"/>
        </w:sectPr>
      </w:pPr>
    </w:p>
    <w:p>
      <w:pPr>
        <w:spacing w:line="240" w:lineRule="auto" w:before="9"/>
        <w:rPr>
          <w:rFonts w:ascii="Times New Roman" w:hAnsi="Times New Roman" w:cs="Times New Roman" w:eastAsia="Times New Roman" w:hint="default"/>
          <w:sz w:val="2"/>
          <w:szCs w:val="2"/>
        </w:rPr>
      </w:pPr>
    </w:p>
    <w:tbl>
      <w:tblPr>
        <w:tblW w:w="0" w:type="auto"/>
        <w:jc w:val="left"/>
        <w:tblInd w:w="120" w:type="dxa"/>
        <w:tblLayout w:type="fixed"/>
        <w:tblCellMar>
          <w:top w:w="0" w:type="dxa"/>
          <w:left w:w="0" w:type="dxa"/>
          <w:bottom w:w="0" w:type="dxa"/>
          <w:right w:w="0" w:type="dxa"/>
        </w:tblCellMar>
        <w:tblLook w:val="01E0"/>
      </w:tblPr>
      <w:tblGrid>
        <w:gridCol w:w="4089"/>
        <w:gridCol w:w="2846"/>
        <w:gridCol w:w="2622"/>
      </w:tblGrid>
      <w:tr>
        <w:trPr>
          <w:trHeight w:val="415" w:hRule="exact"/>
        </w:trPr>
        <w:tc>
          <w:tcPr>
            <w:tcW w:w="408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37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2846" w:type="dxa"/>
            <w:tcBorders>
              <w:top w:val="single" w:sz="10" w:space="0" w:color="000000"/>
              <w:left w:val="single" w:sz="10" w:space="0" w:color="D2D2D2"/>
              <w:bottom w:val="single" w:sz="4" w:space="0" w:color="000000"/>
              <w:right w:val="single" w:sz="4" w:space="0" w:color="000000"/>
            </w:tcBorders>
          </w:tcPr>
          <w:p>
            <w:pPr/>
          </w:p>
        </w:tc>
        <w:tc>
          <w:tcPr>
            <w:tcW w:w="2622" w:type="dxa"/>
            <w:tcBorders>
              <w:top w:val="single" w:sz="10"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76,525,164.32</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309,116,834.40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2,286,165,856.48</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2,395,823,500.35</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1,961,091,984.00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1,961,091,984.00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91"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432,402,509.20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412,094,525.08</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-6,888,154.51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-7,053,837.63</w:t>
            </w:r>
          </w:p>
        </w:tc>
      </w:tr>
      <w:tr>
        <w:trPr>
          <w:trHeight w:val="401"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230,387,899.16</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230,387,899.16</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959,614,998.68</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1,022,175,937.43</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3,576,609,236.53</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3,618,696,508.04</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5,862,775,093.01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6,014,520,008.39</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5"/>
        <w:ind w:left="114" w:right="1276"/>
        <w:jc w:val="left"/>
        <w:rPr>
          <w:b w:val="0"/>
          <w:bCs w:val="0"/>
        </w:rPr>
      </w:pPr>
      <w:bookmarkStart w:name="3、合并利润表" w:id="167"/>
      <w:bookmarkEnd w:id="167"/>
      <w:r>
        <w:rPr>
          <w:b w:val="0"/>
          <w:bCs w:val="0"/>
        </w:rPr>
      </w:r>
      <w:r>
        <w:rPr>
          <w:rFonts w:ascii="Times New Roman" w:hAnsi="Times New Roman" w:cs="Times New Roman" w:eastAsia="Times New Roman" w:hint="default"/>
        </w:rPr>
        <w:t>3</w:t>
      </w:r>
      <w:r>
        <w:rPr/>
        <w:t>、合并利润表</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4089"/>
        <w:gridCol w:w="2846"/>
        <w:gridCol w:w="2622"/>
      </w:tblGrid>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57"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2,019,455,697.32</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2,026,498,700.16</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2,019,455,697.32</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2,026,498,700.16</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1,982,546,965.56</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2,001,617,841.03</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581,221,204.07</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622,510,033.65</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400" w:bottom="1160" w:left="1020" w:right="0"/>
        </w:sectPr>
      </w:pPr>
    </w:p>
    <w:tbl>
      <w:tblPr>
        <w:tblW w:w="0" w:type="auto"/>
        <w:jc w:val="left"/>
        <w:tblInd w:w="109" w:type="dxa"/>
        <w:tblLayout w:type="fixed"/>
        <w:tblCellMar>
          <w:top w:w="0" w:type="dxa"/>
          <w:left w:w="0" w:type="dxa"/>
          <w:bottom w:w="0" w:type="dxa"/>
          <w:right w:w="0" w:type="dxa"/>
        </w:tblCellMar>
        <w:tblLook w:val="01E0"/>
      </w:tblPr>
      <w:tblGrid>
        <w:gridCol w:w="4112"/>
        <w:gridCol w:w="2834"/>
        <w:gridCol w:w="2622"/>
      </w:tblGrid>
      <w:tr>
        <w:trPr>
          <w:trHeight w:val="415" w:hRule="exact"/>
        </w:trPr>
        <w:tc>
          <w:tcPr>
            <w:tcW w:w="411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23"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283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21,090,937.39</w:t>
            </w:r>
          </w:p>
        </w:tc>
        <w:tc>
          <w:tcPr>
            <w:tcW w:w="262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15,914,690.68</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92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Times New Roman" w:hAnsi="Times New Roman" w:cs="Times New Roman" w:eastAsia="Times New Roman" w:hint="default"/>
                <w:sz w:val="18"/>
                <w:szCs w:val="18"/>
              </w:rPr>
            </w:pPr>
            <w:r>
              <w:rPr>
                <w:rFonts w:ascii="Times New Roman"/>
                <w:spacing w:val="-1"/>
                <w:sz w:val="18"/>
              </w:rPr>
              <w:t>448,526,981.87</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Times New Roman" w:hAnsi="Times New Roman" w:cs="Times New Roman" w:eastAsia="Times New Roman" w:hint="default"/>
                <w:sz w:val="18"/>
                <w:szCs w:val="18"/>
              </w:rPr>
            </w:pPr>
            <w:r>
              <w:rPr>
                <w:rFonts w:ascii="Times New Roman"/>
                <w:spacing w:val="-1"/>
                <w:sz w:val="18"/>
              </w:rPr>
              <w:t>456,691,665.34</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92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Times New Roman" w:hAnsi="Times New Roman" w:cs="Times New Roman" w:eastAsia="Times New Roman" w:hint="default"/>
                <w:sz w:val="18"/>
                <w:szCs w:val="18"/>
              </w:rPr>
            </w:pPr>
            <w:r>
              <w:rPr>
                <w:rFonts w:ascii="Times New Roman"/>
                <w:spacing w:val="-1"/>
                <w:sz w:val="18"/>
              </w:rPr>
              <w:t>714,440,593.96</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Times New Roman" w:hAnsi="Times New Roman" w:cs="Times New Roman" w:eastAsia="Times New Roman" w:hint="default"/>
                <w:sz w:val="18"/>
                <w:szCs w:val="18"/>
              </w:rPr>
            </w:pPr>
            <w:r>
              <w:rPr>
                <w:rFonts w:ascii="Times New Roman"/>
                <w:spacing w:val="-1"/>
                <w:sz w:val="18"/>
              </w:rPr>
              <w:t>663,038,385.52</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923"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Times New Roman" w:hAnsi="Times New Roman" w:cs="Times New Roman" w:eastAsia="Times New Roman" w:hint="default"/>
                <w:sz w:val="18"/>
                <w:szCs w:val="18"/>
              </w:rPr>
            </w:pPr>
            <w:r>
              <w:rPr>
                <w:rFonts w:ascii="Times New Roman"/>
                <w:spacing w:val="-1"/>
                <w:sz w:val="18"/>
              </w:rPr>
              <w:t>102,446,959.62</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Times New Roman" w:hAnsi="Times New Roman" w:cs="Times New Roman" w:eastAsia="Times New Roman" w:hint="default"/>
                <w:sz w:val="18"/>
                <w:szCs w:val="18"/>
              </w:rPr>
            </w:pPr>
            <w:r>
              <w:rPr>
                <w:rFonts w:ascii="Times New Roman"/>
                <w:spacing w:val="-1"/>
                <w:sz w:val="18"/>
              </w:rPr>
              <w:t>82,559,229.83</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92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Times New Roman" w:hAnsi="Times New Roman" w:cs="Times New Roman" w:eastAsia="Times New Roman" w:hint="default"/>
                <w:sz w:val="18"/>
                <w:szCs w:val="18"/>
              </w:rPr>
            </w:pPr>
            <w:r>
              <w:rPr>
                <w:rFonts w:ascii="Times New Roman"/>
                <w:spacing w:val="-1"/>
                <w:sz w:val="18"/>
              </w:rPr>
              <w:t>37,964,896.30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Times New Roman" w:hAnsi="Times New Roman" w:cs="Times New Roman" w:eastAsia="Times New Roman" w:hint="default"/>
                <w:sz w:val="18"/>
                <w:szCs w:val="18"/>
              </w:rPr>
            </w:pPr>
            <w:r>
              <w:rPr>
                <w:rFonts w:ascii="Times New Roman"/>
                <w:spacing w:val="-1"/>
                <w:sz w:val="18"/>
              </w:rPr>
              <w:t>68,835,073.74</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1103"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Times New Roman" w:hAnsi="Times New Roman" w:cs="Times New Roman" w:eastAsia="Times New Roman" w:hint="default"/>
                <w:sz w:val="18"/>
                <w:szCs w:val="18"/>
              </w:rPr>
            </w:pPr>
            <w:r>
              <w:rPr>
                <w:rFonts w:ascii="Times New Roman"/>
                <w:spacing w:val="-1"/>
                <w:sz w:val="18"/>
              </w:rPr>
              <w:t>40,699,687.05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Times New Roman" w:hAnsi="Times New Roman" w:cs="Times New Roman" w:eastAsia="Times New Roman" w:hint="default"/>
                <w:sz w:val="18"/>
                <w:szCs w:val="18"/>
              </w:rPr>
            </w:pPr>
            <w:r>
              <w:rPr>
                <w:rFonts w:ascii="Times New Roman"/>
                <w:spacing w:val="-1"/>
                <w:sz w:val="18"/>
              </w:rPr>
              <w:t>57,200,271.31</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right="95"/>
              <w:jc w:val="center"/>
              <w:rPr>
                <w:rFonts w:ascii="宋体" w:hAnsi="宋体" w:cs="宋体" w:eastAsia="宋体" w:hint="default"/>
                <w:sz w:val="18"/>
                <w:szCs w:val="18"/>
              </w:rPr>
            </w:pPr>
            <w:r>
              <w:rPr>
                <w:rFonts w:ascii="宋体" w:hAnsi="宋体" w:cs="宋体" w:eastAsia="宋体" w:hint="default"/>
                <w:sz w:val="18"/>
                <w:szCs w:val="18"/>
              </w:rPr>
              <w:t>利息收入</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Times New Roman" w:hAnsi="Times New Roman" w:cs="Times New Roman" w:eastAsia="Times New Roman" w:hint="default"/>
                <w:sz w:val="18"/>
                <w:szCs w:val="18"/>
              </w:rPr>
            </w:pPr>
            <w:r>
              <w:rPr>
                <w:rFonts w:ascii="Times New Roman"/>
                <w:spacing w:val="-1"/>
                <w:sz w:val="18"/>
              </w:rPr>
              <w:t>3,733,396.44</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Times New Roman" w:hAnsi="Times New Roman" w:cs="Times New Roman" w:eastAsia="Times New Roman" w:hint="default"/>
                <w:sz w:val="18"/>
                <w:szCs w:val="18"/>
              </w:rPr>
            </w:pPr>
            <w:r>
              <w:rPr>
                <w:rFonts w:ascii="Times New Roman"/>
                <w:spacing w:val="-1"/>
                <w:sz w:val="18"/>
              </w:rPr>
              <w:t>4,554,561.87</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92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Times New Roman" w:hAnsi="Times New Roman" w:cs="Times New Roman" w:eastAsia="Times New Roman" w:hint="default"/>
                <w:sz w:val="18"/>
                <w:szCs w:val="18"/>
              </w:rPr>
            </w:pPr>
            <w:r>
              <w:rPr>
                <w:rFonts w:ascii="Times New Roman"/>
                <w:spacing w:val="-1"/>
                <w:sz w:val="18"/>
              </w:rPr>
              <w:t>76,855,392.35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Times New Roman" w:hAnsi="Times New Roman" w:cs="Times New Roman" w:eastAsia="Times New Roman" w:hint="default"/>
                <w:sz w:val="18"/>
                <w:szCs w:val="18"/>
              </w:rPr>
            </w:pPr>
            <w:r>
              <w:rPr>
                <w:rFonts w:ascii="Times New Roman"/>
                <w:spacing w:val="-1"/>
                <w:sz w:val="18"/>
              </w:rPr>
              <w:t>92,068,762.27</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382"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Times New Roman" w:hAnsi="Times New Roman" w:cs="Times New Roman" w:eastAsia="Times New Roman" w:hint="default"/>
                <w:sz w:val="18"/>
                <w:szCs w:val="18"/>
              </w:rPr>
            </w:pPr>
            <w:r>
              <w:rPr>
                <w:rFonts w:ascii="Times New Roman"/>
                <w:spacing w:val="-1"/>
                <w:sz w:val="18"/>
              </w:rPr>
              <w:t>22,577,312.07</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Times New Roman" w:hAnsi="Times New Roman" w:cs="Times New Roman" w:eastAsia="Times New Roman" w:hint="default"/>
                <w:sz w:val="18"/>
                <w:szCs w:val="18"/>
              </w:rPr>
            </w:pPr>
            <w:r>
              <w:rPr>
                <w:rFonts w:ascii="Times New Roman"/>
                <w:spacing w:val="-1"/>
                <w:sz w:val="18"/>
              </w:rPr>
              <w:t>20,231,587.03</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74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Times New Roman" w:hAnsi="Times New Roman" w:cs="Times New Roman" w:eastAsia="Times New Roman" w:hint="default"/>
                <w:sz w:val="18"/>
                <w:szCs w:val="18"/>
              </w:rPr>
            </w:pPr>
            <w:r>
              <w:rPr>
                <w:rFonts w:ascii="Times New Roman"/>
                <w:spacing w:val="-1"/>
                <w:sz w:val="18"/>
              </w:rPr>
              <w:t>7,060,956.20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Times New Roman" w:hAnsi="Times New Roman" w:cs="Times New Roman" w:eastAsia="Times New Roman" w:hint="default"/>
                <w:sz w:val="18"/>
                <w:szCs w:val="18"/>
              </w:rPr>
            </w:pPr>
            <w:r>
              <w:rPr>
                <w:rFonts w:ascii="Times New Roman"/>
                <w:spacing w:val="-1"/>
                <w:sz w:val="18"/>
              </w:rPr>
              <w:t>55,243,912.84</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743"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Times New Roman" w:hAnsi="Times New Roman" w:cs="Times New Roman" w:eastAsia="Times New Roman" w:hint="default"/>
                <w:sz w:val="18"/>
                <w:szCs w:val="18"/>
              </w:rPr>
            </w:pPr>
            <w:r>
              <w:rPr>
                <w:rFonts w:ascii="Times New Roman"/>
                <w:spacing w:val="-1"/>
                <w:sz w:val="18"/>
              </w:rPr>
              <w:t>-3,594,569.41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Times New Roman" w:hAnsi="Times New Roman" w:cs="Times New Roman" w:eastAsia="Times New Roman" w:hint="default"/>
                <w:sz w:val="18"/>
                <w:szCs w:val="18"/>
              </w:rPr>
            </w:pPr>
            <w:r>
              <w:rPr>
                <w:rFonts w:ascii="Times New Roman"/>
                <w:spacing w:val="-1"/>
                <w:sz w:val="18"/>
              </w:rPr>
              <w:t>-11,164,660.01</w:t>
            </w:r>
          </w:p>
        </w:tc>
      </w:tr>
      <w:tr>
        <w:trPr>
          <w:trHeight w:val="401"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743" w:right="0"/>
              <w:jc w:val="left"/>
              <w:rPr>
                <w:rFonts w:ascii="宋体" w:hAnsi="宋体" w:cs="宋体" w:eastAsia="宋体" w:hint="default"/>
                <w:sz w:val="18"/>
                <w:szCs w:val="18"/>
              </w:rPr>
            </w:pPr>
            <w:r>
              <w:rPr>
                <w:rFonts w:ascii="宋体" w:hAnsi="宋体" w:cs="宋体" w:eastAsia="宋体" w:hint="default"/>
                <w:sz w:val="18"/>
                <w:szCs w:val="18"/>
              </w:rPr>
              <w:t>公允价值变动收益（损失以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834" w:type="dxa"/>
            <w:tcBorders>
              <w:top w:val="single" w:sz="4" w:space="0" w:color="000000"/>
              <w:left w:val="single" w:sz="4" w:space="0" w:color="000000"/>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743"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834" w:type="dxa"/>
            <w:tcBorders>
              <w:top w:val="single" w:sz="4" w:space="0" w:color="000000"/>
              <w:left w:val="single" w:sz="4" w:space="0" w:color="000000"/>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743"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z w:val="18"/>
              </w:rPr>
              <w:t>51,457.56</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6,125,520.23</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66,598,457.59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106,481,879.23</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38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3,361,387.80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13,323,713.08</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38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1,417,621.08</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z w:val="18"/>
              </w:rPr>
              <w:t>633,992.99</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22" w:right="0"/>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68,542,224.31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119,171,599.32</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38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-10,300,839.68</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22,113,707.72</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78,843,063.99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97,057,891.60</w:t>
            </w:r>
          </w:p>
        </w:tc>
      </w:tr>
      <w:tr>
        <w:trPr>
          <w:trHeight w:val="402" w:hRule="exact"/>
        </w:trPr>
        <w:tc>
          <w:tcPr>
            <w:tcW w:w="4112" w:type="dxa"/>
            <w:tcBorders>
              <w:top w:val="single" w:sz="4" w:space="0" w:color="000000"/>
              <w:left w:val="single" w:sz="4" w:space="0" w:color="000000"/>
              <w:bottom w:val="single" w:sz="4" w:space="0" w:color="000000"/>
              <w:right w:val="single" w:sz="9" w:space="0" w:color="FFFFFF"/>
            </w:tcBorders>
            <w:shd w:val="clear" w:color="auto" w:fill="D2D2D2"/>
          </w:tcPr>
          <w:p>
            <w:pPr>
              <w:pStyle w:val="TableParagraph"/>
              <w:spacing w:line="240" w:lineRule="auto" w:before="46"/>
              <w:ind w:right="-49"/>
              <w:jc w:val="right"/>
              <w:rPr>
                <w:rFonts w:ascii="宋体" w:hAnsi="宋体" w:cs="宋体" w:eastAsia="宋体" w:hint="default"/>
                <w:sz w:val="18"/>
                <w:szCs w:val="18"/>
              </w:rPr>
            </w:pPr>
            <w:r>
              <w:rPr>
                <w:rFonts w:ascii="宋体" w:hAnsi="宋体" w:cs="宋体" w:eastAsia="宋体" w:hint="default"/>
                <w:sz w:val="18"/>
                <w:szCs w:val="18"/>
              </w:rPr>
              <w:t>（一）持续经营净利润（净亏损以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834" w:type="dxa"/>
            <w:tcBorders>
              <w:top w:val="single" w:sz="4" w:space="0" w:color="000000"/>
              <w:left w:val="single" w:sz="9" w:space="0" w:color="FFFFFF"/>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78,843,063.99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97,057,891.60</w:t>
            </w:r>
          </w:p>
        </w:tc>
      </w:tr>
      <w:tr>
        <w:trPr>
          <w:trHeight w:val="402" w:hRule="exact"/>
        </w:trPr>
        <w:tc>
          <w:tcPr>
            <w:tcW w:w="4112" w:type="dxa"/>
            <w:tcBorders>
              <w:top w:val="single" w:sz="4" w:space="0" w:color="000000"/>
              <w:left w:val="single" w:sz="4" w:space="0" w:color="000000"/>
              <w:bottom w:val="single" w:sz="4" w:space="0" w:color="000000"/>
              <w:right w:val="single" w:sz="9" w:space="0" w:color="FFFFFF"/>
            </w:tcBorders>
            <w:shd w:val="clear" w:color="auto" w:fill="D2D2D2"/>
          </w:tcPr>
          <w:p>
            <w:pPr>
              <w:pStyle w:val="TableParagraph"/>
              <w:spacing w:line="240" w:lineRule="auto" w:before="46"/>
              <w:ind w:right="-49"/>
              <w:jc w:val="right"/>
              <w:rPr>
                <w:rFonts w:ascii="宋体" w:hAnsi="宋体" w:cs="宋体" w:eastAsia="宋体" w:hint="default"/>
                <w:sz w:val="18"/>
                <w:szCs w:val="18"/>
              </w:rPr>
            </w:pPr>
            <w:r>
              <w:rPr>
                <w:rFonts w:ascii="宋体" w:hAnsi="宋体" w:cs="宋体" w:eastAsia="宋体" w:hint="default"/>
                <w:sz w:val="18"/>
                <w:szCs w:val="18"/>
              </w:rPr>
              <w:t>（二）终止经营净利润（净亏损以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834" w:type="dxa"/>
            <w:tcBorders>
              <w:top w:val="single" w:sz="4" w:space="0" w:color="000000"/>
              <w:left w:val="single" w:sz="9" w:space="0" w:color="FFFFFF"/>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382"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80,247,586.32</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119,550,096.20</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382"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-1,404,522.33</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-22,492,204.60</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5,913,773.51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-3,404,992.35</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02" w:right="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归属母公司所有者的其他综合收益的税后净额</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6,206,609.91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-4,324,981.89</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382" w:right="0"/>
              <w:jc w:val="left"/>
              <w:rPr>
                <w:rFonts w:ascii="宋体" w:hAnsi="宋体" w:cs="宋体" w:eastAsia="宋体" w:hint="default"/>
                <w:sz w:val="18"/>
                <w:szCs w:val="18"/>
              </w:rPr>
            </w:pPr>
            <w:r>
              <w:rPr>
                <w:rFonts w:ascii="宋体" w:hAnsi="宋体" w:cs="宋体" w:eastAsia="宋体" w:hint="default"/>
                <w:sz w:val="18"/>
                <w:szCs w:val="18"/>
              </w:rPr>
              <w:t>（一）不能重分类进损益的其他综合收益</w:t>
            </w:r>
          </w:p>
        </w:tc>
        <w:tc>
          <w:tcPr>
            <w:tcW w:w="2834" w:type="dxa"/>
            <w:tcBorders>
              <w:top w:val="single" w:sz="4" w:space="0" w:color="000000"/>
              <w:left w:val="single" w:sz="4" w:space="0" w:color="000000"/>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重新计量设定受益计划变动额</w:t>
            </w:r>
          </w:p>
        </w:tc>
        <w:tc>
          <w:tcPr>
            <w:tcW w:w="2834" w:type="dxa"/>
            <w:tcBorders>
              <w:top w:val="single" w:sz="4" w:space="0" w:color="000000"/>
              <w:left w:val="single" w:sz="4" w:space="0" w:color="000000"/>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权益法下不能转损益的其他综合收益</w:t>
            </w:r>
          </w:p>
        </w:tc>
        <w:tc>
          <w:tcPr>
            <w:tcW w:w="2834" w:type="dxa"/>
            <w:tcBorders>
              <w:top w:val="single" w:sz="4" w:space="0" w:color="000000"/>
              <w:left w:val="single" w:sz="4" w:space="0" w:color="000000"/>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382" w:right="0"/>
              <w:jc w:val="left"/>
              <w:rPr>
                <w:rFonts w:ascii="宋体" w:hAnsi="宋体" w:cs="宋体" w:eastAsia="宋体" w:hint="default"/>
                <w:sz w:val="18"/>
                <w:szCs w:val="18"/>
              </w:rPr>
            </w:pPr>
            <w:r>
              <w:rPr>
                <w:rFonts w:ascii="宋体" w:hAnsi="宋体" w:cs="宋体" w:eastAsia="宋体" w:hint="default"/>
                <w:sz w:val="18"/>
                <w:szCs w:val="18"/>
              </w:rPr>
              <w:t>（二）将重分类进损益的其他综合收益</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6,206,609.91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-4,324,981.89</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权益法下可转损益的其他综合收益</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z w:val="18"/>
              </w:rPr>
              <w:t>66,195.61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-9,219,659.73</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可供出售金融资产公允价值变动损益</w:t>
            </w:r>
          </w:p>
        </w:tc>
        <w:tc>
          <w:tcPr>
            <w:tcW w:w="2834" w:type="dxa"/>
            <w:tcBorders>
              <w:top w:val="single" w:sz="4" w:space="0" w:color="000000"/>
              <w:left w:val="single" w:sz="4" w:space="0" w:color="000000"/>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持有至到期投资重分类为可供出售金</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融资产损益</w:t>
            </w:r>
          </w:p>
        </w:tc>
        <w:tc>
          <w:tcPr>
            <w:tcW w:w="2834" w:type="dxa"/>
            <w:tcBorders>
              <w:top w:val="single" w:sz="4" w:space="0" w:color="000000"/>
              <w:left w:val="single" w:sz="4" w:space="0" w:color="000000"/>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440" w:bottom="1160" w:left="1020" w:right="0"/>
        </w:sectPr>
      </w:pPr>
    </w:p>
    <w:p>
      <w:pPr>
        <w:spacing w:line="240" w:lineRule="auto" w:before="6"/>
        <w:rPr>
          <w:rFonts w:ascii="宋体" w:hAnsi="宋体" w:cs="宋体" w:eastAsia="宋体" w:hint="default"/>
          <w:sz w:val="2"/>
          <w:szCs w:val="2"/>
        </w:rPr>
      </w:pPr>
    </w:p>
    <w:tbl>
      <w:tblPr>
        <w:tblW w:w="0" w:type="auto"/>
        <w:jc w:val="left"/>
        <w:tblInd w:w="120" w:type="dxa"/>
        <w:tblLayout w:type="fixed"/>
        <w:tblCellMar>
          <w:top w:w="0" w:type="dxa"/>
          <w:left w:w="0" w:type="dxa"/>
          <w:bottom w:w="0" w:type="dxa"/>
          <w:right w:w="0" w:type="dxa"/>
        </w:tblCellMar>
        <w:tblLook w:val="01E0"/>
      </w:tblPr>
      <w:tblGrid>
        <w:gridCol w:w="4089"/>
        <w:gridCol w:w="2846"/>
        <w:gridCol w:w="2622"/>
      </w:tblGrid>
      <w:tr>
        <w:trPr>
          <w:trHeight w:val="415" w:hRule="exact"/>
        </w:trPr>
        <w:tc>
          <w:tcPr>
            <w:tcW w:w="408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现金流量套期损益的有效部分</w:t>
            </w:r>
          </w:p>
        </w:tc>
        <w:tc>
          <w:tcPr>
            <w:tcW w:w="2846" w:type="dxa"/>
            <w:tcBorders>
              <w:top w:val="single" w:sz="10" w:space="0" w:color="000000"/>
              <w:left w:val="single" w:sz="10" w:space="0" w:color="D2D2D2"/>
              <w:bottom w:val="single" w:sz="4" w:space="0" w:color="000000"/>
              <w:right w:val="single" w:sz="4" w:space="0" w:color="000000"/>
            </w:tcBorders>
          </w:tcPr>
          <w:p>
            <w:pPr/>
          </w:p>
        </w:tc>
        <w:tc>
          <w:tcPr>
            <w:tcW w:w="2622" w:type="dxa"/>
            <w:tcBorders>
              <w:top w:val="single" w:sz="10"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6,140,414.30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4,894,677.84</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1" w:right="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归属于少数股东的其他综合收益的税后净额</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-292,836.40</w:t>
            </w:r>
            <w:r>
              <w:rPr>
                <w:rFonts w:ascii="Times New Roman"/>
                <w:sz w:val="18"/>
              </w:rPr>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919,989.54</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84,756,837.50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93,652,899.25</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归属于母公司所有者的综合收益总额</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86,454,196.23</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115,225,114.31</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-1,697,358.73</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-21,572,215.06</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0.0409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0.0610</w:t>
            </w:r>
          </w:p>
        </w:tc>
      </w:tr>
      <w:tr>
        <w:trPr>
          <w:trHeight w:val="403"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0.0409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0.0610</w:t>
            </w:r>
          </w:p>
        </w:tc>
      </w:tr>
    </w:tbl>
    <w:p>
      <w:pPr>
        <w:pStyle w:val="BodyText"/>
        <w:tabs>
          <w:tab w:pos="3444" w:val="left" w:leader="none"/>
          <w:tab w:pos="7495" w:val="left" w:leader="none"/>
        </w:tabs>
        <w:spacing w:line="592" w:lineRule="auto" w:before="51"/>
        <w:ind w:left="114" w:right="1229"/>
        <w:jc w:val="both"/>
        <w:rPr>
          <w:rFonts w:ascii="宋体" w:hAnsi="宋体" w:cs="宋体" w:eastAsia="宋体" w:hint="default"/>
          <w:sz w:val="21"/>
          <w:szCs w:val="21"/>
        </w:rPr>
      </w:pPr>
      <w:r>
        <w:rPr/>
        <w:t>本期发生同一控制下企业合并的，被合并方在合并前实现的净利润为：</w:t>
      </w:r>
      <w:r>
        <w:rPr>
          <w:rFonts w:ascii="Times New Roman" w:hAnsi="Times New Roman" w:cs="Times New Roman" w:eastAsia="Times New Roman" w:hint="default"/>
        </w:rPr>
        <w:t>0.00 </w:t>
      </w:r>
      <w:r>
        <w:rPr/>
        <w:t>元，上期被合并方实现的净利润为：</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 法定代表人：王宁先生</w:t>
        <w:tab/>
        <w:t>主管会计工作负责人：林红女士</w:t>
        <w:tab/>
        <w:t>会计机构负责人：王辉先生 </w:t>
      </w:r>
      <w:bookmarkStart w:name="4、母公司利润表" w:id="168"/>
      <w:bookmarkEnd w:id="168"/>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、母公司利润表</w:t>
      </w:r>
      <w:r>
        <w:rPr>
          <w:rFonts w:ascii="宋体" w:hAnsi="宋体" w:cs="宋体" w:eastAsia="宋体" w:hint="default"/>
          <w:sz w:val="21"/>
          <w:szCs w:val="21"/>
        </w:rPr>
      </w:r>
    </w:p>
    <w:p>
      <w:pPr>
        <w:pStyle w:val="BodyText"/>
        <w:spacing w:line="240" w:lineRule="auto" w:before="7"/>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4089"/>
        <w:gridCol w:w="2846"/>
        <w:gridCol w:w="2622"/>
      </w:tblGrid>
      <w:tr>
        <w:trPr>
          <w:trHeight w:val="403"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57"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748,459,743.72</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719,973,484.31</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248,314,710.55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223,543,384.65</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12,872,698.54</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6,995,160.36</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51,886,926.87</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59,137,472.71</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362,835,097.43</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308,748,127.64</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36,946,190.46</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17,848,744.17</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25,150,212.83</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40,872,858.08</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11"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26,332,007.43</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40,992,468.55</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453"/>
              <w:jc w:val="center"/>
              <w:rPr>
                <w:rFonts w:ascii="宋体" w:hAnsi="宋体" w:cs="宋体" w:eastAsia="宋体" w:hint="default"/>
                <w:sz w:val="18"/>
                <w:szCs w:val="18"/>
              </w:rPr>
            </w:pPr>
            <w:r>
              <w:rPr>
                <w:rFonts w:ascii="宋体" w:hAnsi="宋体" w:cs="宋体" w:eastAsia="宋体" w:hint="default"/>
                <w:sz w:val="18"/>
                <w:szCs w:val="18"/>
              </w:rPr>
              <w:t>利息收入</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2,067,513.87</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1,635,083.51</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95,195,379.84</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52,347,807.96</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10,419,874.42</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10,116,430.69</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6,701,821.05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41,868,364.13</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05"/>
              <w:jc w:val="righ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-2,188,977.84</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-10,300,197.45</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25"/>
              <w:jc w:val="right"/>
              <w:rPr>
                <w:rFonts w:ascii="宋体" w:hAnsi="宋体" w:cs="宋体" w:eastAsia="宋体" w:hint="default"/>
                <w:sz w:val="18"/>
                <w:szCs w:val="18"/>
              </w:rPr>
            </w:pPr>
            <w:r>
              <w:rPr>
                <w:rFonts w:ascii="宋体" w:hAnsi="宋体" w:cs="宋体" w:eastAsia="宋体" w:hint="default"/>
                <w:spacing w:val="-1"/>
                <w:sz w:val="18"/>
                <w:szCs w:val="18"/>
              </w:rPr>
              <w:t>公允价值变动收益（损失以</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号填列）</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4,203.58</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76,525.40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-67,615,573.75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62,541,248.96</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59,091.40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10,596,951.27</w:t>
            </w:r>
          </w:p>
        </w:tc>
      </w:tr>
      <w:tr>
        <w:trPr>
          <w:trHeight w:val="403"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923,355.85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78,849.17</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1020" w:right="0"/>
        </w:sectPr>
      </w:pPr>
    </w:p>
    <w:p>
      <w:pPr>
        <w:spacing w:line="240" w:lineRule="auto" w:before="6"/>
        <w:rPr>
          <w:rFonts w:ascii="宋体" w:hAnsi="宋体" w:cs="宋体" w:eastAsia="宋体" w:hint="default"/>
          <w:sz w:val="2"/>
          <w:szCs w:val="2"/>
        </w:rPr>
      </w:pPr>
    </w:p>
    <w:tbl>
      <w:tblPr>
        <w:tblW w:w="0" w:type="auto"/>
        <w:jc w:val="left"/>
        <w:tblInd w:w="120" w:type="dxa"/>
        <w:tblLayout w:type="fixed"/>
        <w:tblCellMar>
          <w:top w:w="0" w:type="dxa"/>
          <w:left w:w="0" w:type="dxa"/>
          <w:bottom w:w="0" w:type="dxa"/>
          <w:right w:w="0" w:type="dxa"/>
        </w:tblCellMar>
        <w:tblLook w:val="01E0"/>
      </w:tblPr>
      <w:tblGrid>
        <w:gridCol w:w="4089"/>
        <w:gridCol w:w="2846"/>
        <w:gridCol w:w="2622"/>
      </w:tblGrid>
      <w:tr>
        <w:trPr>
          <w:trHeight w:val="415" w:hRule="exact"/>
        </w:trPr>
        <w:tc>
          <w:tcPr>
            <w:tcW w:w="408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11" w:right="0"/>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846" w:type="dxa"/>
            <w:tcBorders>
              <w:top w:val="single" w:sz="10" w:space="0" w:color="000000"/>
              <w:left w:val="single" w:sz="10" w:space="0" w:color="D2D2D2"/>
              <w:bottom w:val="single" w:sz="4" w:space="0" w:color="000000"/>
              <w:right w:val="single" w:sz="4" w:space="0" w:color="000000"/>
            </w:tcBorders>
          </w:tcPr>
          <w:p>
            <w:pPr>
              <w:pStyle w:val="TableParagraph"/>
              <w:spacing w:line="240" w:lineRule="auto" w:before="97"/>
              <w:ind w:right="20"/>
              <w:jc w:val="right"/>
              <w:rPr>
                <w:rFonts w:ascii="Times New Roman" w:hAnsi="Times New Roman" w:cs="Times New Roman" w:eastAsia="Times New Roman" w:hint="default"/>
                <w:sz w:val="18"/>
                <w:szCs w:val="18"/>
              </w:rPr>
            </w:pPr>
            <w:r>
              <w:rPr>
                <w:rFonts w:ascii="Times New Roman"/>
                <w:spacing w:val="-1"/>
                <w:sz w:val="18"/>
              </w:rPr>
              <w:t>-68,479,838.20</w:t>
            </w:r>
          </w:p>
        </w:tc>
        <w:tc>
          <w:tcPr>
            <w:tcW w:w="262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0"/>
              <w:jc w:val="right"/>
              <w:rPr>
                <w:rFonts w:ascii="Times New Roman" w:hAnsi="Times New Roman" w:cs="Times New Roman" w:eastAsia="Times New Roman" w:hint="default"/>
                <w:sz w:val="18"/>
                <w:szCs w:val="18"/>
              </w:rPr>
            </w:pPr>
            <w:r>
              <w:rPr>
                <w:rFonts w:ascii="Times New Roman"/>
                <w:spacing w:val="-1"/>
                <w:sz w:val="18"/>
              </w:rPr>
              <w:t>73,059,351.06</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-19,646,508.09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18,537,359.15</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-48,833,330.11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54,521,991.91</w:t>
            </w:r>
          </w:p>
        </w:tc>
      </w:tr>
      <w:tr>
        <w:trPr>
          <w:trHeight w:val="402" w:hRule="exact"/>
        </w:trPr>
        <w:tc>
          <w:tcPr>
            <w:tcW w:w="4089" w:type="dxa"/>
            <w:tcBorders>
              <w:top w:val="single" w:sz="4" w:space="0" w:color="000000"/>
              <w:left w:val="single" w:sz="4" w:space="0" w:color="000000"/>
              <w:bottom w:val="single" w:sz="4" w:space="0" w:color="000000"/>
              <w:right w:val="single" w:sz="9" w:space="0" w:color="FFFFFF"/>
            </w:tcBorders>
            <w:shd w:val="clear" w:color="auto" w:fill="D2D2D2"/>
          </w:tcPr>
          <w:p>
            <w:pPr>
              <w:pStyle w:val="TableParagraph"/>
              <w:spacing w:line="240" w:lineRule="auto" w:before="52"/>
              <w:ind w:right="117"/>
              <w:jc w:val="right"/>
              <w:rPr>
                <w:rFonts w:ascii="宋体" w:hAnsi="宋体" w:cs="宋体" w:eastAsia="宋体" w:hint="default"/>
                <w:sz w:val="18"/>
                <w:szCs w:val="18"/>
              </w:rPr>
            </w:pPr>
            <w:r>
              <w:rPr>
                <w:rFonts w:ascii="宋体" w:hAnsi="宋体" w:cs="宋体" w:eastAsia="宋体" w:hint="default"/>
                <w:sz w:val="18"/>
                <w:szCs w:val="18"/>
              </w:rPr>
              <w:t>（一）持续经营净利润（净亏损以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846" w:type="dxa"/>
            <w:tcBorders>
              <w:top w:val="single" w:sz="4" w:space="0" w:color="000000"/>
              <w:left w:val="single" w:sz="9" w:space="0" w:color="FFFFFF"/>
              <w:bottom w:val="single" w:sz="4" w:space="0" w:color="000000"/>
              <w:right w:val="single" w:sz="4" w:space="0" w:color="000000"/>
            </w:tcBorders>
          </w:tcPr>
          <w:p>
            <w:pPr>
              <w:pStyle w:val="TableParagraph"/>
              <w:tabs>
                <w:tab w:pos="1718" w:val="left" w:leader="none"/>
              </w:tabs>
              <w:spacing w:line="240" w:lineRule="auto" w:before="52"/>
              <w:ind w:left="-14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z w:val="18"/>
                <w:szCs w:val="18"/>
              </w:rPr>
              <w:t>-48,833,330.11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54,521,991.91</w:t>
            </w:r>
          </w:p>
        </w:tc>
      </w:tr>
      <w:tr>
        <w:trPr>
          <w:trHeight w:val="402" w:hRule="exact"/>
        </w:trPr>
        <w:tc>
          <w:tcPr>
            <w:tcW w:w="4089" w:type="dxa"/>
            <w:tcBorders>
              <w:top w:val="single" w:sz="4" w:space="0" w:color="000000"/>
              <w:left w:val="single" w:sz="4" w:space="0" w:color="000000"/>
              <w:bottom w:val="single" w:sz="4" w:space="0" w:color="000000"/>
              <w:right w:val="single" w:sz="9" w:space="0" w:color="FFFFFF"/>
            </w:tcBorders>
            <w:shd w:val="clear" w:color="auto" w:fill="D2D2D2"/>
          </w:tcPr>
          <w:p>
            <w:pPr>
              <w:pStyle w:val="TableParagraph"/>
              <w:spacing w:line="240" w:lineRule="auto" w:before="52"/>
              <w:ind w:right="117"/>
              <w:jc w:val="right"/>
              <w:rPr>
                <w:rFonts w:ascii="宋体" w:hAnsi="宋体" w:cs="宋体" w:eastAsia="宋体" w:hint="default"/>
                <w:sz w:val="18"/>
                <w:szCs w:val="18"/>
              </w:rPr>
            </w:pPr>
            <w:r>
              <w:rPr>
                <w:rFonts w:ascii="宋体" w:hAnsi="宋体" w:cs="宋体" w:eastAsia="宋体" w:hint="default"/>
                <w:sz w:val="18"/>
                <w:szCs w:val="18"/>
              </w:rPr>
              <w:t>（二）终止经营净利润（净亏损以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846" w:type="dxa"/>
            <w:tcBorders>
              <w:top w:val="single" w:sz="4" w:space="0" w:color="000000"/>
              <w:left w:val="single" w:sz="9" w:space="0" w:color="FFFFFF"/>
              <w:bottom w:val="single" w:sz="4" w:space="0" w:color="000000"/>
              <w:right w:val="single" w:sz="4" w:space="0" w:color="000000"/>
            </w:tcBorders>
          </w:tcPr>
          <w:p>
            <w:pPr>
              <w:pStyle w:val="TableParagraph"/>
              <w:spacing w:line="240" w:lineRule="auto" w:before="52"/>
              <w:ind w:left="-143" w:right="0"/>
              <w:jc w:val="left"/>
              <w:rPr>
                <w:rFonts w:ascii="宋体" w:hAnsi="宋体" w:cs="宋体" w:eastAsia="宋体" w:hint="default"/>
                <w:sz w:val="18"/>
                <w:szCs w:val="18"/>
              </w:rPr>
            </w:pPr>
            <w:r>
              <w:rPr>
                <w:rFonts w:ascii="宋体" w:hAnsi="宋体" w:cs="宋体" w:eastAsia="宋体" w:hint="default"/>
                <w:sz w:val="18"/>
                <w:szCs w:val="18"/>
              </w:rPr>
              <w:t>）</w:t>
            </w: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165,683.12</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-8,963,327.76</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（一）不能重分类进损益的其他综合收益</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重新计量设定受益计划变动额</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50"/>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权益法下不能转损益的其他综合收益</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（二）将重分类进损益的其他综合收益</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165,683.12</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-8,963,327.76</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权益法下可转损益的其他综合收益</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165,683.12</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-8,963,327.76</w:t>
            </w:r>
          </w:p>
        </w:tc>
      </w:tr>
      <w:tr>
        <w:trPr>
          <w:trHeight w:val="401"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50"/>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可供出售金融资产公允价值变动损益</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持有至到期投资重分类为可供出售金</w:t>
            </w:r>
          </w:p>
          <w:p>
            <w:pPr>
              <w:pStyle w:val="TableParagraph"/>
              <w:spacing w:line="240" w:lineRule="auto" w:before="64"/>
              <w:ind w:left="11" w:right="0"/>
              <w:jc w:val="left"/>
              <w:rPr>
                <w:rFonts w:ascii="宋体" w:hAnsi="宋体" w:cs="宋体" w:eastAsia="宋体" w:hint="default"/>
                <w:sz w:val="18"/>
                <w:szCs w:val="18"/>
              </w:rPr>
            </w:pPr>
            <w:r>
              <w:rPr>
                <w:rFonts w:ascii="宋体" w:hAnsi="宋体" w:cs="宋体" w:eastAsia="宋体" w:hint="default"/>
                <w:sz w:val="18"/>
                <w:szCs w:val="18"/>
              </w:rPr>
              <w:t>融资产损益</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现金流量套期损益的有效部分</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-48,667,646.99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45,558,664.15</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5、合并现金流量表" w:id="169"/>
      <w:bookmarkEnd w:id="169"/>
      <w:r>
        <w:rPr>
          <w:b w:val="0"/>
          <w:bCs w:val="0"/>
        </w:rPr>
      </w:r>
      <w:r>
        <w:rPr>
          <w:rFonts w:ascii="Times New Roman" w:hAnsi="Times New Roman" w:cs="Times New Roman" w:eastAsia="Times New Roman" w:hint="default"/>
        </w:rPr>
        <w:t>5</w:t>
      </w:r>
      <w:r>
        <w:rPr/>
        <w:t>、合并现金流量表</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4089"/>
        <w:gridCol w:w="2846"/>
        <w:gridCol w:w="2622"/>
      </w:tblGrid>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57"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546" w:right="0"/>
              <w:jc w:val="left"/>
              <w:rPr>
                <w:rFonts w:ascii="Times New Roman" w:hAnsi="Times New Roman" w:cs="Times New Roman" w:eastAsia="Times New Roman" w:hint="default"/>
                <w:sz w:val="18"/>
                <w:szCs w:val="18"/>
              </w:rPr>
            </w:pPr>
            <w:r>
              <w:rPr>
                <w:rFonts w:ascii="Times New Roman"/>
                <w:sz w:val="18"/>
              </w:rPr>
              <w:t>2,036,921,002.88</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30" w:right="0"/>
              <w:jc w:val="left"/>
              <w:rPr>
                <w:rFonts w:ascii="Times New Roman" w:hAnsi="Times New Roman" w:cs="Times New Roman" w:eastAsia="Times New Roman" w:hint="default"/>
                <w:sz w:val="18"/>
                <w:szCs w:val="18"/>
              </w:rPr>
            </w:pPr>
            <w:r>
              <w:rPr>
                <w:rFonts w:ascii="Times New Roman"/>
                <w:sz w:val="18"/>
              </w:rPr>
              <w:t>2,970,319,559.72</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客户存款和同业存放款项净增加额</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向其他金融机构拆入资金净增加额</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371" w:right="0"/>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处置以公允价值计量且其变动计入当期损益的</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400" w:bottom="1160" w:left="1020" w:right="0"/>
        </w:sectPr>
      </w:pPr>
    </w:p>
    <w:p>
      <w:pPr>
        <w:spacing w:line="240" w:lineRule="auto" w:before="5"/>
        <w:rPr>
          <w:rFonts w:ascii="Times New Roman" w:hAnsi="Times New Roman" w:cs="Times New Roman" w:eastAsia="Times New Roman" w:hint="default"/>
          <w:sz w:val="17"/>
          <w:szCs w:val="17"/>
        </w:rPr>
      </w:pPr>
      <w:r>
        <w:rPr/>
        <w:pict>
          <v:shape style="position:absolute;margin-left:57.029999pt;margin-top:72.179985pt;width:478.6pt;height:694.05pt;mso-position-horizontal-relative:page;mso-position-vertical-relative:page;z-index:28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089"/>
                    <w:gridCol w:w="2846"/>
                    <w:gridCol w:w="2622"/>
                  </w:tblGrid>
                  <w:tr>
                    <w:trPr>
                      <w:trHeight w:val="374" w:hRule="exact"/>
                    </w:trPr>
                    <w:tc>
                      <w:tcPr>
                        <w:tcW w:w="408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11" w:right="0"/>
                          <w:jc w:val="left"/>
                          <w:rPr>
                            <w:rFonts w:ascii="宋体" w:hAnsi="宋体" w:cs="宋体" w:eastAsia="宋体" w:hint="default"/>
                            <w:sz w:val="18"/>
                            <w:szCs w:val="18"/>
                          </w:rPr>
                        </w:pPr>
                        <w:r>
                          <w:rPr>
                            <w:rFonts w:ascii="宋体" w:hAnsi="宋体" w:cs="宋体" w:eastAsia="宋体" w:hint="default"/>
                            <w:sz w:val="18"/>
                            <w:szCs w:val="18"/>
                          </w:rPr>
                          <w:t>金融资产净增加额</w:t>
                        </w:r>
                      </w:p>
                    </w:tc>
                    <w:tc>
                      <w:tcPr>
                        <w:tcW w:w="2846" w:type="dxa"/>
                        <w:tcBorders>
                          <w:top w:val="single" w:sz="10" w:space="0" w:color="000000"/>
                          <w:left w:val="single" w:sz="10" w:space="0" w:color="D2D2D2"/>
                          <w:bottom w:val="single" w:sz="4" w:space="0" w:color="000000"/>
                          <w:right w:val="single" w:sz="4" w:space="0" w:color="000000"/>
                        </w:tcBorders>
                      </w:tcPr>
                      <w:p>
                        <w:pPr/>
                      </w:p>
                    </w:tc>
                    <w:tc>
                      <w:tcPr>
                        <w:tcW w:w="2622" w:type="dxa"/>
                        <w:tcBorders>
                          <w:top w:val="single" w:sz="10"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14,831,594.65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14,656,317.24</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124,596,116.29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88,379,423.29</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2,176,348,713.82</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3,073,355,300.25</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474,140,498.89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1,190,395,512.64</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存放中央银行和同业款项净增加额</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693,377,780.51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654,415,550.21</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134,953,305.48</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92,098,901.41</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601,728,927.97</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595,780,533.69</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1,904,200,512.85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2,532,690,497.95</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272,148,200.97</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540,664,802.30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636,097,269.60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857,460,303.16</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19,978,586.10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27,901,909.00</w:t>
                        </w:r>
                      </w:p>
                    </w:tc>
                  </w:tr>
                  <w:tr>
                    <w:trPr>
                      <w:trHeight w:val="714"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0" w:firstLine="360"/>
                          <w:jc w:val="left"/>
                          <w:rPr>
                            <w:rFonts w:ascii="宋体" w:hAnsi="宋体" w:cs="宋体" w:eastAsia="宋体" w:hint="default"/>
                            <w:sz w:val="18"/>
                            <w:szCs w:val="18"/>
                          </w:rPr>
                        </w:pPr>
                        <w:r>
                          <w:rPr>
                            <w:rFonts w:ascii="宋体" w:hAnsi="宋体" w:cs="宋体" w:eastAsia="宋体" w:hint="default"/>
                            <w:spacing w:val="-5"/>
                            <w:sz w:val="18"/>
                            <w:szCs w:val="18"/>
                          </w:rPr>
                          <w:t>处置固定资产、无形资产和其他长期资产收回的</w:t>
                        </w:r>
                        <w:r>
                          <w:rPr>
                            <w:rFonts w:ascii="宋体" w:hAnsi="宋体" w:cs="宋体" w:eastAsia="宋体" w:hint="default"/>
                            <w:sz w:val="18"/>
                            <w:szCs w:val="18"/>
                          </w:rPr>
                          <w:t> 现金净额</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195,208.45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2"/>
                            <w:sz w:val="18"/>
                          </w:rPr>
                          <w:t>11,439,114.46</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85"/>
                          <w:jc w:val="righ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5,275,796.85</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656,271,064.15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902,077,123.47</w:t>
                        </w:r>
                      </w:p>
                    </w:tc>
                  </w:tr>
                  <w:tr>
                    <w:trPr>
                      <w:trHeight w:val="714"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0" w:firstLine="360"/>
                          <w:jc w:val="left"/>
                          <w:rPr>
                            <w:rFonts w:ascii="宋体" w:hAnsi="宋体" w:cs="宋体" w:eastAsia="宋体" w:hint="default"/>
                            <w:sz w:val="18"/>
                            <w:szCs w:val="18"/>
                          </w:rPr>
                        </w:pPr>
                        <w:r>
                          <w:rPr>
                            <w:rFonts w:ascii="宋体" w:hAnsi="宋体" w:cs="宋体" w:eastAsia="宋体" w:hint="default"/>
                            <w:spacing w:val="-5"/>
                            <w:sz w:val="18"/>
                            <w:szCs w:val="18"/>
                          </w:rPr>
                          <w:t>购建固定资产、无形资产和其他长期资产支付的</w:t>
                        </w:r>
                        <w:r>
                          <w:rPr>
                            <w:rFonts w:ascii="宋体" w:hAnsi="宋体" w:cs="宋体" w:eastAsia="宋体" w:hint="default"/>
                            <w:sz w:val="18"/>
                            <w:szCs w:val="18"/>
                          </w:rPr>
                          <w:t> 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138,790,300.19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527,593,872.77</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607,704,240.00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654,262,000.00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85"/>
                          <w:jc w:val="righ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7,063,311.23</w:t>
                        </w: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753,557,851.42</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1,181,855,872.77</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-97,286,787.27</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-279,778,749.30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p>
              </w:txbxContent>
            </v:textbox>
            <w10:wrap type="none"/>
          </v:shape>
        </w:pict>
      </w:r>
    </w:p>
    <w:p>
      <w:pPr>
        <w:spacing w:after="0" w:line="240" w:lineRule="auto"/>
        <w:rPr>
          <w:rFonts w:ascii="Times New Roman" w:hAnsi="Times New Roman" w:cs="Times New Roman" w:eastAsia="Times New Roman" w:hint="default"/>
          <w:sz w:val="17"/>
          <w:szCs w:val="17"/>
        </w:rPr>
        <w:sectPr>
          <w:pgSz w:w="11910" w:h="16840"/>
          <w:pgMar w:header="851" w:footer="979" w:top="1460" w:bottom="1160" w:left="1020" w:right="0"/>
        </w:sectPr>
      </w:pPr>
    </w:p>
    <w:p>
      <w:pPr>
        <w:spacing w:line="240" w:lineRule="auto" w:before="9"/>
        <w:rPr>
          <w:rFonts w:ascii="Times New Roman" w:hAnsi="Times New Roman" w:cs="Times New Roman" w:eastAsia="Times New Roman"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4112"/>
        <w:gridCol w:w="2834"/>
        <w:gridCol w:w="2622"/>
      </w:tblGrid>
      <w:tr>
        <w:trPr>
          <w:trHeight w:val="415" w:hRule="exact"/>
        </w:trPr>
        <w:tc>
          <w:tcPr>
            <w:tcW w:w="411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38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283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0"/>
              <w:jc w:val="right"/>
              <w:rPr>
                <w:rFonts w:ascii="Times New Roman" w:hAnsi="Times New Roman" w:cs="Times New Roman" w:eastAsia="Times New Roman" w:hint="default"/>
                <w:sz w:val="18"/>
                <w:szCs w:val="18"/>
              </w:rPr>
            </w:pPr>
            <w:r>
              <w:rPr>
                <w:rFonts w:ascii="Times New Roman"/>
                <w:sz w:val="18"/>
              </w:rPr>
              <w:t>250,000.00</w:t>
            </w:r>
          </w:p>
        </w:tc>
        <w:tc>
          <w:tcPr>
            <w:tcW w:w="262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0"/>
              <w:jc w:val="right"/>
              <w:rPr>
                <w:rFonts w:ascii="Times New Roman" w:hAnsi="Times New Roman" w:cs="Times New Roman" w:eastAsia="Times New Roman" w:hint="default"/>
                <w:sz w:val="18"/>
                <w:szCs w:val="18"/>
              </w:rPr>
            </w:pPr>
            <w:r>
              <w:rPr>
                <w:rFonts w:ascii="Times New Roman"/>
                <w:spacing w:val="-1"/>
                <w:sz w:val="18"/>
              </w:rPr>
              <w:t>32,381,750.00</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297"/>
              <w:jc w:val="right"/>
              <w:rPr>
                <w:rFonts w:ascii="宋体" w:hAnsi="宋体" w:cs="宋体" w:eastAsia="宋体" w:hint="default"/>
                <w:sz w:val="18"/>
                <w:szCs w:val="18"/>
              </w:rPr>
            </w:pPr>
            <w:r>
              <w:rPr>
                <w:rFonts w:ascii="宋体" w:hAnsi="宋体" w:cs="宋体" w:eastAsia="宋体" w:hint="default"/>
                <w:sz w:val="18"/>
                <w:szCs w:val="18"/>
              </w:rPr>
              <w:t>其中：子公司吸收少数股东投资收到的现金</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250,000.00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32,381,750.00</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583,000,000.00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1,170,695,225.54</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2834" w:type="dxa"/>
            <w:tcBorders>
              <w:top w:val="single" w:sz="4" w:space="0" w:color="000000"/>
              <w:left w:val="single" w:sz="4" w:space="0" w:color="000000"/>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1,640,081.35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61,681,500.45</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584,890,081.35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1,264,758,475.99</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916,945,999.00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1,283,935,332.54</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73,264,810.96</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96,000,275.68</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297"/>
              <w:jc w:val="right"/>
              <w:rPr>
                <w:rFonts w:ascii="宋体" w:hAnsi="宋体" w:cs="宋体" w:eastAsia="宋体" w:hint="default"/>
                <w:sz w:val="18"/>
                <w:szCs w:val="18"/>
              </w:rPr>
            </w:pPr>
            <w:r>
              <w:rPr>
                <w:rFonts w:ascii="宋体" w:hAnsi="宋体" w:cs="宋体" w:eastAsia="宋体" w:hint="default"/>
                <w:sz w:val="18"/>
                <w:szCs w:val="18"/>
              </w:rPr>
              <w:t>其中：子公司支付给少数股东的股利、利润</w:t>
            </w:r>
          </w:p>
        </w:tc>
        <w:tc>
          <w:tcPr>
            <w:tcW w:w="2834" w:type="dxa"/>
            <w:tcBorders>
              <w:top w:val="single" w:sz="4" w:space="0" w:color="000000"/>
              <w:left w:val="single" w:sz="4" w:space="0" w:color="000000"/>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45,798,542.71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196,488,536.64</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1,036,009,352.67</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1,576,424,144.86</w:t>
            </w:r>
          </w:p>
        </w:tc>
      </w:tr>
      <w:tr>
        <w:trPr>
          <w:trHeight w:val="401"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-451,119,271.32</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-311,665,668.87</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四、汇率变动对现金及现金等价物的影响</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6,287,570.57</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-14,895,833.14</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-269,970,287.05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-65,675,449.01</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777,435,154.91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843,110,603.92</w:t>
            </w:r>
          </w:p>
        </w:tc>
      </w:tr>
      <w:tr>
        <w:trPr>
          <w:trHeight w:val="402"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28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507,464,867.86</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777,435,154.91</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5"/>
        <w:ind w:left="114" w:right="1276"/>
        <w:jc w:val="left"/>
        <w:rPr>
          <w:b w:val="0"/>
          <w:bCs w:val="0"/>
        </w:rPr>
      </w:pPr>
      <w:bookmarkStart w:name="6、母公司现金流量表" w:id="170"/>
      <w:bookmarkEnd w:id="170"/>
      <w:r>
        <w:rPr>
          <w:b w:val="0"/>
          <w:bCs w:val="0"/>
        </w:rPr>
      </w:r>
      <w:r>
        <w:rPr>
          <w:rFonts w:ascii="Times New Roman" w:hAnsi="Times New Roman" w:cs="Times New Roman" w:eastAsia="Times New Roman" w:hint="default"/>
        </w:rPr>
        <w:t>6</w:t>
      </w:r>
      <w:r>
        <w:rPr/>
        <w:t>、母公司现金流量表</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4089"/>
        <w:gridCol w:w="2846"/>
        <w:gridCol w:w="2622"/>
      </w:tblGrid>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57"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787,008,499.90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690,713,458.63</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7,172,399.36</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5,782,942.61</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1,246,240,956.71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1,460,998,072.68</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2,040,421,855.97</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2,157,494,473.92</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188,373,332.69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210,329,156.29</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336,257,680.38</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281,878,013.29</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72,237,436.96</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40,373,554.69</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1,173,327,497.20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1,138,503,977.20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1,770,195,947.23</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1,671,084,701.47</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270,225,908.74</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486,409,772.45</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587,452,658.67</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664,970,082.35</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19,978,586.10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27,901,909.00</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pStyle w:val="Heading3"/>
        <w:spacing w:line="240" w:lineRule="auto" w:before="35"/>
        <w:ind w:left="114" w:right="1276"/>
        <w:jc w:val="left"/>
        <w:rPr>
          <w:b w:val="0"/>
          <w:bCs w:val="0"/>
        </w:rPr>
      </w:pPr>
      <w:r>
        <w:rPr/>
        <w:pict>
          <v:shape style="position:absolute;margin-left:57.029999pt;margin-top:-547.746338pt;width:478.6pt;height:535.2pt;mso-position-horizontal-relative:page;mso-position-vertical-relative:paragraph;z-index:28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089"/>
                    <w:gridCol w:w="2846"/>
                    <w:gridCol w:w="2622"/>
                  </w:tblGrid>
                  <w:tr>
                    <w:trPr>
                      <w:trHeight w:val="727" w:hRule="exact"/>
                    </w:trPr>
                    <w:tc>
                      <w:tcPr>
                        <w:tcW w:w="408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7"/>
                          <w:ind w:left="11" w:right="10" w:firstLine="360"/>
                          <w:jc w:val="left"/>
                          <w:rPr>
                            <w:rFonts w:ascii="宋体" w:hAnsi="宋体" w:cs="宋体" w:eastAsia="宋体" w:hint="default"/>
                            <w:sz w:val="18"/>
                            <w:szCs w:val="18"/>
                          </w:rPr>
                        </w:pPr>
                        <w:r>
                          <w:rPr>
                            <w:rFonts w:ascii="宋体" w:hAnsi="宋体" w:cs="宋体" w:eastAsia="宋体" w:hint="default"/>
                            <w:spacing w:val="-5"/>
                            <w:sz w:val="18"/>
                            <w:szCs w:val="18"/>
                          </w:rPr>
                          <w:t>处置固定资产、无形资产和其他长期资产收回的</w:t>
                        </w:r>
                        <w:r>
                          <w:rPr>
                            <w:rFonts w:ascii="宋体" w:hAnsi="宋体" w:cs="宋体" w:eastAsia="宋体" w:hint="default"/>
                            <w:sz w:val="18"/>
                            <w:szCs w:val="18"/>
                          </w:rPr>
                          <w:t> 现金净额</w:t>
                        </w:r>
                      </w:p>
                    </w:tc>
                    <w:tc>
                      <w:tcPr>
                        <w:tcW w:w="2846" w:type="dxa"/>
                        <w:tcBorders>
                          <w:top w:val="single" w:sz="10" w:space="0" w:color="000000"/>
                          <w:left w:val="single" w:sz="10" w:space="0" w:color="D2D2D2"/>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31,246.60</w:t>
                        </w:r>
                      </w:p>
                    </w:tc>
                    <w:tc>
                      <w:tcPr>
                        <w:tcW w:w="262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250,905.99</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285"/>
                          <w:jc w:val="righ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607,462,491.37</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693,122,897.34</w:t>
                        </w:r>
                      </w:p>
                    </w:tc>
                  </w:tr>
                  <w:tr>
                    <w:trPr>
                      <w:trHeight w:val="714"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0" w:firstLine="360"/>
                          <w:jc w:val="left"/>
                          <w:rPr>
                            <w:rFonts w:ascii="宋体" w:hAnsi="宋体" w:cs="宋体" w:eastAsia="宋体" w:hint="default"/>
                            <w:sz w:val="18"/>
                            <w:szCs w:val="18"/>
                          </w:rPr>
                        </w:pPr>
                        <w:r>
                          <w:rPr>
                            <w:rFonts w:ascii="宋体" w:hAnsi="宋体" w:cs="宋体" w:eastAsia="宋体" w:hint="default"/>
                            <w:spacing w:val="-5"/>
                            <w:sz w:val="18"/>
                            <w:szCs w:val="18"/>
                          </w:rPr>
                          <w:t>购建固定资产、无形资产和其他长期资产支付的</w:t>
                        </w:r>
                        <w:r>
                          <w:rPr>
                            <w:rFonts w:ascii="宋体" w:hAnsi="宋体" w:cs="宋体" w:eastAsia="宋体" w:hint="default"/>
                            <w:sz w:val="18"/>
                            <w:szCs w:val="18"/>
                          </w:rPr>
                          <w:t> 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67,291,510.51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87,690,050.51</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553,025,000.00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941,470,000.00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285"/>
                          <w:jc w:val="righ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620,316,510.51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1,029,160,050.51</w:t>
                        </w:r>
                      </w:p>
                    </w:tc>
                  </w:tr>
                  <w:tr>
                    <w:trPr>
                      <w:trHeight w:val="401"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-12,854,019.14</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-336,037,153.17</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28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293,000,000.00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665,000,000.00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4,371,737.49</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293,000,000.00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669,371,737.49</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672,500,000.00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593,000,000.00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59,252,018.85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79,792,472.93</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43,878,923.23</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111,994,228.14</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775,630,942.08</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784,786,701.07</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-482,630,942.08</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-115,414,963.58</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四、汇率变动对现金及现金等价物的影响</w:t>
                        </w:r>
                      </w:p>
                    </w:tc>
                    <w:tc>
                      <w:tcPr>
                        <w:tcW w:w="2846" w:type="dxa"/>
                        <w:tcBorders>
                          <w:top w:val="single" w:sz="4" w:space="0" w:color="000000"/>
                          <w:left w:val="single" w:sz="10" w:space="0" w:color="D2D2D2"/>
                          <w:bottom w:val="single" w:sz="4" w:space="0" w:color="000000"/>
                          <w:right w:val="single" w:sz="4" w:space="0" w:color="000000"/>
                        </w:tcBorders>
                      </w:tcPr>
                      <w:p>
                        <w:pPr/>
                      </w:p>
                    </w:tc>
                    <w:tc>
                      <w:tcPr>
                        <w:tcW w:w="262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-225,259,052.48</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34,957,655.70</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270,950,035.43</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235,992,379.73</w:t>
                        </w:r>
                      </w:p>
                    </w:tc>
                  </w:tr>
                  <w:tr>
                    <w:trPr>
                      <w:trHeight w:val="402" w:hRule="exact"/>
                    </w:trPr>
                    <w:tc>
                      <w:tcPr>
                        <w:tcW w:w="40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284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45,690,982.95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270,950,035.43</w:t>
                        </w:r>
                      </w:p>
                    </w:tc>
                  </w:tr>
                </w:tbl>
                <w:p>
                  <w:pPr/>
                </w:p>
              </w:txbxContent>
            </v:textbox>
            <w10:wrap type="none"/>
          </v:shape>
        </w:pict>
      </w:r>
      <w:bookmarkStart w:name="7、合并所有者权益变动表" w:id="171"/>
      <w:bookmarkEnd w:id="171"/>
      <w:r>
        <w:rPr>
          <w:b w:val="0"/>
          <w:bCs w:val="0"/>
        </w:rPr>
      </w:r>
      <w:r>
        <w:rPr>
          <w:rFonts w:ascii="Times New Roman" w:hAnsi="Times New Roman" w:cs="Times New Roman" w:eastAsia="Times New Roman" w:hint="default"/>
        </w:rPr>
        <w:t>7</w:t>
      </w:r>
      <w:r>
        <w:rPr/>
        <w:t>、合并所有者权益变动表</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114" w:right="1276"/>
        <w:jc w:val="left"/>
      </w:pPr>
      <w:r>
        <w:rPr/>
        <w:t>本期金额</w:t>
      </w:r>
    </w:p>
    <w:p>
      <w:pPr>
        <w:pStyle w:val="BodyText"/>
        <w:spacing w:line="240" w:lineRule="auto" w:before="116"/>
        <w:ind w:left="0" w:right="1130"/>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438"/>
        <w:gridCol w:w="830"/>
        <w:gridCol w:w="426"/>
        <w:gridCol w:w="425"/>
        <w:gridCol w:w="474"/>
        <w:gridCol w:w="803"/>
        <w:gridCol w:w="527"/>
        <w:gridCol w:w="748"/>
        <w:gridCol w:w="582"/>
        <w:gridCol w:w="664"/>
        <w:gridCol w:w="666"/>
        <w:gridCol w:w="665"/>
        <w:gridCol w:w="665"/>
        <w:gridCol w:w="659"/>
      </w:tblGrid>
      <w:tr>
        <w:trPr>
          <w:trHeight w:val="402" w:hRule="exact"/>
        </w:trPr>
        <w:tc>
          <w:tcPr>
            <w:tcW w:w="143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133"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401" w:hRule="exact"/>
        </w:trPr>
        <w:tc>
          <w:tcPr>
            <w:tcW w:w="1438" w:type="dxa"/>
            <w:vMerge/>
            <w:tcBorders>
              <w:left w:val="single" w:sz="4" w:space="0" w:color="000000"/>
              <w:right w:val="single" w:sz="4" w:space="0" w:color="000000"/>
            </w:tcBorders>
            <w:shd w:val="clear" w:color="auto" w:fill="D2D2D2"/>
          </w:tcPr>
          <w:p>
            <w:pPr/>
          </w:p>
        </w:tc>
        <w:tc>
          <w:tcPr>
            <w:tcW w:w="6810" w:type="dxa"/>
            <w:gridSpan w:val="11"/>
            <w:tcBorders>
              <w:top w:val="single" w:sz="4" w:space="0" w:color="000000"/>
              <w:left w:val="single" w:sz="4" w:space="0" w:color="000000"/>
              <w:bottom w:val="single" w:sz="4" w:space="0" w:color="FFFFFF"/>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22"/>
                <w:szCs w:val="22"/>
              </w:rPr>
            </w:pPr>
          </w:p>
          <w:p>
            <w:pPr>
              <w:pStyle w:val="TableParagraph"/>
              <w:spacing w:line="316" w:lineRule="auto"/>
              <w:ind w:left="56" w:right="56"/>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9"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42"/>
              <w:ind w:left="53" w:right="53"/>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402" w:hRule="exact"/>
        </w:trPr>
        <w:tc>
          <w:tcPr>
            <w:tcW w:w="1438" w:type="dxa"/>
            <w:vMerge/>
            <w:tcBorders>
              <w:left w:val="single" w:sz="4" w:space="0" w:color="000000"/>
              <w:right w:val="single" w:sz="4" w:space="0" w:color="000000"/>
            </w:tcBorders>
            <w:shd w:val="clear" w:color="auto" w:fill="D2D2D2"/>
          </w:tcPr>
          <w:p>
            <w:pPr/>
          </w:p>
        </w:tc>
        <w:tc>
          <w:tcPr>
            <w:tcW w:w="830"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325" w:type="dxa"/>
            <w:gridSpan w:val="3"/>
            <w:tcBorders>
              <w:top w:val="single" w:sz="4" w:space="0" w:color="FFFFFF"/>
              <w:left w:val="single" w:sz="4" w:space="0" w:color="000000"/>
              <w:bottom w:val="single" w:sz="4" w:space="0" w:color="000000"/>
              <w:right w:val="single" w:sz="4" w:space="0" w:color="000000"/>
            </w:tcBorders>
            <w:shd w:val="clear" w:color="auto" w:fill="D2D2D2"/>
          </w:tcPr>
          <w:p>
            <w:pPr>
              <w:pStyle w:val="TableParagraph"/>
              <w:spacing w:line="240" w:lineRule="auto" w:before="52"/>
              <w:ind w:left="116"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80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527" w:type="dxa"/>
            <w:vMerge w:val="restart"/>
            <w:tcBorders>
              <w:top w:val="single" w:sz="4" w:space="0" w:color="FFFFFF"/>
              <w:left w:val="single" w:sz="4" w:space="0" w:color="000000"/>
              <w:right w:val="single" w:sz="4" w:space="0" w:color="000000"/>
            </w:tcBorders>
            <w:shd w:val="clear" w:color="auto" w:fill="D2D2D2"/>
          </w:tcPr>
          <w:p>
            <w:pPr>
              <w:pStyle w:val="TableParagraph"/>
              <w:spacing w:line="316" w:lineRule="auto" w:before="97"/>
              <w:ind w:left="78" w:right="20" w:hanging="56"/>
              <w:jc w:val="left"/>
              <w:rPr>
                <w:rFonts w:ascii="宋体" w:hAnsi="宋体" w:cs="宋体" w:eastAsia="宋体" w:hint="default"/>
                <w:sz w:val="18"/>
                <w:szCs w:val="18"/>
              </w:rPr>
            </w:pPr>
            <w:r>
              <w:rPr>
                <w:rFonts w:ascii="宋体" w:hAnsi="宋体" w:cs="宋体" w:eastAsia="宋体" w:hint="default"/>
                <w:spacing w:val="-23"/>
                <w:sz w:val="18"/>
                <w:szCs w:val="18"/>
              </w:rPr>
              <w:t>减：库</w:t>
            </w:r>
            <w:r>
              <w:rPr>
                <w:rFonts w:ascii="宋体" w:hAnsi="宋体" w:cs="宋体" w:eastAsia="宋体" w:hint="default"/>
                <w:sz w:val="18"/>
                <w:szCs w:val="18"/>
              </w:rPr>
              <w:t> 存股</w:t>
            </w:r>
          </w:p>
        </w:tc>
        <w:tc>
          <w:tcPr>
            <w:tcW w:w="748" w:type="dxa"/>
            <w:vMerge w:val="restart"/>
            <w:tcBorders>
              <w:top w:val="single" w:sz="4" w:space="0" w:color="FFFFFF"/>
              <w:left w:val="single" w:sz="4" w:space="0" w:color="000000"/>
              <w:right w:val="single" w:sz="4" w:space="0" w:color="000000"/>
            </w:tcBorders>
            <w:shd w:val="clear" w:color="auto" w:fill="D2D2D2"/>
          </w:tcPr>
          <w:p>
            <w:pPr>
              <w:pStyle w:val="TableParagraph"/>
              <w:spacing w:line="316" w:lineRule="auto" w:before="97"/>
              <w:ind w:left="98" w:right="97"/>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582" w:type="dxa"/>
            <w:vMerge w:val="restart"/>
            <w:tcBorders>
              <w:top w:val="single" w:sz="4" w:space="0" w:color="FFFFFF"/>
              <w:left w:val="single" w:sz="4" w:space="0" w:color="000000"/>
              <w:right w:val="single" w:sz="4" w:space="0" w:color="000000"/>
            </w:tcBorders>
            <w:shd w:val="clear" w:color="auto" w:fill="D2D2D2"/>
          </w:tcPr>
          <w:p>
            <w:pPr>
              <w:pStyle w:val="TableParagraph"/>
              <w:spacing w:line="316" w:lineRule="auto" w:before="97"/>
              <w:ind w:left="105" w:right="104"/>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664" w:type="dxa"/>
            <w:vMerge w:val="restart"/>
            <w:tcBorders>
              <w:top w:val="single" w:sz="4" w:space="0" w:color="FFFFFF"/>
              <w:left w:val="single" w:sz="4" w:space="0" w:color="000000"/>
              <w:right w:val="single" w:sz="4" w:space="0" w:color="000000"/>
            </w:tcBorders>
            <w:shd w:val="clear" w:color="auto" w:fill="D2D2D2"/>
          </w:tcPr>
          <w:p>
            <w:pPr>
              <w:pStyle w:val="TableParagraph"/>
              <w:spacing w:line="316" w:lineRule="auto" w:before="97"/>
              <w:ind w:left="236" w:right="55"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6" w:type="dxa"/>
            <w:vMerge w:val="restart"/>
            <w:tcBorders>
              <w:top w:val="single" w:sz="4" w:space="0" w:color="FFFFFF"/>
              <w:left w:val="single" w:sz="4" w:space="0" w:color="000000"/>
              <w:right w:val="single" w:sz="4" w:space="0" w:color="000000"/>
            </w:tcBorders>
            <w:shd w:val="clear" w:color="auto" w:fill="D2D2D2"/>
          </w:tcPr>
          <w:p>
            <w:pPr>
              <w:pStyle w:val="TableParagraph"/>
              <w:spacing w:line="316" w:lineRule="auto" w:before="97"/>
              <w:ind w:left="57" w:right="57"/>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65" w:type="dxa"/>
            <w:vMerge w:val="restart"/>
            <w:tcBorders>
              <w:top w:val="single" w:sz="4" w:space="0" w:color="FFFFFF"/>
              <w:left w:val="single" w:sz="4" w:space="0" w:color="000000"/>
              <w:right w:val="single" w:sz="4" w:space="0" w:color="000000"/>
            </w:tcBorders>
            <w:shd w:val="clear" w:color="auto" w:fill="D2D2D2"/>
          </w:tcPr>
          <w:p>
            <w:pPr>
              <w:pStyle w:val="TableParagraph"/>
              <w:spacing w:line="316" w:lineRule="auto" w:before="97"/>
              <w:ind w:left="146" w:right="56"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65"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403" w:hRule="exact"/>
        </w:trPr>
        <w:tc>
          <w:tcPr>
            <w:tcW w:w="1438" w:type="dxa"/>
            <w:vMerge/>
            <w:tcBorders>
              <w:left w:val="single" w:sz="4" w:space="0" w:color="000000"/>
              <w:bottom w:val="single" w:sz="4" w:space="0" w:color="000000"/>
              <w:right w:val="single" w:sz="4" w:space="0" w:color="000000"/>
            </w:tcBorders>
            <w:shd w:val="clear" w:color="auto" w:fill="D2D2D2"/>
          </w:tcPr>
          <w:p>
            <w:pPr/>
          </w:p>
        </w:tc>
        <w:tc>
          <w:tcPr>
            <w:tcW w:w="830" w:type="dxa"/>
            <w:vMerge/>
            <w:tcBorders>
              <w:left w:val="single" w:sz="4" w:space="0" w:color="000000"/>
              <w:bottom w:val="single" w:sz="4" w:space="0" w:color="000000"/>
              <w:right w:val="single" w:sz="4" w:space="0" w:color="000000"/>
            </w:tcBorders>
            <w:shd w:val="clear" w:color="auto" w:fill="D2D2D2"/>
          </w:tcPr>
          <w:p>
            <w:pPr/>
          </w:p>
        </w:tc>
        <w:tc>
          <w:tcPr>
            <w:tcW w:w="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7" w:right="0"/>
              <w:jc w:val="left"/>
              <w:rPr>
                <w:rFonts w:ascii="宋体" w:hAnsi="宋体" w:cs="宋体" w:eastAsia="宋体" w:hint="default"/>
                <w:sz w:val="18"/>
                <w:szCs w:val="18"/>
              </w:rPr>
            </w:pPr>
            <w:r>
              <w:rPr>
                <w:rFonts w:ascii="宋体" w:hAnsi="宋体" w:cs="宋体" w:eastAsia="宋体" w:hint="default"/>
                <w:sz w:val="18"/>
                <w:szCs w:val="18"/>
              </w:rPr>
              <w:t>优先</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6" w:right="0"/>
              <w:jc w:val="left"/>
              <w:rPr>
                <w:rFonts w:ascii="宋体" w:hAnsi="宋体" w:cs="宋体" w:eastAsia="宋体" w:hint="default"/>
                <w:sz w:val="18"/>
                <w:szCs w:val="18"/>
              </w:rPr>
            </w:pPr>
            <w:r>
              <w:rPr>
                <w:rFonts w:ascii="宋体" w:hAnsi="宋体" w:cs="宋体" w:eastAsia="宋体" w:hint="default"/>
                <w:sz w:val="18"/>
                <w:szCs w:val="18"/>
              </w:rPr>
              <w:t>永续</w:t>
            </w:r>
          </w:p>
        </w:tc>
        <w:tc>
          <w:tcPr>
            <w:tcW w:w="4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03" w:type="dxa"/>
            <w:vMerge/>
            <w:tcBorders>
              <w:left w:val="single" w:sz="4" w:space="0" w:color="000000"/>
              <w:bottom w:val="single" w:sz="4" w:space="0" w:color="000000"/>
              <w:right w:val="single" w:sz="4" w:space="0" w:color="000000"/>
            </w:tcBorders>
            <w:shd w:val="clear" w:color="auto" w:fill="D2D2D2"/>
          </w:tcPr>
          <w:p>
            <w:pPr/>
          </w:p>
        </w:tc>
        <w:tc>
          <w:tcPr>
            <w:tcW w:w="527" w:type="dxa"/>
            <w:vMerge/>
            <w:tcBorders>
              <w:left w:val="single" w:sz="4" w:space="0" w:color="000000"/>
              <w:bottom w:val="single" w:sz="4" w:space="0" w:color="000000"/>
              <w:right w:val="single" w:sz="4" w:space="0" w:color="000000"/>
            </w:tcBorders>
            <w:shd w:val="clear" w:color="auto" w:fill="D2D2D2"/>
          </w:tcPr>
          <w:p>
            <w:pPr/>
          </w:p>
        </w:tc>
        <w:tc>
          <w:tcPr>
            <w:tcW w:w="748" w:type="dxa"/>
            <w:vMerge/>
            <w:tcBorders>
              <w:left w:val="single" w:sz="4" w:space="0" w:color="000000"/>
              <w:bottom w:val="single" w:sz="4" w:space="0" w:color="000000"/>
              <w:right w:val="single" w:sz="4" w:space="0" w:color="000000"/>
            </w:tcBorders>
            <w:shd w:val="clear" w:color="auto" w:fill="D2D2D2"/>
          </w:tcPr>
          <w:p>
            <w:pPr/>
          </w:p>
        </w:tc>
        <w:tc>
          <w:tcPr>
            <w:tcW w:w="582" w:type="dxa"/>
            <w:vMerge/>
            <w:tcBorders>
              <w:left w:val="single" w:sz="4" w:space="0" w:color="000000"/>
              <w:bottom w:val="single" w:sz="4" w:space="0" w:color="000000"/>
              <w:right w:val="single" w:sz="4" w:space="0" w:color="000000"/>
            </w:tcBorders>
            <w:shd w:val="clear" w:color="auto" w:fill="D2D2D2"/>
          </w:tcPr>
          <w:p>
            <w:pPr/>
          </w:p>
        </w:tc>
        <w:tc>
          <w:tcPr>
            <w:tcW w:w="664" w:type="dxa"/>
            <w:vMerge/>
            <w:tcBorders>
              <w:left w:val="single" w:sz="4" w:space="0" w:color="000000"/>
              <w:bottom w:val="single" w:sz="4" w:space="0" w:color="000000"/>
              <w:right w:val="single" w:sz="4" w:space="0" w:color="000000"/>
            </w:tcBorders>
            <w:shd w:val="clear" w:color="auto" w:fill="D2D2D2"/>
          </w:tcPr>
          <w:p>
            <w:pPr/>
          </w:p>
        </w:tc>
        <w:tc>
          <w:tcPr>
            <w:tcW w:w="666"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59"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851" w:footer="979" w:top="1460" w:bottom="1160" w:left="1020" w:right="0"/>
        </w:sectPr>
      </w:pPr>
    </w:p>
    <w:p>
      <w:pPr>
        <w:spacing w:line="240" w:lineRule="auto" w:before="5"/>
        <w:rPr>
          <w:rFonts w:ascii="Times New Roman" w:hAnsi="Times New Roman" w:cs="Times New Roman" w:eastAsia="Times New Roman" w:hint="default"/>
          <w:sz w:val="17"/>
          <w:szCs w:val="17"/>
        </w:rPr>
      </w:pPr>
      <w:r>
        <w:rPr/>
        <w:pict>
          <v:shape style="position:absolute;margin-left:57.029999pt;margin-top:72.449982pt;width:478.75pt;height:677.55pt;mso-position-horizontal-relative:page;mso-position-vertical-relative:page;z-index:29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15"/>
                    <w:gridCol w:w="842"/>
                    <w:gridCol w:w="426"/>
                    <w:gridCol w:w="425"/>
                    <w:gridCol w:w="474"/>
                    <w:gridCol w:w="803"/>
                    <w:gridCol w:w="527"/>
                    <w:gridCol w:w="748"/>
                    <w:gridCol w:w="582"/>
                    <w:gridCol w:w="664"/>
                    <w:gridCol w:w="666"/>
                    <w:gridCol w:w="665"/>
                    <w:gridCol w:w="665"/>
                    <w:gridCol w:w="659"/>
                  </w:tblGrid>
                  <w:tr>
                    <w:trPr>
                      <w:trHeight w:val="369" w:hRule="exact"/>
                    </w:trPr>
                    <w:tc>
                      <w:tcPr>
                        <w:tcW w:w="1415" w:type="dxa"/>
                        <w:tcBorders>
                          <w:top w:val="single" w:sz="10" w:space="0" w:color="000000"/>
                          <w:left w:val="single" w:sz="4" w:space="0" w:color="000000"/>
                          <w:bottom w:val="single" w:sz="4" w:space="0" w:color="000000"/>
                          <w:right w:val="single" w:sz="4" w:space="0" w:color="000000"/>
                        </w:tcBorders>
                        <w:shd w:val="clear" w:color="auto" w:fill="D2D2D2"/>
                      </w:tcPr>
                      <w:p>
                        <w:pPr/>
                      </w:p>
                    </w:tc>
                    <w:tc>
                      <w:tcPr>
                        <w:tcW w:w="842" w:type="dxa"/>
                        <w:tcBorders>
                          <w:top w:val="single" w:sz="10" w:space="0" w:color="000000"/>
                          <w:left w:val="single" w:sz="4" w:space="0" w:color="000000"/>
                          <w:bottom w:val="single" w:sz="4" w:space="0" w:color="000000"/>
                          <w:right w:val="single" w:sz="4" w:space="0" w:color="000000"/>
                        </w:tcBorders>
                        <w:shd w:val="clear" w:color="auto" w:fill="D2D2D2"/>
                      </w:tcPr>
                      <w:p>
                        <w:pPr/>
                      </w:p>
                    </w:tc>
                    <w:tc>
                      <w:tcPr>
                        <w:tcW w:w="426"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17" w:right="0"/>
                          <w:jc w:val="left"/>
                          <w:rPr>
                            <w:rFonts w:ascii="宋体" w:hAnsi="宋体" w:cs="宋体" w:eastAsia="宋体" w:hint="default"/>
                            <w:sz w:val="18"/>
                            <w:szCs w:val="18"/>
                          </w:rPr>
                        </w:pPr>
                        <w:r>
                          <w:rPr>
                            <w:rFonts w:ascii="宋体" w:hAnsi="宋体" w:cs="宋体" w:eastAsia="宋体" w:hint="default"/>
                            <w:sz w:val="18"/>
                            <w:szCs w:val="18"/>
                          </w:rPr>
                          <w:t>股</w:t>
                        </w:r>
                      </w:p>
                    </w:tc>
                    <w:tc>
                      <w:tcPr>
                        <w:tcW w:w="425"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left="116" w:right="0"/>
                          <w:jc w:val="left"/>
                          <w:rPr>
                            <w:rFonts w:ascii="宋体" w:hAnsi="宋体" w:cs="宋体" w:eastAsia="宋体" w:hint="default"/>
                            <w:sz w:val="18"/>
                            <w:szCs w:val="18"/>
                          </w:rPr>
                        </w:pPr>
                        <w:r>
                          <w:rPr>
                            <w:rFonts w:ascii="宋体" w:hAnsi="宋体" w:cs="宋体" w:eastAsia="宋体" w:hint="default"/>
                            <w:sz w:val="18"/>
                            <w:szCs w:val="18"/>
                          </w:rPr>
                          <w:t>债</w:t>
                        </w:r>
                      </w:p>
                    </w:tc>
                    <w:tc>
                      <w:tcPr>
                        <w:tcW w:w="474" w:type="dxa"/>
                        <w:tcBorders>
                          <w:top w:val="single" w:sz="10" w:space="0" w:color="000000"/>
                          <w:left w:val="single" w:sz="4" w:space="0" w:color="000000"/>
                          <w:bottom w:val="single" w:sz="4" w:space="0" w:color="000000"/>
                          <w:right w:val="single" w:sz="4" w:space="0" w:color="000000"/>
                        </w:tcBorders>
                        <w:shd w:val="clear" w:color="auto" w:fill="D2D2D2"/>
                      </w:tcPr>
                      <w:p>
                        <w:pPr/>
                      </w:p>
                    </w:tc>
                    <w:tc>
                      <w:tcPr>
                        <w:tcW w:w="803" w:type="dxa"/>
                        <w:tcBorders>
                          <w:top w:val="single" w:sz="10" w:space="0" w:color="000000"/>
                          <w:left w:val="single" w:sz="4" w:space="0" w:color="000000"/>
                          <w:bottom w:val="single" w:sz="4" w:space="0" w:color="000000"/>
                          <w:right w:val="single" w:sz="4" w:space="0" w:color="000000"/>
                        </w:tcBorders>
                        <w:shd w:val="clear" w:color="auto" w:fill="D2D2D2"/>
                      </w:tcPr>
                      <w:p>
                        <w:pPr/>
                      </w:p>
                    </w:tc>
                    <w:tc>
                      <w:tcPr>
                        <w:tcW w:w="527" w:type="dxa"/>
                        <w:tcBorders>
                          <w:top w:val="single" w:sz="10" w:space="0" w:color="000000"/>
                          <w:left w:val="single" w:sz="4" w:space="0" w:color="000000"/>
                          <w:bottom w:val="single" w:sz="4" w:space="0" w:color="000000"/>
                          <w:right w:val="single" w:sz="4" w:space="0" w:color="000000"/>
                        </w:tcBorders>
                        <w:shd w:val="clear" w:color="auto" w:fill="D2D2D2"/>
                      </w:tcPr>
                      <w:p>
                        <w:pPr/>
                      </w:p>
                    </w:tc>
                    <w:tc>
                      <w:tcPr>
                        <w:tcW w:w="748" w:type="dxa"/>
                        <w:tcBorders>
                          <w:top w:val="single" w:sz="10" w:space="0" w:color="000000"/>
                          <w:left w:val="single" w:sz="4" w:space="0" w:color="000000"/>
                          <w:bottom w:val="single" w:sz="4" w:space="0" w:color="000000"/>
                          <w:right w:val="single" w:sz="4" w:space="0" w:color="000000"/>
                        </w:tcBorders>
                        <w:shd w:val="clear" w:color="auto" w:fill="D2D2D2"/>
                      </w:tcPr>
                      <w:p>
                        <w:pPr/>
                      </w:p>
                    </w:tc>
                    <w:tc>
                      <w:tcPr>
                        <w:tcW w:w="582" w:type="dxa"/>
                        <w:tcBorders>
                          <w:top w:val="single" w:sz="10" w:space="0" w:color="000000"/>
                          <w:left w:val="single" w:sz="4" w:space="0" w:color="000000"/>
                          <w:bottom w:val="single" w:sz="4" w:space="0" w:color="000000"/>
                          <w:right w:val="single" w:sz="4" w:space="0" w:color="000000"/>
                        </w:tcBorders>
                        <w:shd w:val="clear" w:color="auto" w:fill="D2D2D2"/>
                      </w:tcPr>
                      <w:p>
                        <w:pPr/>
                      </w:p>
                    </w:tc>
                    <w:tc>
                      <w:tcPr>
                        <w:tcW w:w="664" w:type="dxa"/>
                        <w:tcBorders>
                          <w:top w:val="single" w:sz="10" w:space="0" w:color="000000"/>
                          <w:left w:val="single" w:sz="4" w:space="0" w:color="000000"/>
                          <w:bottom w:val="single" w:sz="4" w:space="0" w:color="000000"/>
                          <w:right w:val="single" w:sz="4" w:space="0" w:color="000000"/>
                        </w:tcBorders>
                        <w:shd w:val="clear" w:color="auto" w:fill="D2D2D2"/>
                      </w:tcPr>
                      <w:p>
                        <w:pPr/>
                      </w:p>
                    </w:tc>
                    <w:tc>
                      <w:tcPr>
                        <w:tcW w:w="666" w:type="dxa"/>
                        <w:tcBorders>
                          <w:top w:val="single" w:sz="10" w:space="0" w:color="000000"/>
                          <w:left w:val="single" w:sz="4" w:space="0" w:color="000000"/>
                          <w:bottom w:val="single" w:sz="4" w:space="0" w:color="000000"/>
                          <w:right w:val="single" w:sz="4" w:space="0" w:color="000000"/>
                        </w:tcBorders>
                        <w:shd w:val="clear" w:color="auto" w:fill="D2D2D2"/>
                      </w:tcPr>
                      <w:p>
                        <w:pPr/>
                      </w:p>
                    </w:tc>
                    <w:tc>
                      <w:tcPr>
                        <w:tcW w:w="665" w:type="dxa"/>
                        <w:tcBorders>
                          <w:top w:val="single" w:sz="10" w:space="0" w:color="000000"/>
                          <w:left w:val="single" w:sz="4" w:space="0" w:color="000000"/>
                          <w:bottom w:val="single" w:sz="4" w:space="0" w:color="000000"/>
                          <w:right w:val="single" w:sz="4" w:space="0" w:color="000000"/>
                        </w:tcBorders>
                        <w:shd w:val="clear" w:color="auto" w:fill="D2D2D2"/>
                      </w:tcPr>
                      <w:p>
                        <w:pPr/>
                      </w:p>
                    </w:tc>
                    <w:tc>
                      <w:tcPr>
                        <w:tcW w:w="665" w:type="dxa"/>
                        <w:tcBorders>
                          <w:top w:val="single" w:sz="10" w:space="0" w:color="000000"/>
                          <w:left w:val="single" w:sz="4" w:space="0" w:color="000000"/>
                          <w:bottom w:val="single" w:sz="4" w:space="0" w:color="000000"/>
                          <w:right w:val="single" w:sz="4" w:space="0" w:color="000000"/>
                        </w:tcBorders>
                        <w:shd w:val="clear" w:color="auto" w:fill="D2D2D2"/>
                      </w:tcPr>
                      <w:p>
                        <w:pPr/>
                      </w:p>
                    </w:tc>
                    <w:tc>
                      <w:tcPr>
                        <w:tcW w:w="659" w:type="dxa"/>
                        <w:tcBorders>
                          <w:top w:val="single" w:sz="10" w:space="0" w:color="000000"/>
                          <w:left w:val="single" w:sz="4" w:space="0" w:color="000000"/>
                          <w:bottom w:val="single" w:sz="4" w:space="0" w:color="000000"/>
                          <w:right w:val="single" w:sz="4" w:space="0" w:color="000000"/>
                        </w:tcBorders>
                        <w:shd w:val="clear" w:color="auto" w:fill="D2D2D2"/>
                      </w:tcPr>
                      <w:p>
                        <w:pPr/>
                      </w:p>
                    </w:tc>
                  </w:tr>
                  <w:tr>
                    <w:trPr>
                      <w:trHeight w:val="317"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842" w:type="dxa"/>
                        <w:vMerge w:val="restart"/>
                        <w:tcBorders>
                          <w:top w:val="single" w:sz="4" w:space="0" w:color="000000"/>
                          <w:left w:val="single" w:sz="9" w:space="0" w:color="D2D2D2"/>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1,961,091,</w:t>
                        </w:r>
                      </w:p>
                      <w:p>
                        <w:pPr>
                          <w:pStyle w:val="TableParagraph"/>
                          <w:spacing w:line="240" w:lineRule="auto" w:before="106"/>
                          <w:ind w:left="308" w:right="0"/>
                          <w:jc w:val="left"/>
                          <w:rPr>
                            <w:rFonts w:ascii="Times New Roman" w:hAnsi="Times New Roman" w:cs="Times New Roman" w:eastAsia="Times New Roman" w:hint="default"/>
                            <w:sz w:val="18"/>
                            <w:szCs w:val="18"/>
                          </w:rPr>
                        </w:pPr>
                        <w:r>
                          <w:rPr>
                            <w:rFonts w:ascii="Times New Roman"/>
                            <w:sz w:val="18"/>
                          </w:rPr>
                          <w:t>984.00</w:t>
                        </w:r>
                      </w:p>
                    </w:tc>
                    <w:tc>
                      <w:tcPr>
                        <w:tcW w:w="426" w:type="dxa"/>
                        <w:vMerge w:val="restart"/>
                        <w:tcBorders>
                          <w:top w:val="single" w:sz="4" w:space="0" w:color="000000"/>
                          <w:left w:val="single" w:sz="4" w:space="0" w:color="000000"/>
                          <w:right w:val="single" w:sz="4" w:space="0" w:color="000000"/>
                        </w:tcBorders>
                      </w:tcPr>
                      <w:p>
                        <w:pPr/>
                      </w:p>
                    </w:tc>
                    <w:tc>
                      <w:tcPr>
                        <w:tcW w:w="425" w:type="dxa"/>
                        <w:vMerge w:val="restart"/>
                        <w:tcBorders>
                          <w:top w:val="single" w:sz="4" w:space="0" w:color="000000"/>
                          <w:left w:val="single" w:sz="4" w:space="0" w:color="000000"/>
                          <w:right w:val="single" w:sz="4" w:space="0" w:color="000000"/>
                        </w:tcBorders>
                      </w:tcPr>
                      <w:p>
                        <w:pPr/>
                      </w:p>
                    </w:tc>
                    <w:tc>
                      <w:tcPr>
                        <w:tcW w:w="474" w:type="dxa"/>
                        <w:vMerge w:val="restart"/>
                        <w:tcBorders>
                          <w:top w:val="single" w:sz="4" w:space="0" w:color="000000"/>
                          <w:left w:val="single" w:sz="4" w:space="0" w:color="000000"/>
                          <w:right w:val="single" w:sz="4" w:space="0" w:color="000000"/>
                        </w:tcBorders>
                      </w:tcPr>
                      <w:p>
                        <w:pPr/>
                      </w:p>
                    </w:tc>
                    <w:tc>
                      <w:tcPr>
                        <w:tcW w:w="803"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9" w:right="0"/>
                          <w:jc w:val="left"/>
                          <w:rPr>
                            <w:rFonts w:ascii="Times New Roman" w:hAnsi="Times New Roman" w:cs="Times New Roman" w:eastAsia="Times New Roman" w:hint="default"/>
                            <w:sz w:val="18"/>
                            <w:szCs w:val="18"/>
                          </w:rPr>
                        </w:pPr>
                        <w:r>
                          <w:rPr>
                            <w:rFonts w:ascii="Times New Roman"/>
                            <w:sz w:val="18"/>
                          </w:rPr>
                          <w:t>427,255,7</w:t>
                        </w:r>
                      </w:p>
                      <w:p>
                        <w:pPr>
                          <w:pStyle w:val="TableParagraph"/>
                          <w:spacing w:line="240" w:lineRule="auto" w:before="106"/>
                          <w:ind w:left="365" w:right="0"/>
                          <w:jc w:val="left"/>
                          <w:rPr>
                            <w:rFonts w:ascii="Times New Roman" w:hAnsi="Times New Roman" w:cs="Times New Roman" w:eastAsia="Times New Roman" w:hint="default"/>
                            <w:sz w:val="18"/>
                            <w:szCs w:val="18"/>
                          </w:rPr>
                        </w:pPr>
                        <w:r>
                          <w:rPr>
                            <w:rFonts w:ascii="Times New Roman"/>
                            <w:sz w:val="18"/>
                          </w:rPr>
                          <w:t>37.04</w:t>
                        </w:r>
                      </w:p>
                    </w:tc>
                    <w:tc>
                      <w:tcPr>
                        <w:tcW w:w="527" w:type="dxa"/>
                        <w:vMerge w:val="restart"/>
                        <w:tcBorders>
                          <w:top w:val="single" w:sz="4" w:space="0" w:color="000000"/>
                          <w:left w:val="single" w:sz="4" w:space="0" w:color="000000"/>
                          <w:right w:val="single" w:sz="4" w:space="0" w:color="000000"/>
                        </w:tcBorders>
                      </w:tcPr>
                      <w:p>
                        <w:pPr/>
                      </w:p>
                    </w:tc>
                    <w:tc>
                      <w:tcPr>
                        <w:tcW w:w="748"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5" w:right="0"/>
                          <w:jc w:val="left"/>
                          <w:rPr>
                            <w:rFonts w:ascii="Times New Roman" w:hAnsi="Times New Roman" w:cs="Times New Roman" w:eastAsia="Times New Roman" w:hint="default"/>
                            <w:sz w:val="18"/>
                            <w:szCs w:val="18"/>
                          </w:rPr>
                        </w:pPr>
                        <w:r>
                          <w:rPr>
                            <w:rFonts w:ascii="Times New Roman"/>
                            <w:sz w:val="18"/>
                          </w:rPr>
                          <w:t>-4,286,17</w:t>
                        </w:r>
                      </w:p>
                      <w:p>
                        <w:pPr>
                          <w:pStyle w:val="TableParagraph"/>
                          <w:spacing w:line="240" w:lineRule="auto" w:before="106"/>
                          <w:ind w:left="400" w:right="0"/>
                          <w:jc w:val="left"/>
                          <w:rPr>
                            <w:rFonts w:ascii="Times New Roman" w:hAnsi="Times New Roman" w:cs="Times New Roman" w:eastAsia="Times New Roman" w:hint="default"/>
                            <w:sz w:val="18"/>
                            <w:szCs w:val="18"/>
                          </w:rPr>
                        </w:pPr>
                        <w:r>
                          <w:rPr>
                            <w:rFonts w:ascii="Times New Roman"/>
                            <w:sz w:val="18"/>
                          </w:rPr>
                          <w:t>3.91</w:t>
                        </w:r>
                      </w:p>
                    </w:tc>
                    <w:tc>
                      <w:tcPr>
                        <w:tcW w:w="582"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231,293</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,196.44</w:t>
                        </w: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2,530,8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44,496.</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31</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2" w:right="0"/>
                          <w:jc w:val="center"/>
                          <w:rPr>
                            <w:rFonts w:ascii="Times New Roman" w:hAnsi="Times New Roman" w:cs="Times New Roman" w:eastAsia="Times New Roman" w:hint="default"/>
                            <w:sz w:val="18"/>
                            <w:szCs w:val="18"/>
                          </w:rPr>
                        </w:pPr>
                        <w:r>
                          <w:rPr>
                            <w:rFonts w:ascii="Times New Roman"/>
                            <w:sz w:val="18"/>
                          </w:rPr>
                          <w:t>-6,225,1</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18.63</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5,139,9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74,121.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25</w:t>
                        </w: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842" w:type="dxa"/>
                        <w:vMerge/>
                        <w:tcBorders>
                          <w:left w:val="single" w:sz="9" w:space="0" w:color="D2D2D2"/>
                          <w:right w:val="single" w:sz="4" w:space="0" w:color="000000"/>
                        </w:tcBorders>
                      </w:tcPr>
                      <w:p>
                        <w:pPr/>
                      </w:p>
                    </w:tc>
                    <w:tc>
                      <w:tcPr>
                        <w:tcW w:w="426" w:type="dxa"/>
                        <w:vMerge/>
                        <w:tcBorders>
                          <w:left w:val="single" w:sz="4" w:space="0" w:color="000000"/>
                          <w:right w:val="single" w:sz="4" w:space="0" w:color="000000"/>
                        </w:tcBorders>
                      </w:tcPr>
                      <w:p>
                        <w:pPr/>
                      </w:p>
                    </w:tc>
                    <w:tc>
                      <w:tcPr>
                        <w:tcW w:w="425" w:type="dxa"/>
                        <w:vMerge/>
                        <w:tcBorders>
                          <w:left w:val="single" w:sz="4" w:space="0" w:color="000000"/>
                          <w:right w:val="single" w:sz="4" w:space="0" w:color="000000"/>
                        </w:tcBorders>
                      </w:tcPr>
                      <w:p>
                        <w:pPr/>
                      </w:p>
                    </w:tc>
                    <w:tc>
                      <w:tcPr>
                        <w:tcW w:w="474" w:type="dxa"/>
                        <w:vMerge/>
                        <w:tcBorders>
                          <w:left w:val="single" w:sz="4" w:space="0" w:color="000000"/>
                          <w:right w:val="single" w:sz="4" w:space="0" w:color="000000"/>
                        </w:tcBorders>
                      </w:tcPr>
                      <w:p>
                        <w:pPr/>
                      </w:p>
                    </w:tc>
                    <w:tc>
                      <w:tcPr>
                        <w:tcW w:w="803" w:type="dxa"/>
                        <w:vMerge/>
                        <w:tcBorders>
                          <w:left w:val="single" w:sz="4" w:space="0" w:color="000000"/>
                          <w:right w:val="single" w:sz="4" w:space="0" w:color="000000"/>
                        </w:tcBorders>
                      </w:tcPr>
                      <w:p>
                        <w:pPr/>
                      </w:p>
                    </w:tc>
                    <w:tc>
                      <w:tcPr>
                        <w:tcW w:w="527" w:type="dxa"/>
                        <w:vMerge/>
                        <w:tcBorders>
                          <w:left w:val="single" w:sz="4" w:space="0" w:color="000000"/>
                          <w:right w:val="single" w:sz="4" w:space="0" w:color="000000"/>
                        </w:tcBorders>
                      </w:tcPr>
                      <w:p>
                        <w:pPr/>
                      </w:p>
                    </w:tc>
                    <w:tc>
                      <w:tcPr>
                        <w:tcW w:w="748" w:type="dxa"/>
                        <w:vMerge/>
                        <w:tcBorders>
                          <w:left w:val="single" w:sz="4" w:space="0" w:color="000000"/>
                          <w:right w:val="single" w:sz="4" w:space="0" w:color="000000"/>
                        </w:tcBorders>
                      </w:tcPr>
                      <w:p>
                        <w:pPr/>
                      </w:p>
                    </w:tc>
                    <w:tc>
                      <w:tcPr>
                        <w:tcW w:w="582"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317"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842" w:type="dxa"/>
                        <w:vMerge/>
                        <w:tcBorders>
                          <w:left w:val="single" w:sz="9" w:space="0" w:color="D2D2D2"/>
                          <w:bottom w:val="single" w:sz="4" w:space="0" w:color="000000"/>
                          <w:right w:val="single" w:sz="4" w:space="0" w:color="000000"/>
                        </w:tcBorders>
                      </w:tcPr>
                      <w:p>
                        <w:pPr/>
                      </w:p>
                    </w:tc>
                    <w:tc>
                      <w:tcPr>
                        <w:tcW w:w="426" w:type="dxa"/>
                        <w:vMerge/>
                        <w:tcBorders>
                          <w:left w:val="single" w:sz="4" w:space="0" w:color="000000"/>
                          <w:bottom w:val="single" w:sz="4" w:space="0" w:color="000000"/>
                          <w:right w:val="single" w:sz="4" w:space="0" w:color="000000"/>
                        </w:tcBorders>
                      </w:tcPr>
                      <w:p>
                        <w:pPr/>
                      </w:p>
                    </w:tc>
                    <w:tc>
                      <w:tcPr>
                        <w:tcW w:w="425" w:type="dxa"/>
                        <w:vMerge/>
                        <w:tcBorders>
                          <w:left w:val="single" w:sz="4" w:space="0" w:color="000000"/>
                          <w:bottom w:val="single" w:sz="4" w:space="0" w:color="000000"/>
                          <w:right w:val="single" w:sz="4" w:space="0" w:color="000000"/>
                        </w:tcBorders>
                      </w:tcPr>
                      <w:p>
                        <w:pPr/>
                      </w:p>
                    </w:tc>
                    <w:tc>
                      <w:tcPr>
                        <w:tcW w:w="474" w:type="dxa"/>
                        <w:vMerge/>
                        <w:tcBorders>
                          <w:left w:val="single" w:sz="4" w:space="0" w:color="000000"/>
                          <w:bottom w:val="single" w:sz="4" w:space="0" w:color="000000"/>
                          <w:right w:val="single" w:sz="4" w:space="0" w:color="000000"/>
                        </w:tcBorders>
                      </w:tcPr>
                      <w:p>
                        <w:pPr/>
                      </w:p>
                    </w:tc>
                    <w:tc>
                      <w:tcPr>
                        <w:tcW w:w="803" w:type="dxa"/>
                        <w:vMerge/>
                        <w:tcBorders>
                          <w:left w:val="single" w:sz="4" w:space="0" w:color="000000"/>
                          <w:bottom w:val="single" w:sz="4" w:space="0" w:color="000000"/>
                          <w:right w:val="single" w:sz="4" w:space="0" w:color="000000"/>
                        </w:tcBorders>
                      </w:tcPr>
                      <w:p>
                        <w:pPr/>
                      </w:p>
                    </w:tc>
                    <w:tc>
                      <w:tcPr>
                        <w:tcW w:w="527" w:type="dxa"/>
                        <w:vMerge/>
                        <w:tcBorders>
                          <w:left w:val="single" w:sz="4" w:space="0" w:color="000000"/>
                          <w:bottom w:val="single" w:sz="4" w:space="0" w:color="000000"/>
                          <w:right w:val="single" w:sz="4" w:space="0" w:color="000000"/>
                        </w:tcBorders>
                      </w:tcPr>
                      <w:p>
                        <w:pPr/>
                      </w:p>
                    </w:tc>
                    <w:tc>
                      <w:tcPr>
                        <w:tcW w:w="748" w:type="dxa"/>
                        <w:vMerge/>
                        <w:tcBorders>
                          <w:left w:val="single" w:sz="4" w:space="0" w:color="000000"/>
                          <w:bottom w:val="single" w:sz="4" w:space="0" w:color="000000"/>
                          <w:right w:val="single" w:sz="4" w:space="0" w:color="000000"/>
                        </w:tcBorders>
                      </w:tcPr>
                      <w:p>
                        <w:pPr/>
                      </w:p>
                    </w:tc>
                    <w:tc>
                      <w:tcPr>
                        <w:tcW w:w="582"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9"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842" w:type="dxa"/>
                        <w:tcBorders>
                          <w:top w:val="single" w:sz="4" w:space="0" w:color="000000"/>
                          <w:left w:val="single" w:sz="13" w:space="0" w:color="D2D2D2"/>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842" w:type="dxa"/>
                        <w:tcBorders>
                          <w:top w:val="single" w:sz="4" w:space="0" w:color="000000"/>
                          <w:left w:val="single" w:sz="13" w:space="0" w:color="D2D2D2"/>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31" w:firstLine="720"/>
                          <w:jc w:val="left"/>
                          <w:rPr>
                            <w:rFonts w:ascii="宋体" w:hAnsi="宋体" w:cs="宋体" w:eastAsia="宋体" w:hint="default"/>
                            <w:sz w:val="18"/>
                            <w:szCs w:val="18"/>
                          </w:rPr>
                        </w:pPr>
                        <w:r>
                          <w:rPr>
                            <w:rFonts w:ascii="宋体" w:hAnsi="宋体" w:cs="宋体" w:eastAsia="宋体" w:hint="default"/>
                            <w:sz w:val="18"/>
                            <w:szCs w:val="18"/>
                          </w:rPr>
                          <w:t>同一控 制下企业合并</w:t>
                        </w:r>
                      </w:p>
                    </w:tc>
                    <w:tc>
                      <w:tcPr>
                        <w:tcW w:w="842" w:type="dxa"/>
                        <w:tcBorders>
                          <w:top w:val="single" w:sz="4" w:space="0" w:color="000000"/>
                          <w:left w:val="single" w:sz="13" w:space="0" w:color="D2D2D2"/>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42" w:type="dxa"/>
                        <w:tcBorders>
                          <w:top w:val="single" w:sz="4" w:space="0" w:color="000000"/>
                          <w:left w:val="single" w:sz="13" w:space="0" w:color="D2D2D2"/>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842" w:type="dxa"/>
                        <w:vMerge w:val="restart"/>
                        <w:tcBorders>
                          <w:top w:val="single" w:sz="4" w:space="0" w:color="000000"/>
                          <w:left w:val="single" w:sz="9" w:space="0" w:color="D2D2D2"/>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1,961,091,</w:t>
                        </w:r>
                      </w:p>
                      <w:p>
                        <w:pPr>
                          <w:pStyle w:val="TableParagraph"/>
                          <w:spacing w:line="240" w:lineRule="auto" w:before="105"/>
                          <w:ind w:left="308" w:right="0"/>
                          <w:jc w:val="left"/>
                          <w:rPr>
                            <w:rFonts w:ascii="Times New Roman" w:hAnsi="Times New Roman" w:cs="Times New Roman" w:eastAsia="Times New Roman" w:hint="default"/>
                            <w:sz w:val="18"/>
                            <w:szCs w:val="18"/>
                          </w:rPr>
                        </w:pPr>
                        <w:r>
                          <w:rPr>
                            <w:rFonts w:ascii="Times New Roman"/>
                            <w:sz w:val="18"/>
                          </w:rPr>
                          <w:t>984.00</w:t>
                        </w:r>
                      </w:p>
                    </w:tc>
                    <w:tc>
                      <w:tcPr>
                        <w:tcW w:w="426" w:type="dxa"/>
                        <w:vMerge w:val="restart"/>
                        <w:tcBorders>
                          <w:top w:val="single" w:sz="4" w:space="0" w:color="000000"/>
                          <w:left w:val="single" w:sz="4" w:space="0" w:color="000000"/>
                          <w:right w:val="single" w:sz="4" w:space="0" w:color="000000"/>
                        </w:tcBorders>
                      </w:tcPr>
                      <w:p>
                        <w:pPr/>
                      </w:p>
                    </w:tc>
                    <w:tc>
                      <w:tcPr>
                        <w:tcW w:w="425" w:type="dxa"/>
                        <w:vMerge w:val="restart"/>
                        <w:tcBorders>
                          <w:top w:val="single" w:sz="4" w:space="0" w:color="000000"/>
                          <w:left w:val="single" w:sz="4" w:space="0" w:color="000000"/>
                          <w:right w:val="single" w:sz="4" w:space="0" w:color="000000"/>
                        </w:tcBorders>
                      </w:tcPr>
                      <w:p>
                        <w:pPr/>
                      </w:p>
                    </w:tc>
                    <w:tc>
                      <w:tcPr>
                        <w:tcW w:w="474" w:type="dxa"/>
                        <w:vMerge w:val="restart"/>
                        <w:tcBorders>
                          <w:top w:val="single" w:sz="4" w:space="0" w:color="000000"/>
                          <w:left w:val="single" w:sz="4" w:space="0" w:color="000000"/>
                          <w:right w:val="single" w:sz="4" w:space="0" w:color="000000"/>
                        </w:tcBorders>
                      </w:tcPr>
                      <w:p>
                        <w:pPr/>
                      </w:p>
                    </w:tc>
                    <w:tc>
                      <w:tcPr>
                        <w:tcW w:w="803"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9" w:right="0"/>
                          <w:jc w:val="left"/>
                          <w:rPr>
                            <w:rFonts w:ascii="Times New Roman" w:hAnsi="Times New Roman" w:cs="Times New Roman" w:eastAsia="Times New Roman" w:hint="default"/>
                            <w:sz w:val="18"/>
                            <w:szCs w:val="18"/>
                          </w:rPr>
                        </w:pPr>
                        <w:r>
                          <w:rPr>
                            <w:rFonts w:ascii="Times New Roman"/>
                            <w:sz w:val="18"/>
                          </w:rPr>
                          <w:t>427,255,7</w:t>
                        </w:r>
                      </w:p>
                      <w:p>
                        <w:pPr>
                          <w:pStyle w:val="TableParagraph"/>
                          <w:spacing w:line="240" w:lineRule="auto" w:before="105"/>
                          <w:ind w:left="365" w:right="0"/>
                          <w:jc w:val="left"/>
                          <w:rPr>
                            <w:rFonts w:ascii="Times New Roman" w:hAnsi="Times New Roman" w:cs="Times New Roman" w:eastAsia="Times New Roman" w:hint="default"/>
                            <w:sz w:val="18"/>
                            <w:szCs w:val="18"/>
                          </w:rPr>
                        </w:pPr>
                        <w:r>
                          <w:rPr>
                            <w:rFonts w:ascii="Times New Roman"/>
                            <w:sz w:val="18"/>
                          </w:rPr>
                          <w:t>37.04</w:t>
                        </w:r>
                      </w:p>
                    </w:tc>
                    <w:tc>
                      <w:tcPr>
                        <w:tcW w:w="527" w:type="dxa"/>
                        <w:vMerge w:val="restart"/>
                        <w:tcBorders>
                          <w:top w:val="single" w:sz="4" w:space="0" w:color="000000"/>
                          <w:left w:val="single" w:sz="4" w:space="0" w:color="000000"/>
                          <w:right w:val="single" w:sz="4" w:space="0" w:color="000000"/>
                        </w:tcBorders>
                      </w:tcPr>
                      <w:p>
                        <w:pPr/>
                      </w:p>
                    </w:tc>
                    <w:tc>
                      <w:tcPr>
                        <w:tcW w:w="748"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5" w:right="0"/>
                          <w:jc w:val="left"/>
                          <w:rPr>
                            <w:rFonts w:ascii="Times New Roman" w:hAnsi="Times New Roman" w:cs="Times New Roman" w:eastAsia="Times New Roman" w:hint="default"/>
                            <w:sz w:val="18"/>
                            <w:szCs w:val="18"/>
                          </w:rPr>
                        </w:pPr>
                        <w:r>
                          <w:rPr>
                            <w:rFonts w:ascii="Times New Roman"/>
                            <w:sz w:val="18"/>
                          </w:rPr>
                          <w:t>-4,286,17</w:t>
                        </w:r>
                      </w:p>
                      <w:p>
                        <w:pPr>
                          <w:pStyle w:val="TableParagraph"/>
                          <w:spacing w:line="240" w:lineRule="auto" w:before="105"/>
                          <w:ind w:left="400" w:right="0"/>
                          <w:jc w:val="left"/>
                          <w:rPr>
                            <w:rFonts w:ascii="Times New Roman" w:hAnsi="Times New Roman" w:cs="Times New Roman" w:eastAsia="Times New Roman" w:hint="default"/>
                            <w:sz w:val="18"/>
                            <w:szCs w:val="18"/>
                          </w:rPr>
                        </w:pPr>
                        <w:r>
                          <w:rPr>
                            <w:rFonts w:ascii="Times New Roman"/>
                            <w:sz w:val="18"/>
                          </w:rPr>
                          <w:t>3.91</w:t>
                        </w:r>
                      </w:p>
                    </w:tc>
                    <w:tc>
                      <w:tcPr>
                        <w:tcW w:w="582"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231,293</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,196.44</w:t>
                        </w: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2,530,8</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44,496.</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31</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2" w:right="0"/>
                          <w:jc w:val="center"/>
                          <w:rPr>
                            <w:rFonts w:ascii="Times New Roman" w:hAnsi="Times New Roman" w:cs="Times New Roman" w:eastAsia="Times New Roman" w:hint="default"/>
                            <w:sz w:val="18"/>
                            <w:szCs w:val="18"/>
                          </w:rPr>
                        </w:pPr>
                        <w:r>
                          <w:rPr>
                            <w:rFonts w:ascii="Times New Roman"/>
                            <w:sz w:val="18"/>
                          </w:rPr>
                          <w:t>-6,225,1</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18.63</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5,139,9</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74,121.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25</w:t>
                        </w: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842" w:type="dxa"/>
                        <w:vMerge/>
                        <w:tcBorders>
                          <w:left w:val="single" w:sz="9" w:space="0" w:color="D2D2D2"/>
                          <w:right w:val="single" w:sz="4" w:space="0" w:color="000000"/>
                        </w:tcBorders>
                      </w:tcPr>
                      <w:p>
                        <w:pPr/>
                      </w:p>
                    </w:tc>
                    <w:tc>
                      <w:tcPr>
                        <w:tcW w:w="426" w:type="dxa"/>
                        <w:vMerge/>
                        <w:tcBorders>
                          <w:left w:val="single" w:sz="4" w:space="0" w:color="000000"/>
                          <w:right w:val="single" w:sz="4" w:space="0" w:color="000000"/>
                        </w:tcBorders>
                      </w:tcPr>
                      <w:p>
                        <w:pPr/>
                      </w:p>
                    </w:tc>
                    <w:tc>
                      <w:tcPr>
                        <w:tcW w:w="425" w:type="dxa"/>
                        <w:vMerge/>
                        <w:tcBorders>
                          <w:left w:val="single" w:sz="4" w:space="0" w:color="000000"/>
                          <w:right w:val="single" w:sz="4" w:space="0" w:color="000000"/>
                        </w:tcBorders>
                      </w:tcPr>
                      <w:p>
                        <w:pPr/>
                      </w:p>
                    </w:tc>
                    <w:tc>
                      <w:tcPr>
                        <w:tcW w:w="474" w:type="dxa"/>
                        <w:vMerge/>
                        <w:tcBorders>
                          <w:left w:val="single" w:sz="4" w:space="0" w:color="000000"/>
                          <w:right w:val="single" w:sz="4" w:space="0" w:color="000000"/>
                        </w:tcBorders>
                      </w:tcPr>
                      <w:p>
                        <w:pPr/>
                      </w:p>
                    </w:tc>
                    <w:tc>
                      <w:tcPr>
                        <w:tcW w:w="803" w:type="dxa"/>
                        <w:vMerge/>
                        <w:tcBorders>
                          <w:left w:val="single" w:sz="4" w:space="0" w:color="000000"/>
                          <w:right w:val="single" w:sz="4" w:space="0" w:color="000000"/>
                        </w:tcBorders>
                      </w:tcPr>
                      <w:p>
                        <w:pPr/>
                      </w:p>
                    </w:tc>
                    <w:tc>
                      <w:tcPr>
                        <w:tcW w:w="527" w:type="dxa"/>
                        <w:vMerge/>
                        <w:tcBorders>
                          <w:left w:val="single" w:sz="4" w:space="0" w:color="000000"/>
                          <w:right w:val="single" w:sz="4" w:space="0" w:color="000000"/>
                        </w:tcBorders>
                      </w:tcPr>
                      <w:p>
                        <w:pPr/>
                      </w:p>
                    </w:tc>
                    <w:tc>
                      <w:tcPr>
                        <w:tcW w:w="748" w:type="dxa"/>
                        <w:vMerge/>
                        <w:tcBorders>
                          <w:left w:val="single" w:sz="4" w:space="0" w:color="000000"/>
                          <w:right w:val="single" w:sz="4" w:space="0" w:color="000000"/>
                        </w:tcBorders>
                      </w:tcPr>
                      <w:p>
                        <w:pPr/>
                      </w:p>
                    </w:tc>
                    <w:tc>
                      <w:tcPr>
                        <w:tcW w:w="582"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317"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842" w:type="dxa"/>
                        <w:vMerge/>
                        <w:tcBorders>
                          <w:left w:val="single" w:sz="9" w:space="0" w:color="D2D2D2"/>
                          <w:bottom w:val="single" w:sz="4" w:space="0" w:color="000000"/>
                          <w:right w:val="single" w:sz="4" w:space="0" w:color="000000"/>
                        </w:tcBorders>
                      </w:tcPr>
                      <w:p>
                        <w:pPr/>
                      </w:p>
                    </w:tc>
                    <w:tc>
                      <w:tcPr>
                        <w:tcW w:w="426" w:type="dxa"/>
                        <w:vMerge/>
                        <w:tcBorders>
                          <w:left w:val="single" w:sz="4" w:space="0" w:color="000000"/>
                          <w:bottom w:val="single" w:sz="4" w:space="0" w:color="000000"/>
                          <w:right w:val="single" w:sz="4" w:space="0" w:color="000000"/>
                        </w:tcBorders>
                      </w:tcPr>
                      <w:p>
                        <w:pPr/>
                      </w:p>
                    </w:tc>
                    <w:tc>
                      <w:tcPr>
                        <w:tcW w:w="425" w:type="dxa"/>
                        <w:vMerge/>
                        <w:tcBorders>
                          <w:left w:val="single" w:sz="4" w:space="0" w:color="000000"/>
                          <w:bottom w:val="single" w:sz="4" w:space="0" w:color="000000"/>
                          <w:right w:val="single" w:sz="4" w:space="0" w:color="000000"/>
                        </w:tcBorders>
                      </w:tcPr>
                      <w:p>
                        <w:pPr/>
                      </w:p>
                    </w:tc>
                    <w:tc>
                      <w:tcPr>
                        <w:tcW w:w="474" w:type="dxa"/>
                        <w:vMerge/>
                        <w:tcBorders>
                          <w:left w:val="single" w:sz="4" w:space="0" w:color="000000"/>
                          <w:bottom w:val="single" w:sz="4" w:space="0" w:color="000000"/>
                          <w:right w:val="single" w:sz="4" w:space="0" w:color="000000"/>
                        </w:tcBorders>
                      </w:tcPr>
                      <w:p>
                        <w:pPr/>
                      </w:p>
                    </w:tc>
                    <w:tc>
                      <w:tcPr>
                        <w:tcW w:w="803" w:type="dxa"/>
                        <w:vMerge/>
                        <w:tcBorders>
                          <w:left w:val="single" w:sz="4" w:space="0" w:color="000000"/>
                          <w:bottom w:val="single" w:sz="4" w:space="0" w:color="000000"/>
                          <w:right w:val="single" w:sz="4" w:space="0" w:color="000000"/>
                        </w:tcBorders>
                      </w:tcPr>
                      <w:p>
                        <w:pPr/>
                      </w:p>
                    </w:tc>
                    <w:tc>
                      <w:tcPr>
                        <w:tcW w:w="527" w:type="dxa"/>
                        <w:vMerge/>
                        <w:tcBorders>
                          <w:left w:val="single" w:sz="4" w:space="0" w:color="000000"/>
                          <w:bottom w:val="single" w:sz="4" w:space="0" w:color="000000"/>
                          <w:right w:val="single" w:sz="4" w:space="0" w:color="000000"/>
                        </w:tcBorders>
                      </w:tcPr>
                      <w:p>
                        <w:pPr/>
                      </w:p>
                    </w:tc>
                    <w:tc>
                      <w:tcPr>
                        <w:tcW w:w="748" w:type="dxa"/>
                        <w:vMerge/>
                        <w:tcBorders>
                          <w:left w:val="single" w:sz="4" w:space="0" w:color="000000"/>
                          <w:bottom w:val="single" w:sz="4" w:space="0" w:color="000000"/>
                          <w:right w:val="single" w:sz="4" w:space="0" w:color="000000"/>
                        </w:tcBorders>
                      </w:tcPr>
                      <w:p>
                        <w:pPr/>
                      </w:p>
                    </w:tc>
                    <w:tc>
                      <w:tcPr>
                        <w:tcW w:w="582"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1026"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9"/>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号填列）</w:t>
                        </w:r>
                      </w:p>
                    </w:tc>
                    <w:tc>
                      <w:tcPr>
                        <w:tcW w:w="842" w:type="dxa"/>
                        <w:tcBorders>
                          <w:top w:val="single" w:sz="4" w:space="0" w:color="000000"/>
                          <w:left w:val="single" w:sz="13" w:space="0" w:color="D2D2D2"/>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9" w:right="0"/>
                          <w:jc w:val="left"/>
                          <w:rPr>
                            <w:rFonts w:ascii="Times New Roman" w:hAnsi="Times New Roman" w:cs="Times New Roman" w:eastAsia="Times New Roman" w:hint="default"/>
                            <w:sz w:val="18"/>
                            <w:szCs w:val="18"/>
                          </w:rPr>
                        </w:pPr>
                        <w:r>
                          <w:rPr>
                            <w:rFonts w:ascii="Times New Roman"/>
                            <w:sz w:val="18"/>
                          </w:rPr>
                          <w:t>20,307,98</w:t>
                        </w:r>
                      </w:p>
                      <w:p>
                        <w:pPr>
                          <w:pStyle w:val="TableParagraph"/>
                          <w:spacing w:line="240" w:lineRule="auto" w:before="105"/>
                          <w:ind w:left="455" w:right="0"/>
                          <w:jc w:val="left"/>
                          <w:rPr>
                            <w:rFonts w:ascii="Times New Roman" w:hAnsi="Times New Roman" w:cs="Times New Roman" w:eastAsia="Times New Roman" w:hint="default"/>
                            <w:sz w:val="18"/>
                            <w:szCs w:val="18"/>
                          </w:rPr>
                        </w:pPr>
                        <w:r>
                          <w:rPr>
                            <w:rFonts w:ascii="Times New Roman"/>
                            <w:sz w:val="18"/>
                          </w:rPr>
                          <w:t>4.12</w:t>
                        </w: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6,206,60</w:t>
                        </w:r>
                      </w:p>
                      <w:p>
                        <w:pPr>
                          <w:pStyle w:val="TableParagraph"/>
                          <w:spacing w:line="240" w:lineRule="auto" w:before="105"/>
                          <w:ind w:left="400" w:right="0"/>
                          <w:jc w:val="left"/>
                          <w:rPr>
                            <w:rFonts w:ascii="Times New Roman" w:hAnsi="Times New Roman" w:cs="Times New Roman" w:eastAsia="Times New Roman" w:hint="default"/>
                            <w:sz w:val="18"/>
                            <w:szCs w:val="18"/>
                          </w:rPr>
                        </w:pPr>
                        <w:r>
                          <w:rPr>
                            <w:rFonts w:ascii="Times New Roman"/>
                            <w:sz w:val="18"/>
                          </w:rPr>
                          <w:t>9.91</w:t>
                        </w: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66,519,</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977.68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-2,840,3</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95.95</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90,194,</w:t>
                        </w:r>
                      </w:p>
                      <w:p>
                        <w:pPr>
                          <w:pStyle w:val="TableParagraph"/>
                          <w:spacing w:line="240" w:lineRule="auto" w:before="105"/>
                          <w:ind w:left="130" w:right="0"/>
                          <w:jc w:val="left"/>
                          <w:rPr>
                            <w:rFonts w:ascii="Times New Roman" w:hAnsi="Times New Roman" w:cs="Times New Roman" w:eastAsia="Times New Roman" w:hint="default"/>
                            <w:sz w:val="18"/>
                            <w:szCs w:val="18"/>
                          </w:rPr>
                        </w:pPr>
                        <w:r>
                          <w:rPr>
                            <w:rFonts w:ascii="Times New Roman"/>
                            <w:sz w:val="18"/>
                          </w:rPr>
                          <w:t>175.76</w:t>
                        </w: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9"/>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842" w:type="dxa"/>
                        <w:tcBorders>
                          <w:top w:val="single" w:sz="4" w:space="0" w:color="000000"/>
                          <w:left w:val="single" w:sz="13" w:space="0" w:color="D2D2D2"/>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6,206,60</w:t>
                        </w:r>
                      </w:p>
                      <w:p>
                        <w:pPr>
                          <w:pStyle w:val="TableParagraph"/>
                          <w:spacing w:line="240" w:lineRule="auto" w:before="105"/>
                          <w:ind w:left="400" w:right="0"/>
                          <w:jc w:val="left"/>
                          <w:rPr>
                            <w:rFonts w:ascii="Times New Roman" w:hAnsi="Times New Roman" w:cs="Times New Roman" w:eastAsia="Times New Roman" w:hint="default"/>
                            <w:sz w:val="18"/>
                            <w:szCs w:val="18"/>
                          </w:rPr>
                        </w:pPr>
                        <w:r>
                          <w:rPr>
                            <w:rFonts w:ascii="Times New Roman"/>
                            <w:sz w:val="18"/>
                          </w:rPr>
                          <w:t>9.91</w:t>
                        </w: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80,247,</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586.32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-1,697,3</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58.73</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84,756,</w:t>
                        </w:r>
                      </w:p>
                      <w:p>
                        <w:pPr>
                          <w:pStyle w:val="TableParagraph"/>
                          <w:spacing w:line="240" w:lineRule="auto" w:before="105"/>
                          <w:ind w:left="130" w:right="0"/>
                          <w:jc w:val="left"/>
                          <w:rPr>
                            <w:rFonts w:ascii="Times New Roman" w:hAnsi="Times New Roman" w:cs="Times New Roman" w:eastAsia="Times New Roman" w:hint="default"/>
                            <w:sz w:val="18"/>
                            <w:szCs w:val="18"/>
                          </w:rPr>
                        </w:pPr>
                        <w:r>
                          <w:rPr>
                            <w:rFonts w:ascii="Times New Roman"/>
                            <w:sz w:val="18"/>
                          </w:rPr>
                          <w:t>837.50</w:t>
                        </w: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9"/>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和减少资本</w:t>
                        </w:r>
                      </w:p>
                    </w:tc>
                    <w:tc>
                      <w:tcPr>
                        <w:tcW w:w="842" w:type="dxa"/>
                        <w:tcBorders>
                          <w:top w:val="single" w:sz="4" w:space="0" w:color="000000"/>
                          <w:left w:val="single" w:sz="13" w:space="0" w:color="D2D2D2"/>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9" w:right="0"/>
                          <w:jc w:val="left"/>
                          <w:rPr>
                            <w:rFonts w:ascii="Times New Roman" w:hAnsi="Times New Roman" w:cs="Times New Roman" w:eastAsia="Times New Roman" w:hint="default"/>
                            <w:sz w:val="18"/>
                            <w:szCs w:val="18"/>
                          </w:rPr>
                        </w:pPr>
                        <w:r>
                          <w:rPr>
                            <w:rFonts w:ascii="Times New Roman"/>
                            <w:sz w:val="18"/>
                          </w:rPr>
                          <w:t>20,307,98</w:t>
                        </w:r>
                      </w:p>
                      <w:p>
                        <w:pPr>
                          <w:pStyle w:val="TableParagraph"/>
                          <w:spacing w:line="240" w:lineRule="auto" w:before="105"/>
                          <w:ind w:left="455" w:right="0"/>
                          <w:jc w:val="left"/>
                          <w:rPr>
                            <w:rFonts w:ascii="Times New Roman" w:hAnsi="Times New Roman" w:cs="Times New Roman" w:eastAsia="Times New Roman" w:hint="default"/>
                            <w:sz w:val="18"/>
                            <w:szCs w:val="18"/>
                          </w:rPr>
                        </w:pPr>
                        <w:r>
                          <w:rPr>
                            <w:rFonts w:ascii="Times New Roman"/>
                            <w:sz w:val="18"/>
                          </w:rPr>
                          <w:t>4.12</w:t>
                        </w: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-1,143,0</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37.22</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19,164,</w:t>
                        </w:r>
                      </w:p>
                      <w:p>
                        <w:pPr>
                          <w:pStyle w:val="TableParagraph"/>
                          <w:spacing w:line="240" w:lineRule="auto" w:before="105"/>
                          <w:ind w:left="130" w:right="0"/>
                          <w:jc w:val="left"/>
                          <w:rPr>
                            <w:rFonts w:ascii="Times New Roman" w:hAnsi="Times New Roman" w:cs="Times New Roman" w:eastAsia="Times New Roman" w:hint="default"/>
                            <w:sz w:val="18"/>
                            <w:szCs w:val="18"/>
                          </w:rPr>
                        </w:pPr>
                        <w:r>
                          <w:rPr>
                            <w:rFonts w:ascii="Times New Roman"/>
                            <w:sz w:val="18"/>
                          </w:rPr>
                          <w:t>946.90</w:t>
                        </w: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1" w:right="4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842" w:type="dxa"/>
                        <w:tcBorders>
                          <w:top w:val="single" w:sz="4" w:space="0" w:color="000000"/>
                          <w:left w:val="single" w:sz="13" w:space="0" w:color="D2D2D2"/>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9" w:right="0"/>
                          <w:jc w:val="left"/>
                          <w:rPr>
                            <w:rFonts w:ascii="Times New Roman" w:hAnsi="Times New Roman" w:cs="Times New Roman" w:eastAsia="Times New Roman" w:hint="default"/>
                            <w:sz w:val="18"/>
                            <w:szCs w:val="18"/>
                          </w:rPr>
                        </w:pPr>
                        <w:r>
                          <w:rPr>
                            <w:rFonts w:ascii="Times New Roman"/>
                            <w:sz w:val="18"/>
                          </w:rPr>
                          <w:t>20,307,98</w:t>
                        </w:r>
                      </w:p>
                      <w:p>
                        <w:pPr>
                          <w:pStyle w:val="TableParagraph"/>
                          <w:spacing w:line="240" w:lineRule="auto" w:before="105"/>
                          <w:ind w:left="455" w:right="0"/>
                          <w:jc w:val="left"/>
                          <w:rPr>
                            <w:rFonts w:ascii="Times New Roman" w:hAnsi="Times New Roman" w:cs="Times New Roman" w:eastAsia="Times New Roman" w:hint="default"/>
                            <w:sz w:val="18"/>
                            <w:szCs w:val="18"/>
                          </w:rPr>
                        </w:pPr>
                        <w:r>
                          <w:rPr>
                            <w:rFonts w:ascii="Times New Roman"/>
                            <w:sz w:val="18"/>
                          </w:rPr>
                          <w:t>4.12</w:t>
                        </w: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6" w:right="0"/>
                          <w:jc w:val="left"/>
                          <w:rPr>
                            <w:rFonts w:ascii="Times New Roman" w:hAnsi="Times New Roman" w:cs="Times New Roman" w:eastAsia="Times New Roman" w:hint="default"/>
                            <w:sz w:val="18"/>
                            <w:szCs w:val="18"/>
                          </w:rPr>
                        </w:pPr>
                        <w:r>
                          <w:rPr>
                            <w:rFonts w:ascii="Times New Roman"/>
                            <w:sz w:val="18"/>
                          </w:rPr>
                          <w:t>250,000</w:t>
                        </w:r>
                      </w:p>
                      <w:p>
                        <w:pPr>
                          <w:pStyle w:val="TableParagraph"/>
                          <w:spacing w:line="240" w:lineRule="auto" w:before="105"/>
                          <w:ind w:left="406" w:right="0"/>
                          <w:jc w:val="left"/>
                          <w:rPr>
                            <w:rFonts w:ascii="Times New Roman" w:hAnsi="Times New Roman" w:cs="Times New Roman" w:eastAsia="Times New Roman" w:hint="default"/>
                            <w:sz w:val="18"/>
                            <w:szCs w:val="18"/>
                          </w:rPr>
                        </w:pPr>
                        <w:r>
                          <w:rPr>
                            <w:rFonts w:ascii="Times New Roman"/>
                            <w:sz w:val="18"/>
                          </w:rPr>
                          <w:t>.00</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20,557,</w:t>
                        </w:r>
                      </w:p>
                      <w:p>
                        <w:pPr>
                          <w:pStyle w:val="TableParagraph"/>
                          <w:spacing w:line="240" w:lineRule="auto" w:before="105"/>
                          <w:ind w:left="130" w:right="0"/>
                          <w:jc w:val="left"/>
                          <w:rPr>
                            <w:rFonts w:ascii="Times New Roman" w:hAnsi="Times New Roman" w:cs="Times New Roman" w:eastAsia="Times New Roman" w:hint="default"/>
                            <w:sz w:val="18"/>
                            <w:szCs w:val="18"/>
                          </w:rPr>
                        </w:pPr>
                        <w:r>
                          <w:rPr>
                            <w:rFonts w:ascii="Times New Roman"/>
                            <w:sz w:val="18"/>
                          </w:rPr>
                          <w:t>984.12</w:t>
                        </w: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1" w:right="4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842" w:type="dxa"/>
                        <w:tcBorders>
                          <w:top w:val="single" w:sz="4" w:space="0" w:color="000000"/>
                          <w:left w:val="single" w:sz="13" w:space="0" w:color="D2D2D2"/>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42"/>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842" w:type="dxa"/>
                        <w:tcBorders>
                          <w:top w:val="single" w:sz="4" w:space="0" w:color="000000"/>
                          <w:left w:val="single" w:sz="13" w:space="0" w:color="D2D2D2"/>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842" w:type="dxa"/>
                        <w:vMerge w:val="restart"/>
                        <w:tcBorders>
                          <w:top w:val="single" w:sz="4" w:space="0" w:color="000000"/>
                          <w:left w:val="single" w:sz="9" w:space="0" w:color="D2D2D2"/>
                          <w:right w:val="single" w:sz="4" w:space="0" w:color="000000"/>
                        </w:tcBorders>
                      </w:tcPr>
                      <w:p>
                        <w:pPr/>
                      </w:p>
                    </w:tc>
                    <w:tc>
                      <w:tcPr>
                        <w:tcW w:w="426" w:type="dxa"/>
                        <w:vMerge w:val="restart"/>
                        <w:tcBorders>
                          <w:top w:val="single" w:sz="4" w:space="0" w:color="000000"/>
                          <w:left w:val="single" w:sz="4" w:space="0" w:color="000000"/>
                          <w:right w:val="single" w:sz="4" w:space="0" w:color="000000"/>
                        </w:tcBorders>
                      </w:tcPr>
                      <w:p>
                        <w:pPr/>
                      </w:p>
                    </w:tc>
                    <w:tc>
                      <w:tcPr>
                        <w:tcW w:w="425" w:type="dxa"/>
                        <w:vMerge w:val="restart"/>
                        <w:tcBorders>
                          <w:top w:val="single" w:sz="4" w:space="0" w:color="000000"/>
                          <w:left w:val="single" w:sz="4" w:space="0" w:color="000000"/>
                          <w:right w:val="single" w:sz="4" w:space="0" w:color="000000"/>
                        </w:tcBorders>
                      </w:tcPr>
                      <w:p>
                        <w:pPr/>
                      </w:p>
                    </w:tc>
                    <w:tc>
                      <w:tcPr>
                        <w:tcW w:w="474" w:type="dxa"/>
                        <w:vMerge w:val="restart"/>
                        <w:tcBorders>
                          <w:top w:val="single" w:sz="4" w:space="0" w:color="000000"/>
                          <w:left w:val="single" w:sz="4" w:space="0" w:color="000000"/>
                          <w:right w:val="single" w:sz="4" w:space="0" w:color="000000"/>
                        </w:tcBorders>
                      </w:tcPr>
                      <w:p>
                        <w:pPr/>
                      </w:p>
                    </w:tc>
                    <w:tc>
                      <w:tcPr>
                        <w:tcW w:w="803" w:type="dxa"/>
                        <w:vMerge w:val="restart"/>
                        <w:tcBorders>
                          <w:top w:val="single" w:sz="4" w:space="0" w:color="000000"/>
                          <w:left w:val="single" w:sz="4" w:space="0" w:color="000000"/>
                          <w:right w:val="single" w:sz="4" w:space="0" w:color="000000"/>
                        </w:tcBorders>
                      </w:tcPr>
                      <w:p>
                        <w:pPr/>
                      </w:p>
                    </w:tc>
                    <w:tc>
                      <w:tcPr>
                        <w:tcW w:w="527" w:type="dxa"/>
                        <w:vMerge w:val="restart"/>
                        <w:tcBorders>
                          <w:top w:val="single" w:sz="4" w:space="0" w:color="000000"/>
                          <w:left w:val="single" w:sz="4" w:space="0" w:color="000000"/>
                          <w:right w:val="single" w:sz="4" w:space="0" w:color="000000"/>
                        </w:tcBorders>
                      </w:tcPr>
                      <w:p>
                        <w:pPr/>
                      </w:p>
                    </w:tc>
                    <w:tc>
                      <w:tcPr>
                        <w:tcW w:w="748" w:type="dxa"/>
                        <w:vMerge w:val="restart"/>
                        <w:tcBorders>
                          <w:top w:val="single" w:sz="4" w:space="0" w:color="000000"/>
                          <w:left w:val="single" w:sz="4" w:space="0" w:color="000000"/>
                          <w:right w:val="single" w:sz="4" w:space="0" w:color="000000"/>
                        </w:tcBorders>
                      </w:tcPr>
                      <w:p>
                        <w:pPr/>
                      </w:p>
                    </w:tc>
                    <w:tc>
                      <w:tcPr>
                        <w:tcW w:w="582"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-1,393,0</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37.22</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-1,393,0</w:t>
                        </w:r>
                      </w:p>
                      <w:p>
                        <w:pPr>
                          <w:pStyle w:val="TableParagraph"/>
                          <w:spacing w:line="240" w:lineRule="auto" w:before="105"/>
                          <w:ind w:left="197" w:right="0"/>
                          <w:jc w:val="center"/>
                          <w:rPr>
                            <w:rFonts w:ascii="Times New Roman" w:hAnsi="Times New Roman" w:cs="Times New Roman" w:eastAsia="Times New Roman" w:hint="default"/>
                            <w:sz w:val="18"/>
                            <w:szCs w:val="18"/>
                          </w:rPr>
                        </w:pPr>
                        <w:r>
                          <w:rPr>
                            <w:rFonts w:ascii="Times New Roman"/>
                            <w:sz w:val="18"/>
                          </w:rPr>
                          <w:t>37.22</w:t>
                        </w: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842" w:type="dxa"/>
                        <w:vMerge/>
                        <w:tcBorders>
                          <w:left w:val="single" w:sz="9" w:space="0" w:color="D2D2D2"/>
                          <w:right w:val="single" w:sz="4" w:space="0" w:color="000000"/>
                        </w:tcBorders>
                      </w:tcPr>
                      <w:p>
                        <w:pPr/>
                      </w:p>
                    </w:tc>
                    <w:tc>
                      <w:tcPr>
                        <w:tcW w:w="426" w:type="dxa"/>
                        <w:vMerge/>
                        <w:tcBorders>
                          <w:left w:val="single" w:sz="4" w:space="0" w:color="000000"/>
                          <w:right w:val="single" w:sz="4" w:space="0" w:color="000000"/>
                        </w:tcBorders>
                      </w:tcPr>
                      <w:p>
                        <w:pPr/>
                      </w:p>
                    </w:tc>
                    <w:tc>
                      <w:tcPr>
                        <w:tcW w:w="425" w:type="dxa"/>
                        <w:vMerge/>
                        <w:tcBorders>
                          <w:left w:val="single" w:sz="4" w:space="0" w:color="000000"/>
                          <w:right w:val="single" w:sz="4" w:space="0" w:color="000000"/>
                        </w:tcBorders>
                      </w:tcPr>
                      <w:p>
                        <w:pPr/>
                      </w:p>
                    </w:tc>
                    <w:tc>
                      <w:tcPr>
                        <w:tcW w:w="474" w:type="dxa"/>
                        <w:vMerge/>
                        <w:tcBorders>
                          <w:left w:val="single" w:sz="4" w:space="0" w:color="000000"/>
                          <w:right w:val="single" w:sz="4" w:space="0" w:color="000000"/>
                        </w:tcBorders>
                      </w:tcPr>
                      <w:p>
                        <w:pPr/>
                      </w:p>
                    </w:tc>
                    <w:tc>
                      <w:tcPr>
                        <w:tcW w:w="803" w:type="dxa"/>
                        <w:vMerge/>
                        <w:tcBorders>
                          <w:left w:val="single" w:sz="4" w:space="0" w:color="000000"/>
                          <w:right w:val="single" w:sz="4" w:space="0" w:color="000000"/>
                        </w:tcBorders>
                      </w:tcPr>
                      <w:p>
                        <w:pPr/>
                      </w:p>
                    </w:tc>
                    <w:tc>
                      <w:tcPr>
                        <w:tcW w:w="527" w:type="dxa"/>
                        <w:vMerge/>
                        <w:tcBorders>
                          <w:left w:val="single" w:sz="4" w:space="0" w:color="000000"/>
                          <w:right w:val="single" w:sz="4" w:space="0" w:color="000000"/>
                        </w:tcBorders>
                      </w:tcPr>
                      <w:p>
                        <w:pPr/>
                      </w:p>
                    </w:tc>
                    <w:tc>
                      <w:tcPr>
                        <w:tcW w:w="748" w:type="dxa"/>
                        <w:vMerge/>
                        <w:tcBorders>
                          <w:left w:val="single" w:sz="4" w:space="0" w:color="000000"/>
                          <w:right w:val="single" w:sz="4" w:space="0" w:color="000000"/>
                        </w:tcBorders>
                      </w:tcPr>
                      <w:p>
                        <w:pPr/>
                      </w:p>
                    </w:tc>
                    <w:tc>
                      <w:tcPr>
                        <w:tcW w:w="582"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161"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842" w:type="dxa"/>
                        <w:vMerge/>
                        <w:tcBorders>
                          <w:left w:val="single" w:sz="9" w:space="0" w:color="D2D2D2"/>
                          <w:bottom w:val="single" w:sz="4" w:space="0" w:color="000000"/>
                          <w:right w:val="single" w:sz="4" w:space="0" w:color="000000"/>
                        </w:tcBorders>
                      </w:tcPr>
                      <w:p>
                        <w:pPr/>
                      </w:p>
                    </w:tc>
                    <w:tc>
                      <w:tcPr>
                        <w:tcW w:w="426" w:type="dxa"/>
                        <w:vMerge/>
                        <w:tcBorders>
                          <w:left w:val="single" w:sz="4" w:space="0" w:color="000000"/>
                          <w:bottom w:val="single" w:sz="4" w:space="0" w:color="000000"/>
                          <w:right w:val="single" w:sz="4" w:space="0" w:color="000000"/>
                        </w:tcBorders>
                      </w:tcPr>
                      <w:p>
                        <w:pPr/>
                      </w:p>
                    </w:tc>
                    <w:tc>
                      <w:tcPr>
                        <w:tcW w:w="425" w:type="dxa"/>
                        <w:vMerge/>
                        <w:tcBorders>
                          <w:left w:val="single" w:sz="4" w:space="0" w:color="000000"/>
                          <w:bottom w:val="single" w:sz="4" w:space="0" w:color="000000"/>
                          <w:right w:val="single" w:sz="4" w:space="0" w:color="000000"/>
                        </w:tcBorders>
                      </w:tcPr>
                      <w:p>
                        <w:pPr/>
                      </w:p>
                    </w:tc>
                    <w:tc>
                      <w:tcPr>
                        <w:tcW w:w="474" w:type="dxa"/>
                        <w:vMerge/>
                        <w:tcBorders>
                          <w:left w:val="single" w:sz="4" w:space="0" w:color="000000"/>
                          <w:bottom w:val="single" w:sz="4" w:space="0" w:color="000000"/>
                          <w:right w:val="single" w:sz="4" w:space="0" w:color="000000"/>
                        </w:tcBorders>
                      </w:tcPr>
                      <w:p>
                        <w:pPr/>
                      </w:p>
                    </w:tc>
                    <w:tc>
                      <w:tcPr>
                        <w:tcW w:w="803" w:type="dxa"/>
                        <w:vMerge/>
                        <w:tcBorders>
                          <w:left w:val="single" w:sz="4" w:space="0" w:color="000000"/>
                          <w:bottom w:val="single" w:sz="4" w:space="0" w:color="000000"/>
                          <w:right w:val="single" w:sz="4" w:space="0" w:color="000000"/>
                        </w:tcBorders>
                      </w:tcPr>
                      <w:p>
                        <w:pPr/>
                      </w:p>
                    </w:tc>
                    <w:tc>
                      <w:tcPr>
                        <w:tcW w:w="527" w:type="dxa"/>
                        <w:vMerge/>
                        <w:tcBorders>
                          <w:left w:val="single" w:sz="4" w:space="0" w:color="000000"/>
                          <w:bottom w:val="single" w:sz="4" w:space="0" w:color="000000"/>
                          <w:right w:val="single" w:sz="4" w:space="0" w:color="000000"/>
                        </w:tcBorders>
                      </w:tcPr>
                      <w:p>
                        <w:pPr/>
                      </w:p>
                    </w:tc>
                    <w:tc>
                      <w:tcPr>
                        <w:tcW w:w="748" w:type="dxa"/>
                        <w:vMerge/>
                        <w:tcBorders>
                          <w:left w:val="single" w:sz="4" w:space="0" w:color="000000"/>
                          <w:bottom w:val="single" w:sz="4" w:space="0" w:color="000000"/>
                          <w:right w:val="single" w:sz="4" w:space="0" w:color="000000"/>
                        </w:tcBorders>
                      </w:tcPr>
                      <w:p>
                        <w:pPr/>
                      </w:p>
                    </w:tc>
                    <w:tc>
                      <w:tcPr>
                        <w:tcW w:w="582"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161"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842" w:type="dxa"/>
                        <w:vMerge w:val="restart"/>
                        <w:tcBorders>
                          <w:top w:val="single" w:sz="4" w:space="0" w:color="000000"/>
                          <w:left w:val="single" w:sz="9" w:space="0" w:color="D2D2D2"/>
                          <w:right w:val="single" w:sz="4" w:space="0" w:color="000000"/>
                        </w:tcBorders>
                      </w:tcPr>
                      <w:p>
                        <w:pPr/>
                      </w:p>
                    </w:tc>
                    <w:tc>
                      <w:tcPr>
                        <w:tcW w:w="426" w:type="dxa"/>
                        <w:vMerge w:val="restart"/>
                        <w:tcBorders>
                          <w:top w:val="single" w:sz="4" w:space="0" w:color="000000"/>
                          <w:left w:val="single" w:sz="4" w:space="0" w:color="000000"/>
                          <w:right w:val="single" w:sz="4" w:space="0" w:color="000000"/>
                        </w:tcBorders>
                      </w:tcPr>
                      <w:p>
                        <w:pPr/>
                      </w:p>
                    </w:tc>
                    <w:tc>
                      <w:tcPr>
                        <w:tcW w:w="425" w:type="dxa"/>
                        <w:vMerge w:val="restart"/>
                        <w:tcBorders>
                          <w:top w:val="single" w:sz="4" w:space="0" w:color="000000"/>
                          <w:left w:val="single" w:sz="4" w:space="0" w:color="000000"/>
                          <w:right w:val="single" w:sz="4" w:space="0" w:color="000000"/>
                        </w:tcBorders>
                      </w:tcPr>
                      <w:p>
                        <w:pPr/>
                      </w:p>
                    </w:tc>
                    <w:tc>
                      <w:tcPr>
                        <w:tcW w:w="474" w:type="dxa"/>
                        <w:vMerge w:val="restart"/>
                        <w:tcBorders>
                          <w:top w:val="single" w:sz="4" w:space="0" w:color="000000"/>
                          <w:left w:val="single" w:sz="4" w:space="0" w:color="000000"/>
                          <w:right w:val="single" w:sz="4" w:space="0" w:color="000000"/>
                        </w:tcBorders>
                      </w:tcPr>
                      <w:p>
                        <w:pPr/>
                      </w:p>
                    </w:tc>
                    <w:tc>
                      <w:tcPr>
                        <w:tcW w:w="803" w:type="dxa"/>
                        <w:vMerge w:val="restart"/>
                        <w:tcBorders>
                          <w:top w:val="single" w:sz="4" w:space="0" w:color="000000"/>
                          <w:left w:val="single" w:sz="4" w:space="0" w:color="000000"/>
                          <w:right w:val="single" w:sz="4" w:space="0" w:color="000000"/>
                        </w:tcBorders>
                      </w:tcPr>
                      <w:p>
                        <w:pPr/>
                      </w:p>
                    </w:tc>
                    <w:tc>
                      <w:tcPr>
                        <w:tcW w:w="527" w:type="dxa"/>
                        <w:vMerge w:val="restart"/>
                        <w:tcBorders>
                          <w:top w:val="single" w:sz="4" w:space="0" w:color="000000"/>
                          <w:left w:val="single" w:sz="4" w:space="0" w:color="000000"/>
                          <w:right w:val="single" w:sz="4" w:space="0" w:color="000000"/>
                        </w:tcBorders>
                      </w:tcPr>
                      <w:p>
                        <w:pPr/>
                      </w:p>
                    </w:tc>
                    <w:tc>
                      <w:tcPr>
                        <w:tcW w:w="748" w:type="dxa"/>
                        <w:vMerge w:val="restart"/>
                        <w:tcBorders>
                          <w:top w:val="single" w:sz="4" w:space="0" w:color="000000"/>
                          <w:left w:val="single" w:sz="4" w:space="0" w:color="000000"/>
                          <w:right w:val="single" w:sz="4" w:space="0" w:color="000000"/>
                        </w:tcBorders>
                      </w:tcPr>
                      <w:p>
                        <w:pPr/>
                      </w:p>
                    </w:tc>
                    <w:tc>
                      <w:tcPr>
                        <w:tcW w:w="582"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-13,727,</w:t>
                        </w:r>
                      </w:p>
                      <w:p>
                        <w:pPr>
                          <w:pStyle w:val="TableParagraph"/>
                          <w:spacing w:line="240" w:lineRule="auto" w:before="105"/>
                          <w:ind w:left="113" w:right="0"/>
                          <w:jc w:val="center"/>
                          <w:rPr>
                            <w:rFonts w:ascii="Times New Roman" w:hAnsi="Times New Roman" w:cs="Times New Roman" w:eastAsia="Times New Roman" w:hint="default"/>
                            <w:sz w:val="18"/>
                            <w:szCs w:val="18"/>
                          </w:rPr>
                        </w:pPr>
                        <w:r>
                          <w:rPr>
                            <w:rFonts w:ascii="Times New Roman"/>
                            <w:sz w:val="18"/>
                          </w:rPr>
                          <w:t>608.64</w:t>
                        </w:r>
                      </w:p>
                    </w:tc>
                    <w:tc>
                      <w:tcPr>
                        <w:tcW w:w="665" w:type="dxa"/>
                        <w:vMerge w:val="restart"/>
                        <w:tcBorders>
                          <w:top w:val="single" w:sz="4" w:space="0" w:color="000000"/>
                          <w:left w:val="single" w:sz="4" w:space="0" w:color="000000"/>
                          <w:right w:val="single" w:sz="4" w:space="0" w:color="000000"/>
                        </w:tcBorders>
                      </w:tcPr>
                      <w:p>
                        <w:pP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-13,727,</w:t>
                        </w:r>
                      </w:p>
                      <w:p>
                        <w:pPr>
                          <w:pStyle w:val="TableParagraph"/>
                          <w:spacing w:line="240" w:lineRule="auto" w:before="105"/>
                          <w:ind w:left="107" w:right="0"/>
                          <w:jc w:val="center"/>
                          <w:rPr>
                            <w:rFonts w:ascii="Times New Roman" w:hAnsi="Times New Roman" w:cs="Times New Roman" w:eastAsia="Times New Roman" w:hint="default"/>
                            <w:sz w:val="18"/>
                            <w:szCs w:val="18"/>
                          </w:rPr>
                        </w:pPr>
                        <w:r>
                          <w:rPr>
                            <w:rFonts w:ascii="Times New Roman"/>
                            <w:sz w:val="18"/>
                          </w:rPr>
                          <w:t>608.64</w:t>
                        </w: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842" w:type="dxa"/>
                        <w:vMerge/>
                        <w:tcBorders>
                          <w:left w:val="single" w:sz="9" w:space="0" w:color="D2D2D2"/>
                          <w:right w:val="single" w:sz="4" w:space="0" w:color="000000"/>
                        </w:tcBorders>
                      </w:tcPr>
                      <w:p>
                        <w:pPr/>
                      </w:p>
                    </w:tc>
                    <w:tc>
                      <w:tcPr>
                        <w:tcW w:w="426" w:type="dxa"/>
                        <w:vMerge/>
                        <w:tcBorders>
                          <w:left w:val="single" w:sz="4" w:space="0" w:color="000000"/>
                          <w:right w:val="single" w:sz="4" w:space="0" w:color="000000"/>
                        </w:tcBorders>
                      </w:tcPr>
                      <w:p>
                        <w:pPr/>
                      </w:p>
                    </w:tc>
                    <w:tc>
                      <w:tcPr>
                        <w:tcW w:w="425" w:type="dxa"/>
                        <w:vMerge/>
                        <w:tcBorders>
                          <w:left w:val="single" w:sz="4" w:space="0" w:color="000000"/>
                          <w:right w:val="single" w:sz="4" w:space="0" w:color="000000"/>
                        </w:tcBorders>
                      </w:tcPr>
                      <w:p>
                        <w:pPr/>
                      </w:p>
                    </w:tc>
                    <w:tc>
                      <w:tcPr>
                        <w:tcW w:w="474" w:type="dxa"/>
                        <w:vMerge/>
                        <w:tcBorders>
                          <w:left w:val="single" w:sz="4" w:space="0" w:color="000000"/>
                          <w:right w:val="single" w:sz="4" w:space="0" w:color="000000"/>
                        </w:tcBorders>
                      </w:tcPr>
                      <w:p>
                        <w:pPr/>
                      </w:p>
                    </w:tc>
                    <w:tc>
                      <w:tcPr>
                        <w:tcW w:w="803" w:type="dxa"/>
                        <w:vMerge/>
                        <w:tcBorders>
                          <w:left w:val="single" w:sz="4" w:space="0" w:color="000000"/>
                          <w:right w:val="single" w:sz="4" w:space="0" w:color="000000"/>
                        </w:tcBorders>
                      </w:tcPr>
                      <w:p>
                        <w:pPr/>
                      </w:p>
                    </w:tc>
                    <w:tc>
                      <w:tcPr>
                        <w:tcW w:w="527" w:type="dxa"/>
                        <w:vMerge/>
                        <w:tcBorders>
                          <w:left w:val="single" w:sz="4" w:space="0" w:color="000000"/>
                          <w:right w:val="single" w:sz="4" w:space="0" w:color="000000"/>
                        </w:tcBorders>
                      </w:tcPr>
                      <w:p>
                        <w:pPr/>
                      </w:p>
                    </w:tc>
                    <w:tc>
                      <w:tcPr>
                        <w:tcW w:w="748" w:type="dxa"/>
                        <w:vMerge/>
                        <w:tcBorders>
                          <w:left w:val="single" w:sz="4" w:space="0" w:color="000000"/>
                          <w:right w:val="single" w:sz="4" w:space="0" w:color="000000"/>
                        </w:tcBorders>
                      </w:tcPr>
                      <w:p>
                        <w:pPr/>
                      </w:p>
                    </w:tc>
                    <w:tc>
                      <w:tcPr>
                        <w:tcW w:w="582"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161"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842" w:type="dxa"/>
                        <w:vMerge/>
                        <w:tcBorders>
                          <w:left w:val="single" w:sz="9" w:space="0" w:color="D2D2D2"/>
                          <w:bottom w:val="single" w:sz="4" w:space="0" w:color="000000"/>
                          <w:right w:val="single" w:sz="4" w:space="0" w:color="000000"/>
                        </w:tcBorders>
                      </w:tcPr>
                      <w:p>
                        <w:pPr/>
                      </w:p>
                    </w:tc>
                    <w:tc>
                      <w:tcPr>
                        <w:tcW w:w="426" w:type="dxa"/>
                        <w:vMerge/>
                        <w:tcBorders>
                          <w:left w:val="single" w:sz="4" w:space="0" w:color="000000"/>
                          <w:bottom w:val="single" w:sz="4" w:space="0" w:color="000000"/>
                          <w:right w:val="single" w:sz="4" w:space="0" w:color="000000"/>
                        </w:tcBorders>
                      </w:tcPr>
                      <w:p>
                        <w:pPr/>
                      </w:p>
                    </w:tc>
                    <w:tc>
                      <w:tcPr>
                        <w:tcW w:w="425" w:type="dxa"/>
                        <w:vMerge/>
                        <w:tcBorders>
                          <w:left w:val="single" w:sz="4" w:space="0" w:color="000000"/>
                          <w:bottom w:val="single" w:sz="4" w:space="0" w:color="000000"/>
                          <w:right w:val="single" w:sz="4" w:space="0" w:color="000000"/>
                        </w:tcBorders>
                      </w:tcPr>
                      <w:p>
                        <w:pPr/>
                      </w:p>
                    </w:tc>
                    <w:tc>
                      <w:tcPr>
                        <w:tcW w:w="474" w:type="dxa"/>
                        <w:vMerge/>
                        <w:tcBorders>
                          <w:left w:val="single" w:sz="4" w:space="0" w:color="000000"/>
                          <w:bottom w:val="single" w:sz="4" w:space="0" w:color="000000"/>
                          <w:right w:val="single" w:sz="4" w:space="0" w:color="000000"/>
                        </w:tcBorders>
                      </w:tcPr>
                      <w:p>
                        <w:pPr/>
                      </w:p>
                    </w:tc>
                    <w:tc>
                      <w:tcPr>
                        <w:tcW w:w="803" w:type="dxa"/>
                        <w:vMerge/>
                        <w:tcBorders>
                          <w:left w:val="single" w:sz="4" w:space="0" w:color="000000"/>
                          <w:bottom w:val="single" w:sz="4" w:space="0" w:color="000000"/>
                          <w:right w:val="single" w:sz="4" w:space="0" w:color="000000"/>
                        </w:tcBorders>
                      </w:tcPr>
                      <w:p>
                        <w:pPr/>
                      </w:p>
                    </w:tc>
                    <w:tc>
                      <w:tcPr>
                        <w:tcW w:w="527" w:type="dxa"/>
                        <w:vMerge/>
                        <w:tcBorders>
                          <w:left w:val="single" w:sz="4" w:space="0" w:color="000000"/>
                          <w:bottom w:val="single" w:sz="4" w:space="0" w:color="000000"/>
                          <w:right w:val="single" w:sz="4" w:space="0" w:color="000000"/>
                        </w:tcBorders>
                      </w:tcPr>
                      <w:p>
                        <w:pPr/>
                      </w:p>
                    </w:tc>
                    <w:tc>
                      <w:tcPr>
                        <w:tcW w:w="748" w:type="dxa"/>
                        <w:vMerge/>
                        <w:tcBorders>
                          <w:left w:val="single" w:sz="4" w:space="0" w:color="000000"/>
                          <w:bottom w:val="single" w:sz="4" w:space="0" w:color="000000"/>
                          <w:right w:val="single" w:sz="4" w:space="0" w:color="000000"/>
                        </w:tcBorders>
                      </w:tcPr>
                      <w:p>
                        <w:pPr/>
                      </w:p>
                    </w:tc>
                    <w:tc>
                      <w:tcPr>
                        <w:tcW w:w="582"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402"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842" w:type="dxa"/>
                        <w:tcBorders>
                          <w:top w:val="single" w:sz="4" w:space="0" w:color="000000"/>
                          <w:left w:val="single" w:sz="13" w:space="0" w:color="D2D2D2"/>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1" w:right="4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842" w:type="dxa"/>
                        <w:tcBorders>
                          <w:top w:val="single" w:sz="4" w:space="0" w:color="000000"/>
                          <w:left w:val="single" w:sz="13" w:space="0" w:color="D2D2D2"/>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1" w:right="42"/>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842" w:type="dxa"/>
                        <w:tcBorders>
                          <w:top w:val="single" w:sz="4" w:space="0" w:color="000000"/>
                          <w:left w:val="single" w:sz="13" w:space="0" w:color="D2D2D2"/>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-13,727,</w:t>
                        </w:r>
                      </w:p>
                      <w:p>
                        <w:pPr>
                          <w:pStyle w:val="TableParagraph"/>
                          <w:spacing w:line="240" w:lineRule="auto" w:before="105"/>
                          <w:ind w:left="113" w:right="0"/>
                          <w:jc w:val="center"/>
                          <w:rPr>
                            <w:rFonts w:ascii="Times New Roman" w:hAnsi="Times New Roman" w:cs="Times New Roman" w:eastAsia="Times New Roman" w:hint="default"/>
                            <w:sz w:val="18"/>
                            <w:szCs w:val="18"/>
                          </w:rPr>
                        </w:pPr>
                        <w:r>
                          <w:rPr>
                            <w:rFonts w:ascii="Times New Roman"/>
                            <w:sz w:val="18"/>
                          </w:rPr>
                          <w:t>608.64</w:t>
                        </w: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-13,727,</w:t>
                        </w:r>
                      </w:p>
                      <w:p>
                        <w:pPr>
                          <w:pStyle w:val="TableParagraph"/>
                          <w:spacing w:line="240" w:lineRule="auto" w:before="105"/>
                          <w:ind w:left="107" w:right="0"/>
                          <w:jc w:val="center"/>
                          <w:rPr>
                            <w:rFonts w:ascii="Times New Roman" w:hAnsi="Times New Roman" w:cs="Times New Roman" w:eastAsia="Times New Roman" w:hint="default"/>
                            <w:sz w:val="18"/>
                            <w:szCs w:val="18"/>
                          </w:rPr>
                        </w:pPr>
                        <w:r>
                          <w:rPr>
                            <w:rFonts w:ascii="Times New Roman"/>
                            <w:sz w:val="18"/>
                          </w:rPr>
                          <w:t>608.64</w:t>
                        </w:r>
                      </w:p>
                    </w:tc>
                  </w:tr>
                  <w:tr>
                    <w:trPr>
                      <w:trHeight w:val="402"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842" w:type="dxa"/>
                        <w:tcBorders>
                          <w:top w:val="single" w:sz="4" w:space="0" w:color="000000"/>
                          <w:left w:val="single" w:sz="13" w:space="0" w:color="D2D2D2"/>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bl>
                <w:p>
                  <w:pPr/>
                </w:p>
              </w:txbxContent>
            </v:textbox>
            <w10:wrap type="none"/>
          </v:shape>
        </w:pict>
      </w:r>
    </w:p>
    <w:p>
      <w:pPr>
        <w:spacing w:after="0" w:line="240" w:lineRule="auto"/>
        <w:rPr>
          <w:rFonts w:ascii="Times New Roman" w:hAnsi="Times New Roman" w:cs="Times New Roman" w:eastAsia="Times New Roman" w:hint="default"/>
          <w:sz w:val="17"/>
          <w:szCs w:val="17"/>
        </w:rPr>
        <w:sectPr>
          <w:pgSz w:w="11910" w:h="16840"/>
          <w:pgMar w:header="851" w:footer="979" w:top="1460" w:bottom="1160" w:left="1020" w:right="0"/>
        </w:sectPr>
      </w:pPr>
    </w:p>
    <w:p>
      <w:pPr>
        <w:spacing w:line="240" w:lineRule="auto" w:before="9"/>
        <w:rPr>
          <w:rFonts w:ascii="Times New Roman" w:hAnsi="Times New Roman" w:cs="Times New Roman" w:eastAsia="Times New Roman"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1438"/>
        <w:gridCol w:w="830"/>
        <w:gridCol w:w="426"/>
        <w:gridCol w:w="425"/>
        <w:gridCol w:w="474"/>
        <w:gridCol w:w="803"/>
        <w:gridCol w:w="527"/>
        <w:gridCol w:w="748"/>
        <w:gridCol w:w="582"/>
        <w:gridCol w:w="664"/>
        <w:gridCol w:w="666"/>
        <w:gridCol w:w="665"/>
        <w:gridCol w:w="665"/>
        <w:gridCol w:w="659"/>
      </w:tblGrid>
      <w:tr>
        <w:trPr>
          <w:trHeight w:val="726" w:hRule="exact"/>
        </w:trPr>
        <w:tc>
          <w:tcPr>
            <w:tcW w:w="1438"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7"/>
              <w:ind w:left="22"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内部结转</w:t>
            </w:r>
          </w:p>
        </w:tc>
        <w:tc>
          <w:tcPr>
            <w:tcW w:w="830" w:type="dxa"/>
            <w:tcBorders>
              <w:top w:val="single" w:sz="10" w:space="0" w:color="000000"/>
              <w:left w:val="single" w:sz="4" w:space="0" w:color="000000"/>
              <w:bottom w:val="single" w:sz="4" w:space="0" w:color="000000"/>
              <w:right w:val="single" w:sz="4" w:space="0" w:color="000000"/>
            </w:tcBorders>
          </w:tcPr>
          <w:p>
            <w:pPr/>
          </w:p>
        </w:tc>
        <w:tc>
          <w:tcPr>
            <w:tcW w:w="426" w:type="dxa"/>
            <w:tcBorders>
              <w:top w:val="single" w:sz="10" w:space="0" w:color="000000"/>
              <w:left w:val="single" w:sz="4" w:space="0" w:color="000000"/>
              <w:bottom w:val="single" w:sz="4" w:space="0" w:color="000000"/>
              <w:right w:val="single" w:sz="4" w:space="0" w:color="000000"/>
            </w:tcBorders>
          </w:tcPr>
          <w:p>
            <w:pPr/>
          </w:p>
        </w:tc>
        <w:tc>
          <w:tcPr>
            <w:tcW w:w="425" w:type="dxa"/>
            <w:tcBorders>
              <w:top w:val="single" w:sz="10" w:space="0" w:color="000000"/>
              <w:left w:val="single" w:sz="4" w:space="0" w:color="000000"/>
              <w:bottom w:val="single" w:sz="4" w:space="0" w:color="000000"/>
              <w:right w:val="single" w:sz="4" w:space="0" w:color="000000"/>
            </w:tcBorders>
          </w:tcPr>
          <w:p>
            <w:pPr/>
          </w:p>
        </w:tc>
        <w:tc>
          <w:tcPr>
            <w:tcW w:w="474" w:type="dxa"/>
            <w:tcBorders>
              <w:top w:val="single" w:sz="10" w:space="0" w:color="000000"/>
              <w:left w:val="single" w:sz="4" w:space="0" w:color="000000"/>
              <w:bottom w:val="single" w:sz="4" w:space="0" w:color="000000"/>
              <w:right w:val="single" w:sz="4" w:space="0" w:color="000000"/>
            </w:tcBorders>
          </w:tcPr>
          <w:p>
            <w:pPr/>
          </w:p>
        </w:tc>
        <w:tc>
          <w:tcPr>
            <w:tcW w:w="803" w:type="dxa"/>
            <w:tcBorders>
              <w:top w:val="single" w:sz="10" w:space="0" w:color="000000"/>
              <w:left w:val="single" w:sz="4" w:space="0" w:color="000000"/>
              <w:bottom w:val="single" w:sz="4" w:space="0" w:color="000000"/>
              <w:right w:val="single" w:sz="4" w:space="0" w:color="000000"/>
            </w:tcBorders>
          </w:tcPr>
          <w:p>
            <w:pPr/>
          </w:p>
        </w:tc>
        <w:tc>
          <w:tcPr>
            <w:tcW w:w="527" w:type="dxa"/>
            <w:tcBorders>
              <w:top w:val="single" w:sz="10" w:space="0" w:color="000000"/>
              <w:left w:val="single" w:sz="4" w:space="0" w:color="000000"/>
              <w:bottom w:val="single" w:sz="4" w:space="0" w:color="000000"/>
              <w:right w:val="single" w:sz="4" w:space="0" w:color="000000"/>
            </w:tcBorders>
          </w:tcPr>
          <w:p>
            <w:pPr/>
          </w:p>
        </w:tc>
        <w:tc>
          <w:tcPr>
            <w:tcW w:w="748" w:type="dxa"/>
            <w:tcBorders>
              <w:top w:val="single" w:sz="10" w:space="0" w:color="000000"/>
              <w:left w:val="single" w:sz="4" w:space="0" w:color="000000"/>
              <w:bottom w:val="single" w:sz="4" w:space="0" w:color="000000"/>
              <w:right w:val="single" w:sz="4" w:space="0" w:color="000000"/>
            </w:tcBorders>
          </w:tcPr>
          <w:p>
            <w:pPr/>
          </w:p>
        </w:tc>
        <w:tc>
          <w:tcPr>
            <w:tcW w:w="582" w:type="dxa"/>
            <w:tcBorders>
              <w:top w:val="single" w:sz="10" w:space="0" w:color="000000"/>
              <w:left w:val="single" w:sz="4" w:space="0" w:color="000000"/>
              <w:bottom w:val="single" w:sz="4" w:space="0" w:color="000000"/>
              <w:right w:val="single" w:sz="4" w:space="0" w:color="000000"/>
            </w:tcBorders>
          </w:tcPr>
          <w:p>
            <w:pPr/>
          </w:p>
        </w:tc>
        <w:tc>
          <w:tcPr>
            <w:tcW w:w="664" w:type="dxa"/>
            <w:tcBorders>
              <w:top w:val="single" w:sz="10" w:space="0" w:color="000000"/>
              <w:left w:val="single" w:sz="4" w:space="0" w:color="000000"/>
              <w:bottom w:val="single" w:sz="4" w:space="0" w:color="000000"/>
              <w:right w:val="single" w:sz="4" w:space="0" w:color="000000"/>
            </w:tcBorders>
          </w:tcPr>
          <w:p>
            <w:pPr/>
          </w:p>
        </w:tc>
        <w:tc>
          <w:tcPr>
            <w:tcW w:w="666"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659" w:type="dxa"/>
            <w:tcBorders>
              <w:top w:val="single" w:sz="10"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830"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830"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830"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2"/>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 收益</w:t>
            </w:r>
          </w:p>
        </w:tc>
        <w:tc>
          <w:tcPr>
            <w:tcW w:w="830"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830"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830"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830"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830"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830" w:type="dxa"/>
            <w:tcBorders>
              <w:top w:val="single" w:sz="4" w:space="0" w:color="000000"/>
              <w:left w:val="single" w:sz="4" w:space="0" w:color="000000"/>
              <w:bottom w:val="single" w:sz="4" w:space="0" w:color="000000"/>
              <w:right w:val="single" w:sz="4" w:space="0" w:color="000000"/>
            </w:tcBorders>
          </w:tcPr>
          <w:p>
            <w:pP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1,961,091,</w:t>
            </w:r>
          </w:p>
          <w:p>
            <w:pPr>
              <w:pStyle w:val="TableParagraph"/>
              <w:spacing w:line="240" w:lineRule="auto" w:before="106"/>
              <w:ind w:left="303" w:right="0"/>
              <w:jc w:val="left"/>
              <w:rPr>
                <w:rFonts w:ascii="Times New Roman" w:hAnsi="Times New Roman" w:cs="Times New Roman" w:eastAsia="Times New Roman" w:hint="default"/>
                <w:sz w:val="18"/>
                <w:szCs w:val="18"/>
              </w:rPr>
            </w:pPr>
            <w:r>
              <w:rPr>
                <w:rFonts w:ascii="Times New Roman"/>
                <w:sz w:val="18"/>
              </w:rPr>
              <w:t>984.00</w:t>
            </w:r>
          </w:p>
        </w:tc>
        <w:tc>
          <w:tcPr>
            <w:tcW w:w="426"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74" w:type="dxa"/>
            <w:tcBorders>
              <w:top w:val="single" w:sz="4" w:space="0" w:color="000000"/>
              <w:left w:val="single" w:sz="4" w:space="0" w:color="000000"/>
              <w:bottom w:val="single" w:sz="4" w:space="0" w:color="000000"/>
              <w:right w:val="single" w:sz="4" w:space="0" w:color="000000"/>
            </w:tcBorders>
          </w:tcPr>
          <w:p>
            <w:pPr/>
          </w:p>
        </w:tc>
        <w:tc>
          <w:tcPr>
            <w:tcW w:w="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9" w:right="0"/>
              <w:jc w:val="left"/>
              <w:rPr>
                <w:rFonts w:ascii="Times New Roman" w:hAnsi="Times New Roman" w:cs="Times New Roman" w:eastAsia="Times New Roman" w:hint="default"/>
                <w:sz w:val="18"/>
                <w:szCs w:val="18"/>
              </w:rPr>
            </w:pPr>
            <w:r>
              <w:rPr>
                <w:rFonts w:ascii="Times New Roman"/>
                <w:sz w:val="18"/>
              </w:rPr>
              <w:t>447,563,7</w:t>
            </w:r>
          </w:p>
          <w:p>
            <w:pPr>
              <w:pStyle w:val="TableParagraph"/>
              <w:spacing w:line="240" w:lineRule="auto" w:before="106"/>
              <w:ind w:left="365" w:right="0"/>
              <w:jc w:val="left"/>
              <w:rPr>
                <w:rFonts w:ascii="Times New Roman" w:hAnsi="Times New Roman" w:cs="Times New Roman" w:eastAsia="Times New Roman" w:hint="default"/>
                <w:sz w:val="18"/>
                <w:szCs w:val="18"/>
              </w:rPr>
            </w:pPr>
            <w:r>
              <w:rPr>
                <w:rFonts w:ascii="Times New Roman"/>
                <w:sz w:val="18"/>
              </w:rPr>
              <w:t>21.16</w:t>
            </w:r>
          </w:p>
        </w:tc>
        <w:tc>
          <w:tcPr>
            <w:tcW w:w="527" w:type="dxa"/>
            <w:tcBorders>
              <w:top w:val="single" w:sz="4" w:space="0" w:color="000000"/>
              <w:left w:val="single" w:sz="4" w:space="0" w:color="000000"/>
              <w:bottom w:val="single" w:sz="4" w:space="0" w:color="000000"/>
              <w:right w:val="single" w:sz="4" w:space="0" w:color="000000"/>
            </w:tcBorders>
          </w:tcPr>
          <w:p>
            <w:pPr/>
          </w:p>
        </w:tc>
        <w:tc>
          <w:tcPr>
            <w:tcW w:w="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1,920,43</w:t>
            </w:r>
          </w:p>
          <w:p>
            <w:pPr>
              <w:pStyle w:val="TableParagraph"/>
              <w:spacing w:line="240" w:lineRule="auto" w:before="106"/>
              <w:ind w:left="400" w:right="0"/>
              <w:jc w:val="left"/>
              <w:rPr>
                <w:rFonts w:ascii="Times New Roman" w:hAnsi="Times New Roman" w:cs="Times New Roman" w:eastAsia="Times New Roman" w:hint="default"/>
                <w:sz w:val="18"/>
                <w:szCs w:val="18"/>
              </w:rPr>
            </w:pPr>
            <w:r>
              <w:rPr>
                <w:rFonts w:ascii="Times New Roman"/>
                <w:sz w:val="18"/>
              </w:rPr>
              <w:t>6.00</w:t>
            </w:r>
          </w:p>
        </w:tc>
        <w:tc>
          <w:tcPr>
            <w:tcW w:w="582"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231,293</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,196.44</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2,597,3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64,473.</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99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-9,065,5</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14.58</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5,230,1</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68,297.</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01</w:t>
            </w:r>
          </w:p>
        </w:tc>
      </w:tr>
    </w:tbl>
    <w:p>
      <w:pPr>
        <w:pStyle w:val="BodyText"/>
        <w:spacing w:line="240" w:lineRule="auto" w:before="51"/>
        <w:ind w:left="114" w:right="1276"/>
        <w:jc w:val="left"/>
      </w:pPr>
      <w:r>
        <w:rPr/>
        <w:t>上期金额</w:t>
      </w:r>
    </w:p>
    <w:p>
      <w:pPr>
        <w:pStyle w:val="BodyText"/>
        <w:spacing w:line="240" w:lineRule="auto" w:before="117"/>
        <w:ind w:left="0" w:right="1130"/>
        <w:jc w:val="right"/>
      </w:pPr>
      <w:r>
        <w:rPr/>
        <w:t>单位：元</w:t>
      </w:r>
    </w:p>
    <w:p>
      <w:pPr>
        <w:spacing w:line="240" w:lineRule="auto" w:before="0"/>
        <w:rPr>
          <w:rFonts w:ascii="宋体" w:hAnsi="宋体" w:cs="宋体" w:eastAsia="宋体" w:hint="default"/>
          <w:sz w:val="8"/>
          <w:szCs w:val="8"/>
        </w:rPr>
      </w:pPr>
    </w:p>
    <w:tbl>
      <w:tblPr>
        <w:tblW w:w="0" w:type="auto"/>
        <w:jc w:val="left"/>
        <w:tblInd w:w="120" w:type="dxa"/>
        <w:tblLayout w:type="fixed"/>
        <w:tblCellMar>
          <w:top w:w="0" w:type="dxa"/>
          <w:left w:w="0" w:type="dxa"/>
          <w:bottom w:w="0" w:type="dxa"/>
          <w:right w:w="0" w:type="dxa"/>
        </w:tblCellMar>
        <w:tblLook w:val="01E0"/>
      </w:tblPr>
      <w:tblGrid>
        <w:gridCol w:w="1427"/>
        <w:gridCol w:w="562"/>
        <w:gridCol w:w="530"/>
        <w:gridCol w:w="532"/>
        <w:gridCol w:w="530"/>
        <w:gridCol w:w="665"/>
        <w:gridCol w:w="665"/>
        <w:gridCol w:w="665"/>
        <w:gridCol w:w="665"/>
        <w:gridCol w:w="665"/>
        <w:gridCol w:w="665"/>
        <w:gridCol w:w="678"/>
        <w:gridCol w:w="652"/>
        <w:gridCol w:w="659"/>
      </w:tblGrid>
      <w:tr>
        <w:trPr>
          <w:trHeight w:val="402" w:hRule="exact"/>
        </w:trPr>
        <w:tc>
          <w:tcPr>
            <w:tcW w:w="1427" w:type="dxa"/>
            <w:vMerge w:val="restart"/>
            <w:tcBorders>
              <w:top w:val="single" w:sz="4" w:space="0" w:color="000000"/>
              <w:left w:val="single" w:sz="4" w:space="0" w:color="000000"/>
              <w:right w:val="single" w:sz="4" w:space="0" w:color="000000"/>
            </w:tcBorders>
            <w:shd w:val="clear" w:color="auto" w:fill="D2D2D2"/>
          </w:tcPr>
          <w:p>
            <w:pPr/>
          </w:p>
        </w:tc>
        <w:tc>
          <w:tcPr>
            <w:tcW w:w="8132"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251" w:hRule="exact"/>
        </w:trPr>
        <w:tc>
          <w:tcPr>
            <w:tcW w:w="1427" w:type="dxa"/>
            <w:vMerge/>
            <w:tcBorders>
              <w:left w:val="single" w:sz="4" w:space="0" w:color="000000"/>
              <w:right w:val="single" w:sz="4" w:space="0" w:color="000000"/>
            </w:tcBorders>
            <w:shd w:val="clear" w:color="auto" w:fill="D2D2D2"/>
          </w:tcPr>
          <w:p>
            <w:pPr/>
          </w:p>
        </w:tc>
        <w:tc>
          <w:tcPr>
            <w:tcW w:w="6822" w:type="dxa"/>
            <w:gridSpan w:val="11"/>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52" w:type="dxa"/>
            <w:vMerge w:val="restart"/>
            <w:tcBorders>
              <w:top w:val="single" w:sz="4" w:space="0" w:color="000000"/>
              <w:left w:val="single" w:sz="4" w:space="0" w:color="000000"/>
              <w:right w:val="single" w:sz="4" w:space="0" w:color="000000"/>
            </w:tcBorders>
            <w:shd w:val="clear" w:color="auto" w:fill="D2D2D2"/>
          </w:tcPr>
          <w:p>
            <w:pPr/>
          </w:p>
        </w:tc>
        <w:tc>
          <w:tcPr>
            <w:tcW w:w="65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1" w:hRule="exact"/>
        </w:trPr>
        <w:tc>
          <w:tcPr>
            <w:tcW w:w="1427" w:type="dxa"/>
            <w:vMerge/>
            <w:tcBorders>
              <w:left w:val="single" w:sz="4" w:space="0" w:color="000000"/>
              <w:bottom w:val="nil" w:sz="6" w:space="0" w:color="auto"/>
              <w:right w:val="single" w:sz="4" w:space="0" w:color="000000"/>
            </w:tcBorders>
            <w:shd w:val="clear" w:color="auto" w:fill="D2D2D2"/>
          </w:tcPr>
          <w:p>
            <w:pPr/>
          </w:p>
        </w:tc>
        <w:tc>
          <w:tcPr>
            <w:tcW w:w="6822" w:type="dxa"/>
            <w:gridSpan w:val="11"/>
            <w:vMerge/>
            <w:tcBorders>
              <w:left w:val="single" w:sz="4" w:space="0" w:color="000000"/>
              <w:bottom w:val="single" w:sz="4" w:space="0" w:color="000000"/>
              <w:right w:val="single" w:sz="4" w:space="0" w:color="000000"/>
            </w:tcBorders>
            <w:shd w:val="clear" w:color="auto" w:fill="D2D2D2"/>
          </w:tcPr>
          <w:p>
            <w:pPr/>
          </w:p>
        </w:tc>
        <w:tc>
          <w:tcPr>
            <w:tcW w:w="652" w:type="dxa"/>
            <w:vMerge/>
            <w:tcBorders>
              <w:left w:val="single" w:sz="4" w:space="0" w:color="000000"/>
              <w:bottom w:val="nil" w:sz="6" w:space="0" w:color="auto"/>
              <w:right w:val="single" w:sz="4" w:space="0" w:color="000000"/>
            </w:tcBorders>
            <w:shd w:val="clear" w:color="auto" w:fill="D2D2D2"/>
          </w:tcPr>
          <w:p>
            <w:pPr/>
          </w:p>
        </w:tc>
        <w:tc>
          <w:tcPr>
            <w:tcW w:w="659"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3" w:right="53"/>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206" w:hRule="exact"/>
        </w:trPr>
        <w:tc>
          <w:tcPr>
            <w:tcW w:w="142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562" w:type="dxa"/>
            <w:vMerge w:val="restart"/>
            <w:tcBorders>
              <w:top w:val="single" w:sz="4" w:space="0" w:color="000000"/>
              <w:left w:val="single" w:sz="4" w:space="0" w:color="000000"/>
              <w:right w:val="single" w:sz="4" w:space="0" w:color="000000"/>
            </w:tcBorders>
            <w:shd w:val="clear" w:color="auto" w:fill="D2D2D2"/>
          </w:tcPr>
          <w:p>
            <w:pPr/>
          </w:p>
        </w:tc>
        <w:tc>
          <w:tcPr>
            <w:tcW w:w="159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50"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78" w:type="dxa"/>
            <w:tcBorders>
              <w:top w:val="single" w:sz="4" w:space="0" w:color="000000"/>
              <w:left w:val="single" w:sz="4" w:space="0" w:color="000000"/>
              <w:bottom w:val="nil" w:sz="6" w:space="0" w:color="auto"/>
              <w:right w:val="single" w:sz="4" w:space="0" w:color="000000"/>
            </w:tcBorders>
            <w:shd w:val="clear" w:color="auto" w:fill="D2D2D2"/>
          </w:tcPr>
          <w:p>
            <w:pPr/>
          </w:p>
        </w:tc>
        <w:tc>
          <w:tcPr>
            <w:tcW w:w="652"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6"/>
              <w:ind w:left="50" w:right="49"/>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9" w:type="dxa"/>
            <w:vMerge/>
            <w:tcBorders>
              <w:left w:val="single" w:sz="4" w:space="0" w:color="000000"/>
              <w:right w:val="single" w:sz="4" w:space="0" w:color="000000"/>
            </w:tcBorders>
            <w:shd w:val="clear" w:color="auto" w:fill="D2D2D2"/>
          </w:tcPr>
          <w:p>
            <w:pPr/>
          </w:p>
        </w:tc>
      </w:tr>
      <w:tr>
        <w:trPr>
          <w:trHeight w:val="174" w:hRule="exact"/>
        </w:trPr>
        <w:tc>
          <w:tcPr>
            <w:tcW w:w="1427" w:type="dxa"/>
            <w:vMerge/>
            <w:tcBorders>
              <w:left w:val="single" w:sz="4" w:space="0" w:color="000000"/>
              <w:bottom w:val="nil" w:sz="6" w:space="0" w:color="auto"/>
              <w:right w:val="single" w:sz="4" w:space="0" w:color="000000"/>
            </w:tcBorders>
            <w:shd w:val="clear" w:color="auto" w:fill="D2D2D2"/>
          </w:tcPr>
          <w:p>
            <w:pPr/>
          </w:p>
        </w:tc>
        <w:tc>
          <w:tcPr>
            <w:tcW w:w="562" w:type="dxa"/>
            <w:vMerge/>
            <w:tcBorders>
              <w:left w:val="single" w:sz="4" w:space="0" w:color="000000"/>
              <w:bottom w:val="nil" w:sz="6" w:space="0" w:color="auto"/>
              <w:right w:val="single" w:sz="4" w:space="0" w:color="000000"/>
            </w:tcBorders>
            <w:shd w:val="clear" w:color="auto" w:fill="D2D2D2"/>
          </w:tcPr>
          <w:p>
            <w:pPr/>
          </w:p>
        </w:tc>
        <w:tc>
          <w:tcPr>
            <w:tcW w:w="1592" w:type="dxa"/>
            <w:gridSpan w:val="3"/>
            <w:vMerge/>
            <w:tcBorders>
              <w:left w:val="single" w:sz="4" w:space="0" w:color="000000"/>
              <w:bottom w:val="single" w:sz="4" w:space="0" w:color="000000"/>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37" w:right="57" w:hanging="181"/>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146" w:right="56"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56" w:right="56"/>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36" w:right="56"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36" w:right="56"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56" w:right="57"/>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78"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153" w:right="62"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52"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84" w:hRule="exact"/>
        </w:trPr>
        <w:tc>
          <w:tcPr>
            <w:tcW w:w="1427" w:type="dxa"/>
            <w:vMerge w:val="restart"/>
            <w:tcBorders>
              <w:top w:val="nil" w:sz="6" w:space="0" w:color="auto"/>
              <w:left w:val="single" w:sz="4" w:space="0" w:color="000000"/>
              <w:right w:val="single" w:sz="4" w:space="0" w:color="000000"/>
            </w:tcBorders>
            <w:shd w:val="clear" w:color="auto" w:fill="D2D2D2"/>
          </w:tcPr>
          <w:p>
            <w:pPr/>
          </w:p>
        </w:tc>
        <w:tc>
          <w:tcPr>
            <w:tcW w:w="5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3"/>
              <w:ind w:left="95"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3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4"/>
              <w:ind w:left="170" w:right="78"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4"/>
              <w:ind w:left="171" w:right="78"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78" w:type="dxa"/>
            <w:vMerge/>
            <w:tcBorders>
              <w:left w:val="single" w:sz="4" w:space="0" w:color="000000"/>
              <w:right w:val="single" w:sz="4" w:space="0" w:color="000000"/>
            </w:tcBorders>
            <w:shd w:val="clear" w:color="auto" w:fill="D2D2D2"/>
          </w:tcPr>
          <w:p>
            <w:pPr/>
          </w:p>
        </w:tc>
        <w:tc>
          <w:tcPr>
            <w:tcW w:w="652"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68" w:hRule="exact"/>
        </w:trPr>
        <w:tc>
          <w:tcPr>
            <w:tcW w:w="1427" w:type="dxa"/>
            <w:vMerge/>
            <w:tcBorders>
              <w:left w:val="single" w:sz="4" w:space="0" w:color="000000"/>
              <w:right w:val="single" w:sz="4" w:space="0" w:color="000000"/>
            </w:tcBorders>
            <w:shd w:val="clear" w:color="auto" w:fill="D2D2D2"/>
          </w:tcPr>
          <w:p>
            <w:pPr/>
          </w:p>
        </w:tc>
        <w:tc>
          <w:tcPr>
            <w:tcW w:w="562" w:type="dxa"/>
            <w:vMerge/>
            <w:tcBorders>
              <w:left w:val="single" w:sz="4" w:space="0" w:color="000000"/>
              <w:bottom w:val="nil" w:sz="6" w:space="0" w:color="auto"/>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8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78" w:type="dxa"/>
            <w:vMerge/>
            <w:tcBorders>
              <w:left w:val="single" w:sz="4" w:space="0" w:color="000000"/>
              <w:right w:val="single" w:sz="4" w:space="0" w:color="000000"/>
            </w:tcBorders>
            <w:shd w:val="clear" w:color="auto" w:fill="D2D2D2"/>
          </w:tcPr>
          <w:p>
            <w:pPr/>
          </w:p>
        </w:tc>
        <w:tc>
          <w:tcPr>
            <w:tcW w:w="652" w:type="dxa"/>
            <w:vMerge/>
            <w:tcBorders>
              <w:left w:val="single" w:sz="4" w:space="0" w:color="000000"/>
              <w:bottom w:val="nil" w:sz="6" w:space="0" w:color="auto"/>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56" w:hRule="exact"/>
        </w:trPr>
        <w:tc>
          <w:tcPr>
            <w:tcW w:w="1427" w:type="dxa"/>
            <w:vMerge/>
            <w:tcBorders>
              <w:left w:val="single" w:sz="4" w:space="0" w:color="000000"/>
              <w:right w:val="single" w:sz="4" w:space="0" w:color="000000"/>
            </w:tcBorders>
            <w:shd w:val="clear" w:color="auto" w:fill="D2D2D2"/>
          </w:tcPr>
          <w:p>
            <w:pPr/>
          </w:p>
        </w:tc>
        <w:tc>
          <w:tcPr>
            <w:tcW w:w="562" w:type="dxa"/>
            <w:vMerge w:val="restart"/>
            <w:tcBorders>
              <w:top w:val="nil" w:sz="6" w:space="0" w:color="auto"/>
              <w:left w:val="single" w:sz="4" w:space="0" w:color="000000"/>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78" w:type="dxa"/>
            <w:vMerge/>
            <w:tcBorders>
              <w:left w:val="single" w:sz="4" w:space="0" w:color="000000"/>
              <w:bottom w:val="nil" w:sz="6" w:space="0" w:color="auto"/>
              <w:right w:val="single" w:sz="4" w:space="0" w:color="000000"/>
            </w:tcBorders>
            <w:shd w:val="clear" w:color="auto" w:fill="D2D2D2"/>
          </w:tcPr>
          <w:p>
            <w:pPr/>
          </w:p>
        </w:tc>
        <w:tc>
          <w:tcPr>
            <w:tcW w:w="652" w:type="dxa"/>
            <w:vMerge w:val="restart"/>
            <w:tcBorders>
              <w:top w:val="nil" w:sz="6" w:space="0" w:color="auto"/>
              <w:left w:val="single" w:sz="4" w:space="0" w:color="000000"/>
              <w:right w:val="single" w:sz="4" w:space="0" w:color="000000"/>
            </w:tcBorders>
            <w:shd w:val="clear" w:color="auto" w:fill="D2D2D2"/>
          </w:tcPr>
          <w:p>
            <w:pPr/>
          </w:p>
        </w:tc>
        <w:tc>
          <w:tcPr>
            <w:tcW w:w="659" w:type="dxa"/>
            <w:vMerge/>
            <w:tcBorders>
              <w:left w:val="single" w:sz="4" w:space="0" w:color="000000"/>
              <w:bottom w:val="nil" w:sz="6" w:space="0" w:color="auto"/>
              <w:right w:val="single" w:sz="4" w:space="0" w:color="000000"/>
            </w:tcBorders>
            <w:shd w:val="clear" w:color="auto" w:fill="D2D2D2"/>
          </w:tcPr>
          <w:p>
            <w:pPr/>
          </w:p>
        </w:tc>
      </w:tr>
      <w:tr>
        <w:trPr>
          <w:trHeight w:val="228" w:hRule="exact"/>
        </w:trPr>
        <w:tc>
          <w:tcPr>
            <w:tcW w:w="1427" w:type="dxa"/>
            <w:vMerge/>
            <w:tcBorders>
              <w:left w:val="single" w:sz="4" w:space="0" w:color="000000"/>
              <w:bottom w:val="single" w:sz="4" w:space="0" w:color="000000"/>
              <w:right w:val="single" w:sz="4" w:space="0" w:color="000000"/>
            </w:tcBorders>
            <w:shd w:val="clear" w:color="auto" w:fill="D2D2D2"/>
          </w:tcPr>
          <w:p>
            <w:pPr/>
          </w:p>
        </w:tc>
        <w:tc>
          <w:tcPr>
            <w:tcW w:w="562" w:type="dxa"/>
            <w:vMerge/>
            <w:tcBorders>
              <w:left w:val="single" w:sz="4" w:space="0" w:color="000000"/>
              <w:bottom w:val="single" w:sz="4" w:space="0" w:color="000000"/>
              <w:right w:val="single" w:sz="4" w:space="0" w:color="000000"/>
            </w:tcBorders>
            <w:shd w:val="clear" w:color="auto" w:fill="D2D2D2"/>
          </w:tcPr>
          <w:p>
            <w:pPr/>
          </w:p>
        </w:tc>
        <w:tc>
          <w:tcPr>
            <w:tcW w:w="530" w:type="dxa"/>
            <w:vMerge/>
            <w:tcBorders>
              <w:left w:val="single" w:sz="4" w:space="0" w:color="000000"/>
              <w:bottom w:val="single" w:sz="4" w:space="0" w:color="000000"/>
              <w:right w:val="single" w:sz="4" w:space="0" w:color="000000"/>
            </w:tcBorders>
            <w:shd w:val="clear" w:color="auto" w:fill="D2D2D2"/>
          </w:tcPr>
          <w:p>
            <w:pPr/>
          </w:p>
        </w:tc>
        <w:tc>
          <w:tcPr>
            <w:tcW w:w="532" w:type="dxa"/>
            <w:vMerge/>
            <w:tcBorders>
              <w:left w:val="single" w:sz="4" w:space="0" w:color="000000"/>
              <w:bottom w:val="single" w:sz="4" w:space="0" w:color="000000"/>
              <w:right w:val="single" w:sz="4" w:space="0" w:color="000000"/>
            </w:tcBorders>
            <w:shd w:val="clear" w:color="auto" w:fill="D2D2D2"/>
          </w:tcPr>
          <w:p>
            <w:pPr/>
          </w:p>
        </w:tc>
        <w:tc>
          <w:tcPr>
            <w:tcW w:w="5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78" w:type="dxa"/>
            <w:tcBorders>
              <w:top w:val="nil" w:sz="6" w:space="0" w:color="auto"/>
              <w:left w:val="single" w:sz="4" w:space="0" w:color="000000"/>
              <w:bottom w:val="single" w:sz="4" w:space="0" w:color="000000"/>
              <w:right w:val="single" w:sz="4" w:space="0" w:color="000000"/>
            </w:tcBorders>
            <w:shd w:val="clear" w:color="auto" w:fill="D2D2D2"/>
          </w:tcPr>
          <w:p>
            <w:pPr/>
          </w:p>
        </w:tc>
        <w:tc>
          <w:tcPr>
            <w:tcW w:w="652" w:type="dxa"/>
            <w:vMerge/>
            <w:tcBorders>
              <w:left w:val="single" w:sz="4" w:space="0" w:color="000000"/>
              <w:bottom w:val="single" w:sz="4" w:space="0" w:color="000000"/>
              <w:right w:val="single" w:sz="4" w:space="0" w:color="000000"/>
            </w:tcBorders>
            <w:shd w:val="clear" w:color="auto" w:fill="D2D2D2"/>
          </w:tcPr>
          <w:p>
            <w:pPr/>
          </w:p>
        </w:tc>
        <w:tc>
          <w:tcPr>
            <w:tcW w:w="65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8" w:hRule="exact"/>
        </w:trPr>
        <w:tc>
          <w:tcPr>
            <w:tcW w:w="1427"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vMerge w:val="restart"/>
            <w:tcBorders>
              <w:top w:val="single" w:sz="4" w:space="0" w:color="000000"/>
              <w:left w:val="single" w:sz="9" w:space="0" w:color="D2D2D2"/>
              <w:right w:val="single" w:sz="4" w:space="0" w:color="000000"/>
            </w:tcBorders>
          </w:tcPr>
          <w:p>
            <w:pPr>
              <w:pStyle w:val="TableParagraph"/>
              <w:spacing w:line="240" w:lineRule="auto" w:before="92"/>
              <w:ind w:left="50" w:right="0"/>
              <w:jc w:val="center"/>
              <w:rPr>
                <w:rFonts w:ascii="Times New Roman" w:hAnsi="Times New Roman" w:cs="Times New Roman" w:eastAsia="Times New Roman" w:hint="default"/>
                <w:sz w:val="18"/>
                <w:szCs w:val="18"/>
              </w:rPr>
            </w:pPr>
            <w:r>
              <w:rPr>
                <w:rFonts w:ascii="Times New Roman"/>
                <w:sz w:val="18"/>
              </w:rPr>
              <w:t>1,961,</w:t>
            </w:r>
          </w:p>
          <w:p>
            <w:pPr>
              <w:pStyle w:val="TableParagraph"/>
              <w:spacing w:line="240" w:lineRule="auto" w:before="104"/>
              <w:ind w:left="6" w:right="0"/>
              <w:jc w:val="center"/>
              <w:rPr>
                <w:rFonts w:ascii="Times New Roman" w:hAnsi="Times New Roman" w:cs="Times New Roman" w:eastAsia="Times New Roman" w:hint="default"/>
                <w:sz w:val="18"/>
                <w:szCs w:val="18"/>
              </w:rPr>
            </w:pPr>
            <w:r>
              <w:rPr>
                <w:rFonts w:ascii="Times New Roman"/>
                <w:sz w:val="18"/>
              </w:rPr>
              <w:t>091,98</w:t>
            </w:r>
          </w:p>
          <w:p>
            <w:pPr>
              <w:pStyle w:val="TableParagraph"/>
              <w:spacing w:line="240" w:lineRule="auto" w:before="106"/>
              <w:ind w:left="186" w:right="0"/>
              <w:jc w:val="center"/>
              <w:rPr>
                <w:rFonts w:ascii="Times New Roman" w:hAnsi="Times New Roman" w:cs="Times New Roman" w:eastAsia="Times New Roman" w:hint="default"/>
                <w:sz w:val="18"/>
                <w:szCs w:val="18"/>
              </w:rPr>
            </w:pPr>
            <w:r>
              <w:rPr>
                <w:rFonts w:ascii="Times New Roman"/>
                <w:sz w:val="18"/>
              </w:rPr>
              <w:t>4.00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377,830</w:t>
            </w:r>
          </w:p>
          <w:p>
            <w:pPr>
              <w:pStyle w:val="TableParagraph"/>
              <w:spacing w:line="240" w:lineRule="auto" w:before="105"/>
              <w:ind w:left="99" w:right="0"/>
              <w:jc w:val="left"/>
              <w:rPr>
                <w:rFonts w:ascii="Times New Roman" w:hAnsi="Times New Roman" w:cs="Times New Roman" w:eastAsia="Times New Roman" w:hint="default"/>
                <w:sz w:val="18"/>
                <w:szCs w:val="18"/>
              </w:rPr>
            </w:pPr>
            <w:r>
              <w:rPr>
                <w:rFonts w:ascii="Times New Roman"/>
                <w:sz w:val="18"/>
              </w:rPr>
              <w:t>,811.74</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38,807.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98</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225,840</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,997.25</w:t>
            </w:r>
          </w:p>
        </w:tc>
        <w:tc>
          <w:tcPr>
            <w:tcW w:w="665" w:type="dxa"/>
            <w:vMerge w:val="restart"/>
            <w:tcBorders>
              <w:top w:val="single" w:sz="4" w:space="0" w:color="000000"/>
              <w:left w:val="single" w:sz="4" w:space="0" w:color="000000"/>
              <w:right w:val="single" w:sz="4" w:space="0" w:color="000000"/>
            </w:tcBorders>
          </w:tcPr>
          <w:p>
            <w:pPr/>
          </w:p>
        </w:tc>
        <w:tc>
          <w:tcPr>
            <w:tcW w:w="678" w:type="dxa"/>
            <w:vMerge w:val="restart"/>
            <w:tcBorders>
              <w:top w:val="single" w:sz="4" w:space="0" w:color="000000"/>
              <w:left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2,468,5</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46,635.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77</w:t>
            </w:r>
          </w:p>
        </w:tc>
        <w:tc>
          <w:tcPr>
            <w:tcW w:w="652"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7" w:right="0"/>
              <w:jc w:val="center"/>
              <w:rPr>
                <w:rFonts w:ascii="Times New Roman" w:hAnsi="Times New Roman" w:cs="Times New Roman" w:eastAsia="Times New Roman" w:hint="default"/>
                <w:sz w:val="18"/>
                <w:szCs w:val="18"/>
              </w:rPr>
            </w:pPr>
            <w:r>
              <w:rPr>
                <w:rFonts w:ascii="Times New Roman"/>
                <w:sz w:val="18"/>
              </w:rPr>
              <w:t>1,270,8</w:t>
            </w:r>
          </w:p>
          <w:p>
            <w:pPr>
              <w:pStyle w:val="TableParagraph"/>
              <w:spacing w:line="240" w:lineRule="auto" w:before="105"/>
              <w:ind w:left="192" w:right="0"/>
              <w:jc w:val="center"/>
              <w:rPr>
                <w:rFonts w:ascii="Times New Roman" w:hAnsi="Times New Roman" w:cs="Times New Roman" w:eastAsia="Times New Roman" w:hint="default"/>
                <w:sz w:val="18"/>
                <w:szCs w:val="18"/>
              </w:rPr>
            </w:pPr>
            <w:r>
              <w:rPr>
                <w:rFonts w:ascii="Times New Roman"/>
                <w:sz w:val="18"/>
              </w:rPr>
              <w:t>57.40</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5,034,6</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20,094.</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14</w:t>
            </w:r>
          </w:p>
        </w:tc>
      </w:tr>
      <w:tr>
        <w:trPr>
          <w:trHeight w:val="391" w:hRule="exact"/>
        </w:trPr>
        <w:tc>
          <w:tcPr>
            <w:tcW w:w="142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22"/>
              <w:jc w:val="righ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62"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78" w:type="dxa"/>
            <w:vMerge/>
            <w:tcBorders>
              <w:left w:val="single" w:sz="4" w:space="0" w:color="000000"/>
              <w:right w:val="single" w:sz="4" w:space="0" w:color="000000"/>
            </w:tcBorders>
          </w:tcPr>
          <w:p>
            <w:pPr/>
          </w:p>
        </w:tc>
        <w:tc>
          <w:tcPr>
            <w:tcW w:w="652"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317" w:hRule="exact"/>
        </w:trPr>
        <w:tc>
          <w:tcPr>
            <w:tcW w:w="1427" w:type="dxa"/>
            <w:tcBorders>
              <w:top w:val="nil" w:sz="6" w:space="0" w:color="auto"/>
              <w:left w:val="single" w:sz="4" w:space="0" w:color="000000"/>
              <w:bottom w:val="single" w:sz="4" w:space="0" w:color="000000"/>
              <w:right w:val="single" w:sz="4" w:space="0" w:color="000000"/>
            </w:tcBorders>
            <w:shd w:val="clear" w:color="auto" w:fill="D2D2D2"/>
          </w:tcPr>
          <w:p>
            <w:pPr/>
          </w:p>
        </w:tc>
        <w:tc>
          <w:tcPr>
            <w:tcW w:w="562"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78" w:type="dxa"/>
            <w:vMerge/>
            <w:tcBorders>
              <w:left w:val="single" w:sz="4" w:space="0" w:color="000000"/>
              <w:bottom w:val="single" w:sz="4" w:space="0" w:color="000000"/>
              <w:right w:val="single" w:sz="4" w:space="0" w:color="000000"/>
            </w:tcBorders>
          </w:tcPr>
          <w:p>
            <w:pPr/>
          </w:p>
        </w:tc>
        <w:tc>
          <w:tcPr>
            <w:tcW w:w="652"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22"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1" w:right="143" w:firstLine="720"/>
              <w:jc w:val="left"/>
              <w:rPr>
                <w:rFonts w:ascii="宋体" w:hAnsi="宋体" w:cs="宋体" w:eastAsia="宋体" w:hint="default"/>
                <w:sz w:val="18"/>
                <w:szCs w:val="18"/>
              </w:rPr>
            </w:pPr>
            <w:r>
              <w:rPr>
                <w:rFonts w:ascii="宋体" w:hAnsi="宋体" w:cs="宋体" w:eastAsia="宋体" w:hint="default"/>
                <w:sz w:val="18"/>
                <w:szCs w:val="18"/>
              </w:rPr>
              <w:t>同一控 制下企业合并</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62" w:hRule="exact"/>
        </w:trPr>
        <w:tc>
          <w:tcPr>
            <w:tcW w:w="1427"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vMerge w:val="restart"/>
            <w:tcBorders>
              <w:top w:val="single" w:sz="4" w:space="0" w:color="000000"/>
              <w:left w:val="single" w:sz="9" w:space="0" w:color="D2D2D2"/>
              <w:right w:val="single" w:sz="4" w:space="0" w:color="000000"/>
            </w:tcBorders>
          </w:tcPr>
          <w:p>
            <w:pPr>
              <w:pStyle w:val="TableParagraph"/>
              <w:spacing w:line="240" w:lineRule="auto" w:before="111"/>
              <w:ind w:left="72" w:right="0"/>
              <w:jc w:val="left"/>
              <w:rPr>
                <w:rFonts w:ascii="Times New Roman" w:hAnsi="Times New Roman" w:cs="Times New Roman" w:eastAsia="Times New Roman" w:hint="default"/>
                <w:sz w:val="18"/>
                <w:szCs w:val="18"/>
              </w:rPr>
            </w:pPr>
            <w:r>
              <w:rPr>
                <w:rFonts w:ascii="Times New Roman"/>
                <w:sz w:val="18"/>
              </w:rPr>
              <w:t>1,961,</w:t>
            </w:r>
          </w:p>
          <w:p>
            <w:pPr>
              <w:pStyle w:val="TableParagraph"/>
              <w:spacing w:line="240" w:lineRule="auto" w:before="105"/>
              <w:ind w:left="28" w:right="0"/>
              <w:jc w:val="left"/>
              <w:rPr>
                <w:rFonts w:ascii="Times New Roman" w:hAnsi="Times New Roman" w:cs="Times New Roman" w:eastAsia="Times New Roman" w:hint="default"/>
                <w:sz w:val="18"/>
                <w:szCs w:val="18"/>
              </w:rPr>
            </w:pPr>
            <w:r>
              <w:rPr>
                <w:rFonts w:ascii="Times New Roman"/>
                <w:sz w:val="18"/>
              </w:rPr>
              <w:t>091,98</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2"/>
              <w:ind w:left="47" w:right="0"/>
              <w:jc w:val="left"/>
              <w:rPr>
                <w:rFonts w:ascii="Times New Roman" w:hAnsi="Times New Roman" w:cs="Times New Roman" w:eastAsia="Times New Roman" w:hint="default"/>
                <w:sz w:val="18"/>
                <w:szCs w:val="18"/>
              </w:rPr>
            </w:pPr>
            <w:r>
              <w:rPr>
                <w:rFonts w:ascii="Times New Roman"/>
                <w:sz w:val="18"/>
              </w:rPr>
              <w:t>377,830</w:t>
            </w:r>
          </w:p>
          <w:p>
            <w:pPr>
              <w:pStyle w:val="TableParagraph"/>
              <w:spacing w:line="240" w:lineRule="auto" w:before="105"/>
              <w:ind w:left="99" w:right="0"/>
              <w:jc w:val="left"/>
              <w:rPr>
                <w:rFonts w:ascii="Times New Roman" w:hAnsi="Times New Roman" w:cs="Times New Roman" w:eastAsia="Times New Roman" w:hint="default"/>
                <w:sz w:val="18"/>
                <w:szCs w:val="18"/>
              </w:rPr>
            </w:pPr>
            <w:r>
              <w:rPr>
                <w:rFonts w:ascii="Times New Roman"/>
                <w:sz w:val="18"/>
              </w:rPr>
              <w:t>,811.74</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38,807.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98</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2"/>
              <w:ind w:left="46" w:right="0"/>
              <w:jc w:val="left"/>
              <w:rPr>
                <w:rFonts w:ascii="Times New Roman" w:hAnsi="Times New Roman" w:cs="Times New Roman" w:eastAsia="Times New Roman" w:hint="default"/>
                <w:sz w:val="18"/>
                <w:szCs w:val="18"/>
              </w:rPr>
            </w:pPr>
            <w:r>
              <w:rPr>
                <w:rFonts w:ascii="Times New Roman"/>
                <w:sz w:val="18"/>
              </w:rPr>
              <w:t>225,840</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,997.25</w:t>
            </w:r>
          </w:p>
        </w:tc>
        <w:tc>
          <w:tcPr>
            <w:tcW w:w="665" w:type="dxa"/>
            <w:vMerge w:val="restart"/>
            <w:tcBorders>
              <w:top w:val="single" w:sz="4" w:space="0" w:color="000000"/>
              <w:left w:val="single" w:sz="4" w:space="0" w:color="000000"/>
              <w:right w:val="single" w:sz="4" w:space="0" w:color="000000"/>
            </w:tcBorders>
          </w:tcPr>
          <w:p>
            <w:pPr/>
          </w:p>
        </w:tc>
        <w:tc>
          <w:tcPr>
            <w:tcW w:w="678" w:type="dxa"/>
            <w:vMerge w:val="restart"/>
            <w:tcBorders>
              <w:top w:val="single" w:sz="4" w:space="0" w:color="000000"/>
              <w:left w:val="single" w:sz="4" w:space="0" w:color="000000"/>
              <w:right w:val="single" w:sz="4" w:space="0" w:color="000000"/>
            </w:tcBorders>
          </w:tcPr>
          <w:p>
            <w:pPr>
              <w:pStyle w:val="TableParagraph"/>
              <w:spacing w:line="240" w:lineRule="auto" w:before="111"/>
              <w:ind w:left="104" w:right="0"/>
              <w:jc w:val="left"/>
              <w:rPr>
                <w:rFonts w:ascii="Times New Roman" w:hAnsi="Times New Roman" w:cs="Times New Roman" w:eastAsia="Times New Roman" w:hint="default"/>
                <w:sz w:val="18"/>
                <w:szCs w:val="18"/>
              </w:rPr>
            </w:pPr>
            <w:r>
              <w:rPr>
                <w:rFonts w:ascii="Times New Roman"/>
                <w:sz w:val="18"/>
              </w:rPr>
              <w:t>2,468,5</w:t>
            </w:r>
          </w:p>
          <w:p>
            <w:pPr>
              <w:pStyle w:val="TableParagraph"/>
              <w:spacing w:line="240" w:lineRule="auto" w:before="105"/>
              <w:ind w:left="104" w:right="0"/>
              <w:jc w:val="left"/>
              <w:rPr>
                <w:rFonts w:ascii="Times New Roman" w:hAnsi="Times New Roman" w:cs="Times New Roman" w:eastAsia="Times New Roman" w:hint="default"/>
                <w:sz w:val="18"/>
                <w:szCs w:val="18"/>
              </w:rPr>
            </w:pPr>
            <w:r>
              <w:rPr>
                <w:rFonts w:ascii="Times New Roman"/>
                <w:sz w:val="18"/>
              </w:rPr>
              <w:t>46,635.</w:t>
            </w:r>
          </w:p>
        </w:tc>
        <w:tc>
          <w:tcPr>
            <w:tcW w:w="652" w:type="dxa"/>
            <w:vMerge w:val="restart"/>
            <w:tcBorders>
              <w:top w:val="single" w:sz="4" w:space="0" w:color="000000"/>
              <w:left w:val="single" w:sz="4" w:space="0" w:color="000000"/>
              <w:right w:val="single" w:sz="4" w:space="0" w:color="000000"/>
            </w:tcBorders>
          </w:tcPr>
          <w:p>
            <w:pPr>
              <w:pStyle w:val="TableParagraph"/>
              <w:spacing w:line="240" w:lineRule="auto" w:before="92"/>
              <w:ind w:left="57" w:right="0"/>
              <w:jc w:val="center"/>
              <w:rPr>
                <w:rFonts w:ascii="Times New Roman" w:hAnsi="Times New Roman" w:cs="Times New Roman" w:eastAsia="Times New Roman" w:hint="default"/>
                <w:sz w:val="18"/>
                <w:szCs w:val="18"/>
              </w:rPr>
            </w:pPr>
            <w:r>
              <w:rPr>
                <w:rFonts w:ascii="Times New Roman"/>
                <w:sz w:val="18"/>
              </w:rPr>
              <w:t>1,270,8</w:t>
            </w:r>
          </w:p>
          <w:p>
            <w:pPr>
              <w:pStyle w:val="TableParagraph"/>
              <w:spacing w:line="240" w:lineRule="auto" w:before="105"/>
              <w:ind w:left="192" w:right="0"/>
              <w:jc w:val="center"/>
              <w:rPr>
                <w:rFonts w:ascii="Times New Roman" w:hAnsi="Times New Roman" w:cs="Times New Roman" w:eastAsia="Times New Roman" w:hint="default"/>
                <w:sz w:val="18"/>
                <w:szCs w:val="18"/>
              </w:rPr>
            </w:pPr>
            <w:r>
              <w:rPr>
                <w:rFonts w:ascii="Times New Roman"/>
                <w:sz w:val="18"/>
              </w:rPr>
              <w:t>57.40</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111"/>
              <w:ind w:left="85" w:right="0"/>
              <w:jc w:val="left"/>
              <w:rPr>
                <w:rFonts w:ascii="Times New Roman" w:hAnsi="Times New Roman" w:cs="Times New Roman" w:eastAsia="Times New Roman" w:hint="default"/>
                <w:sz w:val="18"/>
                <w:szCs w:val="18"/>
              </w:rPr>
            </w:pPr>
            <w:r>
              <w:rPr>
                <w:rFonts w:ascii="Times New Roman"/>
                <w:sz w:val="18"/>
              </w:rPr>
              <w:t>5,034,6</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20,094.</w:t>
            </w:r>
          </w:p>
        </w:tc>
      </w:tr>
      <w:tr>
        <w:trPr>
          <w:trHeight w:val="391" w:hRule="exact"/>
        </w:trPr>
        <w:tc>
          <w:tcPr>
            <w:tcW w:w="142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22"/>
              <w:jc w:val="righ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62"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78" w:type="dxa"/>
            <w:vMerge/>
            <w:tcBorders>
              <w:left w:val="single" w:sz="4" w:space="0" w:color="000000"/>
              <w:right w:val="single" w:sz="4" w:space="0" w:color="000000"/>
            </w:tcBorders>
          </w:tcPr>
          <w:p>
            <w:pPr/>
          </w:p>
        </w:tc>
        <w:tc>
          <w:tcPr>
            <w:tcW w:w="652"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162" w:hRule="exact"/>
        </w:trPr>
        <w:tc>
          <w:tcPr>
            <w:tcW w:w="1427" w:type="dxa"/>
            <w:tcBorders>
              <w:top w:val="nil" w:sz="6" w:space="0" w:color="auto"/>
              <w:left w:val="single" w:sz="4" w:space="0" w:color="000000"/>
              <w:bottom w:val="single" w:sz="4" w:space="0" w:color="000000"/>
              <w:right w:val="single" w:sz="4" w:space="0" w:color="000000"/>
            </w:tcBorders>
            <w:shd w:val="clear" w:color="auto" w:fill="D2D2D2"/>
          </w:tcPr>
          <w:p>
            <w:pPr/>
          </w:p>
        </w:tc>
        <w:tc>
          <w:tcPr>
            <w:tcW w:w="562"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78" w:type="dxa"/>
            <w:vMerge/>
            <w:tcBorders>
              <w:left w:val="single" w:sz="4" w:space="0" w:color="000000"/>
              <w:bottom w:val="single" w:sz="4" w:space="0" w:color="000000"/>
              <w:right w:val="single" w:sz="4" w:space="0" w:color="000000"/>
            </w:tcBorders>
          </w:tcPr>
          <w:p>
            <w:pPr/>
          </w:p>
        </w:tc>
        <w:tc>
          <w:tcPr>
            <w:tcW w:w="652"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bl>
    <w:p>
      <w:pPr>
        <w:spacing w:after="0"/>
        <w:sectPr>
          <w:pgSz w:w="11910" w:h="16840"/>
          <w:pgMar w:header="851" w:footer="979" w:top="1400" w:bottom="1160" w:left="1020" w:right="0"/>
        </w:sectPr>
      </w:pPr>
    </w:p>
    <w:tbl>
      <w:tblPr>
        <w:tblW w:w="0" w:type="auto"/>
        <w:jc w:val="left"/>
        <w:tblInd w:w="109" w:type="dxa"/>
        <w:tblLayout w:type="fixed"/>
        <w:tblCellMar>
          <w:top w:w="0" w:type="dxa"/>
          <w:left w:w="0" w:type="dxa"/>
          <w:bottom w:w="0" w:type="dxa"/>
          <w:right w:w="0" w:type="dxa"/>
        </w:tblCellMar>
        <w:tblLook w:val="01E0"/>
      </w:tblPr>
      <w:tblGrid>
        <w:gridCol w:w="1437"/>
        <w:gridCol w:w="562"/>
        <w:gridCol w:w="530"/>
        <w:gridCol w:w="532"/>
        <w:gridCol w:w="530"/>
        <w:gridCol w:w="665"/>
        <w:gridCol w:w="665"/>
        <w:gridCol w:w="665"/>
        <w:gridCol w:w="665"/>
        <w:gridCol w:w="665"/>
        <w:gridCol w:w="665"/>
        <w:gridCol w:w="678"/>
        <w:gridCol w:w="652"/>
        <w:gridCol w:w="659"/>
      </w:tblGrid>
      <w:tr>
        <w:trPr>
          <w:trHeight w:val="374" w:hRule="exact"/>
        </w:trPr>
        <w:tc>
          <w:tcPr>
            <w:tcW w:w="1437" w:type="dxa"/>
            <w:tcBorders>
              <w:top w:val="single" w:sz="10" w:space="0" w:color="000000"/>
              <w:left w:val="single" w:sz="4" w:space="0" w:color="000000"/>
              <w:bottom w:val="single" w:sz="4" w:space="0" w:color="000000"/>
              <w:right w:val="single" w:sz="4" w:space="0" w:color="000000"/>
            </w:tcBorders>
            <w:shd w:val="clear" w:color="auto" w:fill="D2D2D2"/>
          </w:tcPr>
          <w:p>
            <w:pPr/>
          </w:p>
        </w:tc>
        <w:tc>
          <w:tcPr>
            <w:tcW w:w="56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2"/>
              <w:ind w:left="215" w:right="0"/>
              <w:jc w:val="left"/>
              <w:rPr>
                <w:rFonts w:ascii="Times New Roman" w:hAnsi="Times New Roman" w:cs="Times New Roman" w:eastAsia="Times New Roman" w:hint="default"/>
                <w:sz w:val="18"/>
                <w:szCs w:val="18"/>
              </w:rPr>
            </w:pPr>
            <w:r>
              <w:rPr>
                <w:rFonts w:ascii="Times New Roman"/>
                <w:sz w:val="18"/>
              </w:rPr>
              <w:t>4.00</w:t>
            </w:r>
          </w:p>
        </w:tc>
        <w:tc>
          <w:tcPr>
            <w:tcW w:w="530" w:type="dxa"/>
            <w:tcBorders>
              <w:top w:val="single" w:sz="10" w:space="0" w:color="000000"/>
              <w:left w:val="single" w:sz="4" w:space="0" w:color="000000"/>
              <w:bottom w:val="single" w:sz="4" w:space="0" w:color="000000"/>
              <w:right w:val="single" w:sz="4" w:space="0" w:color="000000"/>
            </w:tcBorders>
          </w:tcPr>
          <w:p>
            <w:pPr/>
          </w:p>
        </w:tc>
        <w:tc>
          <w:tcPr>
            <w:tcW w:w="532" w:type="dxa"/>
            <w:tcBorders>
              <w:top w:val="single" w:sz="10" w:space="0" w:color="000000"/>
              <w:left w:val="single" w:sz="4" w:space="0" w:color="000000"/>
              <w:bottom w:val="single" w:sz="4" w:space="0" w:color="000000"/>
              <w:right w:val="single" w:sz="4" w:space="0" w:color="000000"/>
            </w:tcBorders>
          </w:tcPr>
          <w:p>
            <w:pPr/>
          </w:p>
        </w:tc>
        <w:tc>
          <w:tcPr>
            <w:tcW w:w="530"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67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Times New Roman" w:hAnsi="Times New Roman" w:cs="Times New Roman" w:eastAsia="Times New Roman" w:hint="default"/>
                <w:sz w:val="18"/>
                <w:szCs w:val="18"/>
              </w:rPr>
            </w:pPr>
            <w:r>
              <w:rPr>
                <w:rFonts w:ascii="Times New Roman"/>
                <w:sz w:val="18"/>
              </w:rPr>
              <w:t>77</w:t>
            </w:r>
          </w:p>
        </w:tc>
        <w:tc>
          <w:tcPr>
            <w:tcW w:w="652" w:type="dxa"/>
            <w:tcBorders>
              <w:top w:val="single" w:sz="10" w:space="0" w:color="000000"/>
              <w:left w:val="single" w:sz="4" w:space="0" w:color="000000"/>
              <w:bottom w:val="single" w:sz="4" w:space="0" w:color="000000"/>
              <w:right w:val="single" w:sz="4" w:space="0" w:color="000000"/>
            </w:tcBorders>
          </w:tcPr>
          <w:p>
            <w:pPr/>
          </w:p>
        </w:tc>
        <w:tc>
          <w:tcPr>
            <w:tcW w:w="65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Times New Roman" w:hAnsi="Times New Roman" w:cs="Times New Roman" w:eastAsia="Times New Roman" w:hint="default"/>
                <w:sz w:val="18"/>
                <w:szCs w:val="18"/>
              </w:rPr>
            </w:pPr>
            <w:r>
              <w:rPr>
                <w:rFonts w:ascii="Times New Roman"/>
                <w:sz w:val="18"/>
              </w:rPr>
              <w:t>14</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6"/>
              <w:ind w:left="22" w:right="21"/>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号填列）</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92" w:right="0"/>
              <w:jc w:val="left"/>
              <w:rPr>
                <w:rFonts w:ascii="Times New Roman" w:hAnsi="Times New Roman" w:cs="Times New Roman" w:eastAsia="Times New Roman" w:hint="default"/>
                <w:sz w:val="18"/>
                <w:szCs w:val="18"/>
              </w:rPr>
            </w:pPr>
            <w:r>
              <w:rPr>
                <w:rFonts w:ascii="Times New Roman"/>
                <w:sz w:val="18"/>
              </w:rPr>
              <w:t>49,424,</w:t>
            </w:r>
          </w:p>
          <w:p>
            <w:pPr>
              <w:pStyle w:val="TableParagraph"/>
              <w:spacing w:line="240" w:lineRule="auto" w:before="106"/>
              <w:ind w:left="137" w:right="0"/>
              <w:jc w:val="left"/>
              <w:rPr>
                <w:rFonts w:ascii="Times New Roman" w:hAnsi="Times New Roman" w:cs="Times New Roman" w:eastAsia="Times New Roman" w:hint="default"/>
                <w:sz w:val="18"/>
                <w:szCs w:val="18"/>
              </w:rPr>
            </w:pPr>
            <w:r>
              <w:rPr>
                <w:rFonts w:ascii="Times New Roman"/>
                <w:sz w:val="18"/>
              </w:rPr>
              <w:t>925.30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-4,324,9</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81.89</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5,452,1</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99.19</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4" w:right="0"/>
              <w:jc w:val="left"/>
              <w:rPr>
                <w:rFonts w:ascii="Times New Roman" w:hAnsi="Times New Roman" w:cs="Times New Roman" w:eastAsia="Times New Roman" w:hint="default"/>
                <w:sz w:val="18"/>
                <w:szCs w:val="18"/>
              </w:rPr>
            </w:pPr>
            <w:r>
              <w:rPr>
                <w:rFonts w:ascii="Times New Roman"/>
                <w:sz w:val="18"/>
              </w:rPr>
              <w:t>62,297,</w:t>
            </w:r>
          </w:p>
          <w:p>
            <w:pPr>
              <w:pStyle w:val="TableParagraph"/>
              <w:spacing w:line="240" w:lineRule="auto" w:before="106"/>
              <w:ind w:left="149" w:right="0"/>
              <w:jc w:val="left"/>
              <w:rPr>
                <w:rFonts w:ascii="Times New Roman" w:hAnsi="Times New Roman" w:cs="Times New Roman" w:eastAsia="Times New Roman" w:hint="default"/>
                <w:sz w:val="18"/>
                <w:szCs w:val="18"/>
              </w:rPr>
            </w:pPr>
            <w:r>
              <w:rPr>
                <w:rFonts w:ascii="Times New Roman"/>
                <w:sz w:val="18"/>
              </w:rPr>
              <w:t>860.54</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9" w:right="0"/>
              <w:jc w:val="left"/>
              <w:rPr>
                <w:rFonts w:ascii="Times New Roman" w:hAnsi="Times New Roman" w:cs="Times New Roman" w:eastAsia="Times New Roman" w:hint="default"/>
                <w:sz w:val="18"/>
                <w:szCs w:val="18"/>
              </w:rPr>
            </w:pPr>
            <w:r>
              <w:rPr>
                <w:rFonts w:ascii="Times New Roman"/>
                <w:sz w:val="18"/>
              </w:rPr>
              <w:t>-7,495,</w:t>
            </w:r>
          </w:p>
          <w:p>
            <w:pPr>
              <w:pStyle w:val="TableParagraph"/>
              <w:spacing w:line="240" w:lineRule="auto" w:before="106"/>
              <w:ind w:left="124" w:right="0"/>
              <w:jc w:val="left"/>
              <w:rPr>
                <w:rFonts w:ascii="Times New Roman" w:hAnsi="Times New Roman" w:cs="Times New Roman" w:eastAsia="Times New Roman" w:hint="default"/>
                <w:sz w:val="18"/>
                <w:szCs w:val="18"/>
              </w:rPr>
            </w:pPr>
            <w:r>
              <w:rPr>
                <w:rFonts w:ascii="Times New Roman"/>
                <w:sz w:val="18"/>
              </w:rPr>
              <w:t>976.03</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105,354</w:t>
            </w:r>
          </w:p>
          <w:p>
            <w:pPr>
              <w:pStyle w:val="TableParagraph"/>
              <w:spacing w:line="240" w:lineRule="auto" w:before="106"/>
              <w:ind w:left="92" w:right="0"/>
              <w:jc w:val="left"/>
              <w:rPr>
                <w:rFonts w:ascii="Times New Roman" w:hAnsi="Times New Roman" w:cs="Times New Roman" w:eastAsia="Times New Roman" w:hint="default"/>
                <w:sz w:val="18"/>
                <w:szCs w:val="18"/>
              </w:rPr>
            </w:pPr>
            <w:r>
              <w:rPr>
                <w:rFonts w:ascii="Times New Roman"/>
                <w:sz w:val="18"/>
              </w:rPr>
              <w:t>,027.11</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6"/>
              <w:ind w:left="22" w:right="21"/>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7" w:right="0"/>
              <w:jc w:val="center"/>
              <w:rPr>
                <w:rFonts w:ascii="Times New Roman" w:hAnsi="Times New Roman" w:cs="Times New Roman" w:eastAsia="Times New Roman" w:hint="default"/>
                <w:sz w:val="18"/>
                <w:szCs w:val="18"/>
              </w:rPr>
            </w:pPr>
            <w:r>
              <w:rPr>
                <w:rFonts w:ascii="Times New Roman"/>
                <w:sz w:val="18"/>
              </w:rPr>
              <w:t>-4,324,9</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81.89</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65" w:right="0"/>
              <w:jc w:val="left"/>
              <w:rPr>
                <w:rFonts w:ascii="Times New Roman" w:hAnsi="Times New Roman" w:cs="Times New Roman" w:eastAsia="Times New Roman" w:hint="default"/>
                <w:sz w:val="18"/>
                <w:szCs w:val="18"/>
              </w:rPr>
            </w:pPr>
            <w:r>
              <w:rPr>
                <w:rFonts w:ascii="Times New Roman"/>
                <w:sz w:val="18"/>
              </w:rPr>
              <w:t>119,550</w:t>
            </w:r>
          </w:p>
          <w:p>
            <w:pPr>
              <w:pStyle w:val="TableParagraph"/>
              <w:spacing w:line="240" w:lineRule="auto" w:before="106"/>
              <w:ind w:left="104" w:right="0"/>
              <w:jc w:val="left"/>
              <w:rPr>
                <w:rFonts w:ascii="Times New Roman" w:hAnsi="Times New Roman" w:cs="Times New Roman" w:eastAsia="Times New Roman" w:hint="default"/>
                <w:sz w:val="18"/>
                <w:szCs w:val="18"/>
              </w:rPr>
            </w:pPr>
            <w:r>
              <w:rPr>
                <w:rFonts w:ascii="Times New Roman"/>
                <w:sz w:val="18"/>
              </w:rPr>
              <w:t>,096.20</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64" w:right="0"/>
              <w:jc w:val="left"/>
              <w:rPr>
                <w:rFonts w:ascii="Times New Roman" w:hAnsi="Times New Roman" w:cs="Times New Roman" w:eastAsia="Times New Roman" w:hint="default"/>
                <w:sz w:val="18"/>
                <w:szCs w:val="18"/>
              </w:rPr>
            </w:pPr>
            <w:r>
              <w:rPr>
                <w:rFonts w:ascii="Times New Roman"/>
                <w:sz w:val="18"/>
              </w:rPr>
              <w:t>-21,572</w:t>
            </w:r>
          </w:p>
          <w:p>
            <w:pPr>
              <w:pStyle w:val="TableParagraph"/>
              <w:spacing w:line="240" w:lineRule="auto" w:before="106"/>
              <w:ind w:left="79" w:right="0"/>
              <w:jc w:val="left"/>
              <w:rPr>
                <w:rFonts w:ascii="Times New Roman" w:hAnsi="Times New Roman" w:cs="Times New Roman" w:eastAsia="Times New Roman" w:hint="default"/>
                <w:sz w:val="18"/>
                <w:szCs w:val="18"/>
              </w:rPr>
            </w:pPr>
            <w:r>
              <w:rPr>
                <w:rFonts w:ascii="Times New Roman"/>
                <w:sz w:val="18"/>
              </w:rPr>
              <w:t>,215.06</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85" w:right="0"/>
              <w:jc w:val="left"/>
              <w:rPr>
                <w:rFonts w:ascii="Times New Roman" w:hAnsi="Times New Roman" w:cs="Times New Roman" w:eastAsia="Times New Roman" w:hint="default"/>
                <w:sz w:val="18"/>
                <w:szCs w:val="18"/>
              </w:rPr>
            </w:pPr>
            <w:r>
              <w:rPr>
                <w:rFonts w:ascii="Times New Roman"/>
                <w:sz w:val="18"/>
              </w:rPr>
              <w:t>93,652,</w:t>
            </w:r>
          </w:p>
          <w:p>
            <w:pPr>
              <w:pStyle w:val="TableParagraph"/>
              <w:spacing w:line="240" w:lineRule="auto" w:before="106"/>
              <w:ind w:left="130" w:right="0"/>
              <w:jc w:val="left"/>
              <w:rPr>
                <w:rFonts w:ascii="Times New Roman" w:hAnsi="Times New Roman" w:cs="Times New Roman" w:eastAsia="Times New Roman" w:hint="default"/>
                <w:sz w:val="18"/>
                <w:szCs w:val="18"/>
              </w:rPr>
            </w:pPr>
            <w:r>
              <w:rPr>
                <w:rFonts w:ascii="Times New Roman"/>
                <w:sz w:val="18"/>
              </w:rPr>
              <w:t>899.25</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6"/>
              <w:ind w:left="22" w:right="21"/>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和减少资本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92" w:right="0"/>
              <w:jc w:val="left"/>
              <w:rPr>
                <w:rFonts w:ascii="Times New Roman" w:hAnsi="Times New Roman" w:cs="Times New Roman" w:eastAsia="Times New Roman" w:hint="default"/>
                <w:sz w:val="18"/>
                <w:szCs w:val="18"/>
              </w:rPr>
            </w:pPr>
            <w:r>
              <w:rPr>
                <w:rFonts w:ascii="Times New Roman"/>
                <w:sz w:val="18"/>
              </w:rPr>
              <w:t>52,874,</w:t>
            </w:r>
          </w:p>
          <w:p>
            <w:pPr>
              <w:pStyle w:val="TableParagraph"/>
              <w:spacing w:line="240" w:lineRule="auto" w:before="106"/>
              <w:ind w:left="137" w:right="0"/>
              <w:jc w:val="left"/>
              <w:rPr>
                <w:rFonts w:ascii="Times New Roman" w:hAnsi="Times New Roman" w:cs="Times New Roman" w:eastAsia="Times New Roman" w:hint="default"/>
                <w:sz w:val="18"/>
                <w:szCs w:val="18"/>
              </w:rPr>
            </w:pPr>
            <w:r>
              <w:rPr>
                <w:rFonts w:ascii="Times New Roman"/>
                <w:sz w:val="18"/>
              </w:rPr>
              <w:t>076.39</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95" w:right="0"/>
              <w:jc w:val="left"/>
              <w:rPr>
                <w:rFonts w:ascii="Times New Roman" w:hAnsi="Times New Roman" w:cs="Times New Roman" w:eastAsia="Times New Roman" w:hint="default"/>
                <w:sz w:val="18"/>
                <w:szCs w:val="18"/>
              </w:rPr>
            </w:pPr>
            <w:r>
              <w:rPr>
                <w:rFonts w:ascii="Times New Roman"/>
                <w:sz w:val="18"/>
              </w:rPr>
              <w:t>-811,68</w:t>
            </w:r>
          </w:p>
          <w:p>
            <w:pPr>
              <w:pStyle w:val="TableParagraph"/>
              <w:spacing w:line="240" w:lineRule="auto" w:before="106"/>
              <w:ind w:left="329" w:right="0"/>
              <w:jc w:val="left"/>
              <w:rPr>
                <w:rFonts w:ascii="Times New Roman" w:hAnsi="Times New Roman" w:cs="Times New Roman" w:eastAsia="Times New Roman" w:hint="default"/>
                <w:sz w:val="18"/>
                <w:szCs w:val="18"/>
              </w:rPr>
            </w:pPr>
            <w:r>
              <w:rPr>
                <w:rFonts w:ascii="Times New Roman"/>
                <w:sz w:val="18"/>
              </w:rPr>
              <w:t>4.18</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79" w:right="0"/>
              <w:jc w:val="left"/>
              <w:rPr>
                <w:rFonts w:ascii="Times New Roman" w:hAnsi="Times New Roman" w:cs="Times New Roman" w:eastAsia="Times New Roman" w:hint="default"/>
                <w:sz w:val="18"/>
                <w:szCs w:val="18"/>
              </w:rPr>
            </w:pPr>
            <w:r>
              <w:rPr>
                <w:rFonts w:ascii="Times New Roman"/>
                <w:sz w:val="18"/>
              </w:rPr>
              <w:t>14,076,</w:t>
            </w:r>
          </w:p>
          <w:p>
            <w:pPr>
              <w:pStyle w:val="TableParagraph"/>
              <w:spacing w:line="240" w:lineRule="auto" w:before="106"/>
              <w:ind w:left="124" w:right="0"/>
              <w:jc w:val="left"/>
              <w:rPr>
                <w:rFonts w:ascii="Times New Roman" w:hAnsi="Times New Roman" w:cs="Times New Roman" w:eastAsia="Times New Roman" w:hint="default"/>
                <w:sz w:val="18"/>
                <w:szCs w:val="18"/>
              </w:rPr>
            </w:pPr>
            <w:r>
              <w:rPr>
                <w:rFonts w:ascii="Times New Roman"/>
                <w:sz w:val="18"/>
              </w:rPr>
              <w:t>239.03</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85" w:right="0"/>
              <w:jc w:val="left"/>
              <w:rPr>
                <w:rFonts w:ascii="Times New Roman" w:hAnsi="Times New Roman" w:cs="Times New Roman" w:eastAsia="Times New Roman" w:hint="default"/>
                <w:sz w:val="18"/>
                <w:szCs w:val="18"/>
              </w:rPr>
            </w:pPr>
            <w:r>
              <w:rPr>
                <w:rFonts w:ascii="Times New Roman"/>
                <w:sz w:val="18"/>
              </w:rPr>
              <w:t>66,138,</w:t>
            </w:r>
          </w:p>
          <w:p>
            <w:pPr>
              <w:pStyle w:val="TableParagraph"/>
              <w:spacing w:line="240" w:lineRule="auto" w:before="106"/>
              <w:ind w:left="130" w:right="0"/>
              <w:jc w:val="left"/>
              <w:rPr>
                <w:rFonts w:ascii="Times New Roman" w:hAnsi="Times New Roman" w:cs="Times New Roman" w:eastAsia="Times New Roman" w:hint="default"/>
                <w:sz w:val="18"/>
                <w:szCs w:val="18"/>
              </w:rPr>
            </w:pPr>
            <w:r>
              <w:rPr>
                <w:rFonts w:ascii="Times New Roman"/>
                <w:sz w:val="18"/>
              </w:rPr>
              <w:t>631.24</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46"/>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92" w:right="0"/>
              <w:jc w:val="left"/>
              <w:rPr>
                <w:rFonts w:ascii="Times New Roman" w:hAnsi="Times New Roman" w:cs="Times New Roman" w:eastAsia="Times New Roman" w:hint="default"/>
                <w:sz w:val="18"/>
                <w:szCs w:val="18"/>
              </w:rPr>
            </w:pPr>
            <w:r>
              <w:rPr>
                <w:rFonts w:ascii="Times New Roman"/>
                <w:sz w:val="18"/>
              </w:rPr>
              <w:t>52,874,</w:t>
            </w:r>
          </w:p>
          <w:p>
            <w:pPr>
              <w:pStyle w:val="TableParagraph"/>
              <w:spacing w:line="240" w:lineRule="auto" w:before="106"/>
              <w:ind w:left="137" w:right="0"/>
              <w:jc w:val="left"/>
              <w:rPr>
                <w:rFonts w:ascii="Times New Roman" w:hAnsi="Times New Roman" w:cs="Times New Roman" w:eastAsia="Times New Roman" w:hint="default"/>
                <w:sz w:val="18"/>
                <w:szCs w:val="18"/>
              </w:rPr>
            </w:pPr>
            <w:r>
              <w:rPr>
                <w:rFonts w:ascii="Times New Roman"/>
                <w:sz w:val="18"/>
              </w:rPr>
              <w:t>076.39</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95" w:right="0"/>
              <w:jc w:val="left"/>
              <w:rPr>
                <w:rFonts w:ascii="Times New Roman" w:hAnsi="Times New Roman" w:cs="Times New Roman" w:eastAsia="Times New Roman" w:hint="default"/>
                <w:sz w:val="18"/>
                <w:szCs w:val="18"/>
              </w:rPr>
            </w:pPr>
            <w:r>
              <w:rPr>
                <w:rFonts w:ascii="Times New Roman"/>
                <w:sz w:val="18"/>
              </w:rPr>
              <w:t>-811,68</w:t>
            </w:r>
          </w:p>
          <w:p>
            <w:pPr>
              <w:pStyle w:val="TableParagraph"/>
              <w:spacing w:line="240" w:lineRule="auto" w:before="106"/>
              <w:ind w:left="329" w:right="0"/>
              <w:jc w:val="left"/>
              <w:rPr>
                <w:rFonts w:ascii="Times New Roman" w:hAnsi="Times New Roman" w:cs="Times New Roman" w:eastAsia="Times New Roman" w:hint="default"/>
                <w:sz w:val="18"/>
                <w:szCs w:val="18"/>
              </w:rPr>
            </w:pPr>
            <w:r>
              <w:rPr>
                <w:rFonts w:ascii="Times New Roman"/>
                <w:sz w:val="18"/>
              </w:rPr>
              <w:t>4.18</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86" w:right="0"/>
              <w:jc w:val="left"/>
              <w:rPr>
                <w:rFonts w:ascii="Times New Roman" w:hAnsi="Times New Roman" w:cs="Times New Roman" w:eastAsia="Times New Roman" w:hint="default"/>
                <w:sz w:val="18"/>
                <w:szCs w:val="18"/>
              </w:rPr>
            </w:pPr>
            <w:r>
              <w:rPr>
                <w:rFonts w:ascii="Times New Roman"/>
                <w:sz w:val="18"/>
              </w:rPr>
              <w:t>11,484,</w:t>
            </w:r>
          </w:p>
          <w:p>
            <w:pPr>
              <w:pStyle w:val="TableParagraph"/>
              <w:spacing w:line="240" w:lineRule="auto" w:before="106"/>
              <w:ind w:left="124" w:right="0"/>
              <w:jc w:val="left"/>
              <w:rPr>
                <w:rFonts w:ascii="Times New Roman" w:hAnsi="Times New Roman" w:cs="Times New Roman" w:eastAsia="Times New Roman" w:hint="default"/>
                <w:sz w:val="18"/>
                <w:szCs w:val="18"/>
              </w:rPr>
            </w:pPr>
            <w:r>
              <w:rPr>
                <w:rFonts w:ascii="Times New Roman"/>
                <w:sz w:val="18"/>
              </w:rPr>
              <w:t>478.13</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85" w:right="0"/>
              <w:jc w:val="left"/>
              <w:rPr>
                <w:rFonts w:ascii="Times New Roman" w:hAnsi="Times New Roman" w:cs="Times New Roman" w:eastAsia="Times New Roman" w:hint="default"/>
                <w:sz w:val="18"/>
                <w:szCs w:val="18"/>
              </w:rPr>
            </w:pPr>
            <w:r>
              <w:rPr>
                <w:rFonts w:ascii="Times New Roman"/>
                <w:sz w:val="18"/>
              </w:rPr>
              <w:t>63,546,</w:t>
            </w:r>
          </w:p>
          <w:p>
            <w:pPr>
              <w:pStyle w:val="TableParagraph"/>
              <w:spacing w:line="240" w:lineRule="auto" w:before="106"/>
              <w:ind w:left="130" w:right="0"/>
              <w:jc w:val="left"/>
              <w:rPr>
                <w:rFonts w:ascii="Times New Roman" w:hAnsi="Times New Roman" w:cs="Times New Roman" w:eastAsia="Times New Roman" w:hint="default"/>
                <w:sz w:val="18"/>
                <w:szCs w:val="18"/>
              </w:rPr>
            </w:pPr>
            <w:r>
              <w:rPr>
                <w:rFonts w:ascii="Times New Roman"/>
                <w:sz w:val="18"/>
              </w:rPr>
              <w:t>870.34</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46"/>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6"/>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57" w:right="0"/>
              <w:jc w:val="center"/>
              <w:rPr>
                <w:rFonts w:ascii="Times New Roman" w:hAnsi="Times New Roman" w:cs="Times New Roman" w:eastAsia="Times New Roman" w:hint="default"/>
                <w:sz w:val="18"/>
                <w:szCs w:val="18"/>
              </w:rPr>
            </w:pPr>
            <w:r>
              <w:rPr>
                <w:rFonts w:ascii="Times New Roman"/>
                <w:sz w:val="18"/>
              </w:rPr>
              <w:t>2,591,7</w:t>
            </w:r>
          </w:p>
          <w:p>
            <w:pPr>
              <w:pStyle w:val="TableParagraph"/>
              <w:spacing w:line="240" w:lineRule="auto" w:before="105"/>
              <w:ind w:left="192" w:right="0"/>
              <w:jc w:val="center"/>
              <w:rPr>
                <w:rFonts w:ascii="Times New Roman" w:hAnsi="Times New Roman" w:cs="Times New Roman" w:eastAsia="Times New Roman" w:hint="default"/>
                <w:sz w:val="18"/>
                <w:szCs w:val="18"/>
              </w:rPr>
            </w:pPr>
            <w:r>
              <w:rPr>
                <w:rFonts w:ascii="Times New Roman"/>
                <w:sz w:val="18"/>
              </w:rPr>
              <w:t>60.90</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61" w:right="0"/>
              <w:jc w:val="center"/>
              <w:rPr>
                <w:rFonts w:ascii="Times New Roman" w:hAnsi="Times New Roman" w:cs="Times New Roman" w:eastAsia="Times New Roman" w:hint="default"/>
                <w:sz w:val="18"/>
                <w:szCs w:val="18"/>
              </w:rPr>
            </w:pPr>
            <w:r>
              <w:rPr>
                <w:rFonts w:ascii="Times New Roman"/>
                <w:sz w:val="18"/>
              </w:rPr>
              <w:t>2,591,7</w:t>
            </w:r>
          </w:p>
          <w:p>
            <w:pPr>
              <w:pStyle w:val="TableParagraph"/>
              <w:spacing w:line="240" w:lineRule="auto" w:before="105"/>
              <w:ind w:left="197" w:right="0"/>
              <w:jc w:val="center"/>
              <w:rPr>
                <w:rFonts w:ascii="Times New Roman" w:hAnsi="Times New Roman" w:cs="Times New Roman" w:eastAsia="Times New Roman" w:hint="default"/>
                <w:sz w:val="18"/>
                <w:szCs w:val="18"/>
              </w:rPr>
            </w:pPr>
            <w:r>
              <w:rPr>
                <w:rFonts w:ascii="Times New Roman"/>
                <w:sz w:val="18"/>
              </w:rPr>
              <w:t>60.90</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67" w:right="0"/>
              <w:jc w:val="center"/>
              <w:rPr>
                <w:rFonts w:ascii="Times New Roman" w:hAnsi="Times New Roman" w:cs="Times New Roman" w:eastAsia="Times New Roman" w:hint="default"/>
                <w:sz w:val="18"/>
                <w:szCs w:val="18"/>
              </w:rPr>
            </w:pPr>
            <w:r>
              <w:rPr>
                <w:rFonts w:ascii="Times New Roman"/>
                <w:sz w:val="18"/>
              </w:rPr>
              <w:t>5,452,1</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99.19</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0" w:right="0"/>
              <w:jc w:val="center"/>
              <w:rPr>
                <w:rFonts w:ascii="Times New Roman" w:hAnsi="Times New Roman" w:cs="Times New Roman" w:eastAsia="Times New Roman" w:hint="default"/>
                <w:sz w:val="18"/>
                <w:szCs w:val="18"/>
              </w:rPr>
            </w:pPr>
            <w:r>
              <w:rPr>
                <w:rFonts w:ascii="Times New Roman"/>
                <w:sz w:val="18"/>
              </w:rPr>
              <w:t>-56,440,</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551.48</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 w:right="0"/>
              <w:jc w:val="center"/>
              <w:rPr>
                <w:rFonts w:ascii="Times New Roman" w:hAnsi="Times New Roman" w:cs="Times New Roman" w:eastAsia="Times New Roman" w:hint="default"/>
                <w:sz w:val="18"/>
                <w:szCs w:val="18"/>
              </w:rPr>
            </w:pPr>
            <w:r>
              <w:rPr>
                <w:rFonts w:ascii="Times New Roman"/>
                <w:sz w:val="18"/>
              </w:rPr>
              <w:t>-50,988,</w:t>
            </w:r>
          </w:p>
          <w:p>
            <w:pPr>
              <w:pStyle w:val="TableParagraph"/>
              <w:spacing w:line="240" w:lineRule="auto" w:before="105"/>
              <w:ind w:left="107" w:right="0"/>
              <w:jc w:val="center"/>
              <w:rPr>
                <w:rFonts w:ascii="Times New Roman" w:hAnsi="Times New Roman" w:cs="Times New Roman" w:eastAsia="Times New Roman" w:hint="default"/>
                <w:sz w:val="18"/>
                <w:szCs w:val="18"/>
              </w:rPr>
            </w:pPr>
            <w:r>
              <w:rPr>
                <w:rFonts w:ascii="Times New Roman"/>
                <w:sz w:val="18"/>
              </w:rPr>
              <w:t>352.29</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67" w:right="0"/>
              <w:jc w:val="center"/>
              <w:rPr>
                <w:rFonts w:ascii="Times New Roman" w:hAnsi="Times New Roman" w:cs="Times New Roman" w:eastAsia="Times New Roman" w:hint="default"/>
                <w:sz w:val="18"/>
                <w:szCs w:val="18"/>
              </w:rPr>
            </w:pPr>
            <w:r>
              <w:rPr>
                <w:rFonts w:ascii="Times New Roman"/>
                <w:sz w:val="18"/>
              </w:rPr>
              <w:t>5,452,1</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99.19</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1" w:right="0"/>
              <w:jc w:val="center"/>
              <w:rPr>
                <w:rFonts w:ascii="Times New Roman" w:hAnsi="Times New Roman" w:cs="Times New Roman" w:eastAsia="Times New Roman" w:hint="default"/>
                <w:sz w:val="18"/>
                <w:szCs w:val="18"/>
              </w:rPr>
            </w:pPr>
            <w:r>
              <w:rPr>
                <w:rFonts w:ascii="Times New Roman"/>
                <w:sz w:val="18"/>
              </w:rPr>
              <w:t>-5,452,1</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99.19</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6"/>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6"/>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0" w:right="0"/>
              <w:jc w:val="center"/>
              <w:rPr>
                <w:rFonts w:ascii="Times New Roman" w:hAnsi="Times New Roman" w:cs="Times New Roman" w:eastAsia="Times New Roman" w:hint="default"/>
                <w:sz w:val="18"/>
                <w:szCs w:val="18"/>
              </w:rPr>
            </w:pPr>
            <w:r>
              <w:rPr>
                <w:rFonts w:ascii="Times New Roman"/>
                <w:sz w:val="18"/>
              </w:rPr>
              <w:t>-50,988,</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352.29</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 w:right="0"/>
              <w:jc w:val="center"/>
              <w:rPr>
                <w:rFonts w:ascii="Times New Roman" w:hAnsi="Times New Roman" w:cs="Times New Roman" w:eastAsia="Times New Roman" w:hint="default"/>
                <w:sz w:val="18"/>
                <w:szCs w:val="18"/>
              </w:rPr>
            </w:pPr>
            <w:r>
              <w:rPr>
                <w:rFonts w:ascii="Times New Roman"/>
                <w:sz w:val="18"/>
              </w:rPr>
              <w:t>-50,988,</w:t>
            </w:r>
          </w:p>
          <w:p>
            <w:pPr>
              <w:pStyle w:val="TableParagraph"/>
              <w:spacing w:line="240" w:lineRule="auto" w:before="105"/>
              <w:ind w:left="107" w:right="0"/>
              <w:jc w:val="center"/>
              <w:rPr>
                <w:rFonts w:ascii="Times New Roman" w:hAnsi="Times New Roman" w:cs="Times New Roman" w:eastAsia="Times New Roman" w:hint="default"/>
                <w:sz w:val="18"/>
                <w:szCs w:val="18"/>
              </w:rPr>
            </w:pPr>
            <w:r>
              <w:rPr>
                <w:rFonts w:ascii="Times New Roman"/>
                <w:sz w:val="18"/>
              </w:rPr>
              <w:t>352.29</w:t>
            </w: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6"/>
              <w:ind w:left="22"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内部结转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6"/>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6"/>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6"/>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6"/>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 收益</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440" w:bottom="1160" w:left="1020" w:right="0"/>
        </w:sectPr>
      </w:pPr>
    </w:p>
    <w:p>
      <w:pPr>
        <w:spacing w:line="240" w:lineRule="auto" w:before="6"/>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1437"/>
        <w:gridCol w:w="562"/>
        <w:gridCol w:w="530"/>
        <w:gridCol w:w="532"/>
        <w:gridCol w:w="530"/>
        <w:gridCol w:w="665"/>
        <w:gridCol w:w="665"/>
        <w:gridCol w:w="665"/>
        <w:gridCol w:w="665"/>
        <w:gridCol w:w="665"/>
        <w:gridCol w:w="665"/>
        <w:gridCol w:w="678"/>
        <w:gridCol w:w="652"/>
        <w:gridCol w:w="659"/>
      </w:tblGrid>
      <w:tr>
        <w:trPr>
          <w:trHeight w:val="414" w:hRule="exact"/>
        </w:trPr>
        <w:tc>
          <w:tcPr>
            <w:tcW w:w="1437"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2" w:type="dxa"/>
            <w:tcBorders>
              <w:top w:val="single" w:sz="10" w:space="0" w:color="000000"/>
              <w:left w:val="single" w:sz="4" w:space="0" w:color="000000"/>
              <w:bottom w:val="single" w:sz="4" w:space="0" w:color="000000"/>
              <w:right w:val="single" w:sz="4" w:space="0" w:color="000000"/>
            </w:tcBorders>
          </w:tcPr>
          <w:p>
            <w:pPr/>
          </w:p>
        </w:tc>
        <w:tc>
          <w:tcPr>
            <w:tcW w:w="530" w:type="dxa"/>
            <w:tcBorders>
              <w:top w:val="single" w:sz="10" w:space="0" w:color="000000"/>
              <w:left w:val="single" w:sz="4" w:space="0" w:color="000000"/>
              <w:bottom w:val="single" w:sz="4" w:space="0" w:color="000000"/>
              <w:right w:val="single" w:sz="4" w:space="0" w:color="000000"/>
            </w:tcBorders>
          </w:tcPr>
          <w:p>
            <w:pPr/>
          </w:p>
        </w:tc>
        <w:tc>
          <w:tcPr>
            <w:tcW w:w="532" w:type="dxa"/>
            <w:tcBorders>
              <w:top w:val="single" w:sz="10" w:space="0" w:color="000000"/>
              <w:left w:val="single" w:sz="4" w:space="0" w:color="000000"/>
              <w:bottom w:val="single" w:sz="4" w:space="0" w:color="000000"/>
              <w:right w:val="single" w:sz="4" w:space="0" w:color="000000"/>
            </w:tcBorders>
          </w:tcPr>
          <w:p>
            <w:pPr/>
          </w:p>
        </w:tc>
        <w:tc>
          <w:tcPr>
            <w:tcW w:w="530"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678" w:type="dxa"/>
            <w:tcBorders>
              <w:top w:val="single" w:sz="10" w:space="0" w:color="000000"/>
              <w:left w:val="single" w:sz="4" w:space="0" w:color="000000"/>
              <w:bottom w:val="single" w:sz="4" w:space="0" w:color="000000"/>
              <w:right w:val="single" w:sz="4" w:space="0" w:color="000000"/>
            </w:tcBorders>
          </w:tcPr>
          <w:p>
            <w:pPr/>
          </w:p>
        </w:tc>
        <w:tc>
          <w:tcPr>
            <w:tcW w:w="652" w:type="dxa"/>
            <w:tcBorders>
              <w:top w:val="single" w:sz="10" w:space="0" w:color="000000"/>
              <w:left w:val="single" w:sz="4" w:space="0" w:color="000000"/>
              <w:bottom w:val="single" w:sz="4" w:space="0" w:color="000000"/>
              <w:right w:val="single" w:sz="4" w:space="0" w:color="000000"/>
            </w:tcBorders>
          </w:tcPr>
          <w:p>
            <w:pPr/>
          </w:p>
        </w:tc>
        <w:tc>
          <w:tcPr>
            <w:tcW w:w="659" w:type="dxa"/>
            <w:tcBorders>
              <w:top w:val="single" w:sz="10"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 w:right="0"/>
              <w:jc w:val="center"/>
              <w:rPr>
                <w:rFonts w:ascii="Times New Roman" w:hAnsi="Times New Roman" w:cs="Times New Roman" w:eastAsia="Times New Roman" w:hint="default"/>
                <w:sz w:val="18"/>
                <w:szCs w:val="18"/>
              </w:rPr>
            </w:pPr>
            <w:r>
              <w:rPr>
                <w:rFonts w:ascii="Times New Roman"/>
                <w:sz w:val="18"/>
              </w:rPr>
              <w:t>-3,449,1</w:t>
            </w:r>
          </w:p>
          <w:p>
            <w:pPr>
              <w:pStyle w:val="TableParagraph"/>
              <w:spacing w:line="240" w:lineRule="auto" w:before="105"/>
              <w:ind w:left="206" w:right="0"/>
              <w:jc w:val="center"/>
              <w:rPr>
                <w:rFonts w:ascii="Times New Roman" w:hAnsi="Times New Roman" w:cs="Times New Roman" w:eastAsia="Times New Roman" w:hint="default"/>
                <w:sz w:val="18"/>
                <w:szCs w:val="18"/>
              </w:rPr>
            </w:pPr>
            <w:r>
              <w:rPr>
                <w:rFonts w:ascii="Times New Roman"/>
                <w:sz w:val="18"/>
              </w:rPr>
              <w:t>51.09</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Times New Roman" w:hAnsi="Times New Roman" w:cs="Times New Roman" w:eastAsia="Times New Roman" w:hint="default"/>
                <w:sz w:val="18"/>
                <w:szCs w:val="18"/>
              </w:rPr>
            </w:pPr>
            <w:r>
              <w:rPr>
                <w:rFonts w:ascii="Times New Roman"/>
                <w:sz w:val="18"/>
              </w:rPr>
              <w:t>-3,449,1</w:t>
            </w:r>
          </w:p>
          <w:p>
            <w:pPr>
              <w:pStyle w:val="TableParagraph"/>
              <w:spacing w:line="240" w:lineRule="auto" w:before="105"/>
              <w:ind w:left="197" w:right="0"/>
              <w:jc w:val="center"/>
              <w:rPr>
                <w:rFonts w:ascii="Times New Roman" w:hAnsi="Times New Roman" w:cs="Times New Roman" w:eastAsia="Times New Roman" w:hint="default"/>
                <w:sz w:val="18"/>
                <w:szCs w:val="18"/>
              </w:rPr>
            </w:pPr>
            <w:r>
              <w:rPr>
                <w:rFonts w:ascii="Times New Roman"/>
                <w:sz w:val="18"/>
              </w:rPr>
              <w:t>51.09</w:t>
            </w:r>
          </w:p>
        </w:tc>
      </w:tr>
      <w:tr>
        <w:trPr>
          <w:trHeight w:val="1027"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7" w:right="0"/>
              <w:jc w:val="center"/>
              <w:rPr>
                <w:rFonts w:ascii="Times New Roman" w:hAnsi="Times New Roman" w:cs="Times New Roman" w:eastAsia="Times New Roman" w:hint="default"/>
                <w:sz w:val="18"/>
                <w:szCs w:val="18"/>
              </w:rPr>
            </w:pPr>
            <w:r>
              <w:rPr>
                <w:rFonts w:ascii="Times New Roman"/>
                <w:sz w:val="18"/>
              </w:rPr>
              <w:t>1,961,</w:t>
            </w:r>
          </w:p>
          <w:p>
            <w:pPr>
              <w:pStyle w:val="TableParagraph"/>
              <w:spacing w:line="240" w:lineRule="auto" w:before="104"/>
              <w:ind w:left="13" w:right="0"/>
              <w:jc w:val="center"/>
              <w:rPr>
                <w:rFonts w:ascii="Times New Roman" w:hAnsi="Times New Roman" w:cs="Times New Roman" w:eastAsia="Times New Roman" w:hint="default"/>
                <w:sz w:val="18"/>
                <w:szCs w:val="18"/>
              </w:rPr>
            </w:pPr>
            <w:r>
              <w:rPr>
                <w:rFonts w:ascii="Times New Roman"/>
                <w:sz w:val="18"/>
              </w:rPr>
              <w:t>091,98</w:t>
            </w:r>
          </w:p>
          <w:p>
            <w:pPr>
              <w:pStyle w:val="TableParagraph"/>
              <w:spacing w:line="240" w:lineRule="auto" w:before="106"/>
              <w:ind w:left="193" w:right="0"/>
              <w:jc w:val="center"/>
              <w:rPr>
                <w:rFonts w:ascii="Times New Roman" w:hAnsi="Times New Roman" w:cs="Times New Roman" w:eastAsia="Times New Roman" w:hint="default"/>
                <w:sz w:val="18"/>
                <w:szCs w:val="18"/>
              </w:rPr>
            </w:pPr>
            <w:r>
              <w:rPr>
                <w:rFonts w:ascii="Times New Roman"/>
                <w:sz w:val="18"/>
              </w:rPr>
              <w:t>4.00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427,255</w:t>
            </w:r>
          </w:p>
          <w:p>
            <w:pPr>
              <w:pStyle w:val="TableParagraph"/>
              <w:spacing w:line="240" w:lineRule="auto" w:before="105"/>
              <w:ind w:left="92" w:right="0"/>
              <w:jc w:val="left"/>
              <w:rPr>
                <w:rFonts w:ascii="Times New Roman" w:hAnsi="Times New Roman" w:cs="Times New Roman" w:eastAsia="Times New Roman" w:hint="default"/>
                <w:sz w:val="18"/>
                <w:szCs w:val="18"/>
              </w:rPr>
            </w:pPr>
            <w:r>
              <w:rPr>
                <w:rFonts w:ascii="Times New Roman"/>
                <w:sz w:val="18"/>
              </w:rPr>
              <w:t>,737.04</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-4,286,1</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73.91</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231,293</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,196.44</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2,530,8</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44,496.</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31</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1" w:right="0"/>
              <w:jc w:val="center"/>
              <w:rPr>
                <w:rFonts w:ascii="Times New Roman" w:hAnsi="Times New Roman" w:cs="Times New Roman" w:eastAsia="Times New Roman" w:hint="default"/>
                <w:sz w:val="18"/>
                <w:szCs w:val="18"/>
              </w:rPr>
            </w:pPr>
            <w:r>
              <w:rPr>
                <w:rFonts w:ascii="Times New Roman"/>
                <w:sz w:val="18"/>
              </w:rPr>
              <w:t>-6,225,1</w:t>
            </w:r>
          </w:p>
          <w:p>
            <w:pPr>
              <w:pStyle w:val="TableParagraph"/>
              <w:spacing w:line="240" w:lineRule="auto" w:before="105"/>
              <w:ind w:left="192" w:right="0"/>
              <w:jc w:val="center"/>
              <w:rPr>
                <w:rFonts w:ascii="Times New Roman" w:hAnsi="Times New Roman" w:cs="Times New Roman" w:eastAsia="Times New Roman" w:hint="default"/>
                <w:sz w:val="18"/>
                <w:szCs w:val="18"/>
              </w:rPr>
            </w:pPr>
            <w:r>
              <w:rPr>
                <w:rFonts w:ascii="Times New Roman"/>
                <w:sz w:val="18"/>
              </w:rPr>
              <w:t>18.63</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5,139,9</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74,121.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25</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8、母公司所有者权益变动表" w:id="172"/>
      <w:bookmarkEnd w:id="172"/>
      <w:r>
        <w:rPr>
          <w:b w:val="0"/>
          <w:bCs w:val="0"/>
        </w:rPr>
      </w:r>
      <w:r>
        <w:rPr>
          <w:rFonts w:ascii="Times New Roman" w:hAnsi="Times New Roman" w:cs="Times New Roman" w:eastAsia="Times New Roman" w:hint="default"/>
        </w:rPr>
        <w:t>8</w:t>
      </w:r>
      <w:r>
        <w:rPr/>
        <w:t>、母公司所有者权益变动表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114" w:right="1276"/>
        <w:jc w:val="left"/>
      </w:pPr>
      <w:r>
        <w:rPr/>
        <w:t>本期金额</w:t>
      </w:r>
    </w:p>
    <w:p>
      <w:pPr>
        <w:pStyle w:val="BodyText"/>
        <w:spacing w:line="240" w:lineRule="auto" w:before="116"/>
        <w:ind w:left="0" w:right="1130"/>
        <w:jc w:val="right"/>
      </w:pPr>
      <w:r>
        <w:rPr/>
        <w:t>单位：元</w:t>
      </w:r>
    </w:p>
    <w:p>
      <w:pPr>
        <w:spacing w:line="240" w:lineRule="auto" w:before="0"/>
        <w:rPr>
          <w:rFonts w:ascii="宋体" w:hAnsi="宋体" w:cs="宋体" w:eastAsia="宋体" w:hint="default"/>
          <w:sz w:val="8"/>
          <w:szCs w:val="8"/>
        </w:rPr>
      </w:pPr>
    </w:p>
    <w:tbl>
      <w:tblPr>
        <w:tblW w:w="0" w:type="auto"/>
        <w:jc w:val="left"/>
        <w:tblInd w:w="120" w:type="dxa"/>
        <w:tblLayout w:type="fixed"/>
        <w:tblCellMar>
          <w:top w:w="0" w:type="dxa"/>
          <w:left w:w="0" w:type="dxa"/>
          <w:bottom w:w="0" w:type="dxa"/>
          <w:right w:w="0" w:type="dxa"/>
        </w:tblCellMar>
        <w:tblLook w:val="01E0"/>
      </w:tblPr>
      <w:tblGrid>
        <w:gridCol w:w="1418"/>
        <w:gridCol w:w="703"/>
        <w:gridCol w:w="665"/>
        <w:gridCol w:w="665"/>
        <w:gridCol w:w="665"/>
        <w:gridCol w:w="797"/>
        <w:gridCol w:w="798"/>
        <w:gridCol w:w="798"/>
        <w:gridCol w:w="798"/>
        <w:gridCol w:w="797"/>
        <w:gridCol w:w="676"/>
        <w:gridCol w:w="781"/>
      </w:tblGrid>
      <w:tr>
        <w:trPr>
          <w:trHeight w:val="397" w:hRule="exact"/>
        </w:trPr>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c>
          <w:tcPr>
            <w:tcW w:w="8143"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211" w:hRule="exact"/>
        </w:trPr>
        <w:tc>
          <w:tcPr>
            <w:tcW w:w="141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703" w:type="dxa"/>
            <w:tcBorders>
              <w:top w:val="single" w:sz="4" w:space="0" w:color="000000"/>
              <w:left w:val="single" w:sz="4" w:space="0" w:color="000000"/>
              <w:bottom w:val="nil" w:sz="6" w:space="0" w:color="auto"/>
              <w:right w:val="single" w:sz="4" w:space="0" w:color="000000"/>
            </w:tcBorders>
            <w:shd w:val="clear" w:color="auto" w:fill="D2D2D2"/>
          </w:tcPr>
          <w:p>
            <w:pPr/>
          </w:p>
        </w:tc>
        <w:tc>
          <w:tcPr>
            <w:tcW w:w="1995"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7"/>
              <w:ind w:left="45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304" w:right="31" w:hanging="270"/>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214" w:right="3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98"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67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152" w:right="61"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8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115" w:right="24" w:hanging="90"/>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93" w:hRule="exact"/>
        </w:trPr>
        <w:tc>
          <w:tcPr>
            <w:tcW w:w="1418" w:type="dxa"/>
            <w:vMerge/>
            <w:tcBorders>
              <w:left w:val="single" w:sz="4" w:space="0" w:color="000000"/>
              <w:bottom w:val="nil" w:sz="6" w:space="0" w:color="auto"/>
              <w:right w:val="single" w:sz="4" w:space="0" w:color="000000"/>
            </w:tcBorders>
            <w:shd w:val="clear" w:color="auto" w:fill="D2D2D2"/>
          </w:tcPr>
          <w:p>
            <w:pPr/>
          </w:p>
        </w:tc>
        <w:tc>
          <w:tcPr>
            <w:tcW w:w="70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5" w:type="dxa"/>
            <w:gridSpan w:val="3"/>
            <w:vMerge/>
            <w:tcBorders>
              <w:left w:val="single" w:sz="4" w:space="0" w:color="000000"/>
              <w:bottom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199" w:hRule="exact"/>
        </w:trPr>
        <w:tc>
          <w:tcPr>
            <w:tcW w:w="1418" w:type="dxa"/>
            <w:vMerge w:val="restart"/>
            <w:tcBorders>
              <w:top w:val="nil" w:sz="6" w:space="0" w:color="auto"/>
              <w:left w:val="single" w:sz="4" w:space="0" w:color="000000"/>
              <w:right w:val="single" w:sz="4" w:space="0" w:color="000000"/>
            </w:tcBorders>
            <w:shd w:val="clear" w:color="auto" w:fill="D2D2D2"/>
          </w:tcPr>
          <w:p>
            <w:pPr/>
          </w:p>
        </w:tc>
        <w:tc>
          <w:tcPr>
            <w:tcW w:w="703"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56"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5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14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nil" w:sz="6" w:space="0" w:color="auto"/>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205" w:hRule="exact"/>
        </w:trPr>
        <w:tc>
          <w:tcPr>
            <w:tcW w:w="1418" w:type="dxa"/>
            <w:vMerge/>
            <w:tcBorders>
              <w:left w:val="single" w:sz="4" w:space="0" w:color="000000"/>
              <w:bottom w:val="single" w:sz="4" w:space="0" w:color="000000"/>
              <w:right w:val="single" w:sz="4" w:space="0" w:color="000000"/>
            </w:tcBorders>
            <w:shd w:val="clear" w:color="auto" w:fill="D2D2D2"/>
          </w:tcPr>
          <w:p>
            <w:pPr/>
          </w:p>
        </w:tc>
        <w:tc>
          <w:tcPr>
            <w:tcW w:w="703"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676" w:type="dxa"/>
            <w:vMerge/>
            <w:tcBorders>
              <w:left w:val="single" w:sz="4" w:space="0" w:color="000000"/>
              <w:bottom w:val="single" w:sz="4" w:space="0" w:color="000000"/>
              <w:right w:val="single" w:sz="4" w:space="0" w:color="000000"/>
            </w:tcBorders>
            <w:shd w:val="clear" w:color="auto" w:fill="D2D2D2"/>
          </w:tcPr>
          <w:p>
            <w:pPr/>
          </w:p>
        </w:tc>
        <w:tc>
          <w:tcPr>
            <w:tcW w:w="781" w:type="dxa"/>
            <w:vMerge/>
            <w:tcBorders>
              <w:left w:val="single" w:sz="4" w:space="0" w:color="000000"/>
              <w:bottom w:val="single" w:sz="4" w:space="0" w:color="000000"/>
              <w:right w:val="single" w:sz="4" w:space="0" w:color="000000"/>
            </w:tcBorders>
            <w:shd w:val="clear" w:color="auto" w:fill="D2D2D2"/>
          </w:tcPr>
          <w:p>
            <w:pPr/>
          </w:p>
        </w:tc>
      </w:tr>
      <w:tr>
        <w:trPr>
          <w:trHeight w:val="318" w:hRule="exact"/>
        </w:trPr>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c>
          <w:tcPr>
            <w:tcW w:w="703" w:type="dxa"/>
            <w:vMerge w:val="restart"/>
            <w:tcBorders>
              <w:top w:val="single" w:sz="4" w:space="0" w:color="000000"/>
              <w:left w:val="single" w:sz="10" w:space="0" w:color="D2D2D2"/>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2" w:right="0"/>
              <w:jc w:val="left"/>
              <w:rPr>
                <w:rFonts w:ascii="Times New Roman" w:hAnsi="Times New Roman" w:cs="Times New Roman" w:eastAsia="Times New Roman" w:hint="default"/>
                <w:sz w:val="18"/>
                <w:szCs w:val="18"/>
              </w:rPr>
            </w:pPr>
            <w:r>
              <w:rPr>
                <w:rFonts w:ascii="Times New Roman"/>
                <w:sz w:val="18"/>
              </w:rPr>
              <w:t>1,961,09</w:t>
            </w:r>
          </w:p>
          <w:p>
            <w:pPr>
              <w:pStyle w:val="TableParagraph"/>
              <w:spacing w:line="240" w:lineRule="auto" w:before="105"/>
              <w:ind w:left="32" w:right="0"/>
              <w:jc w:val="left"/>
              <w:rPr>
                <w:rFonts w:ascii="Times New Roman" w:hAnsi="Times New Roman" w:cs="Times New Roman" w:eastAsia="Times New Roman" w:hint="default"/>
                <w:sz w:val="18"/>
                <w:szCs w:val="18"/>
              </w:rPr>
            </w:pPr>
            <w:r>
              <w:rPr>
                <w:rFonts w:ascii="Times New Roman"/>
                <w:sz w:val="18"/>
              </w:rPr>
              <w:t>1,984.00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412,094,5</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25.08</w:t>
            </w:r>
          </w:p>
        </w:tc>
        <w:tc>
          <w:tcPr>
            <w:tcW w:w="798" w:type="dxa"/>
            <w:vMerge w:val="restart"/>
            <w:tcBorders>
              <w:top w:val="single" w:sz="18" w:space="0" w:color="D2D2D2"/>
              <w:left w:val="single" w:sz="4" w:space="0" w:color="000000"/>
              <w:right w:val="single" w:sz="4" w:space="0" w:color="000000"/>
            </w:tcBorders>
          </w:tcPr>
          <w:p>
            <w:pPr/>
          </w:p>
        </w:tc>
        <w:tc>
          <w:tcPr>
            <w:tcW w:w="798" w:type="dxa"/>
            <w:vMerge w:val="restart"/>
            <w:tcBorders>
              <w:top w:val="single" w:sz="18" w:space="0" w:color="D2D2D2"/>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75" w:right="0"/>
              <w:jc w:val="left"/>
              <w:rPr>
                <w:rFonts w:ascii="Times New Roman" w:hAnsi="Times New Roman" w:cs="Times New Roman" w:eastAsia="Times New Roman" w:hint="default"/>
                <w:sz w:val="18"/>
                <w:szCs w:val="18"/>
              </w:rPr>
            </w:pPr>
            <w:r>
              <w:rPr>
                <w:rFonts w:ascii="Times New Roman"/>
                <w:sz w:val="18"/>
              </w:rPr>
              <w:t>-7,053,83</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7.63</w:t>
            </w: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230,387,8</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99.16</w:t>
            </w:r>
          </w:p>
        </w:tc>
        <w:tc>
          <w:tcPr>
            <w:tcW w:w="676" w:type="dxa"/>
            <w:vMerge w:val="restart"/>
            <w:tcBorders>
              <w:top w:val="single" w:sz="18" w:space="0" w:color="D2D2D2"/>
              <w:left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18"/>
                <w:szCs w:val="18"/>
              </w:rPr>
            </w:pPr>
            <w:r>
              <w:rPr>
                <w:rFonts w:ascii="Times New Roman"/>
                <w:sz w:val="18"/>
              </w:rPr>
              <w:t>1,022,1</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75,937.</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43</w:t>
            </w:r>
          </w:p>
        </w:tc>
        <w:tc>
          <w:tcPr>
            <w:tcW w:w="781" w:type="dxa"/>
            <w:vMerge w:val="restart"/>
            <w:tcBorders>
              <w:top w:val="single" w:sz="18" w:space="0" w:color="D2D2D2"/>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3,618,696</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,508.04</w:t>
            </w:r>
          </w:p>
        </w:tc>
      </w:tr>
      <w:tr>
        <w:trPr>
          <w:trHeight w:val="391" w:hRule="exact"/>
        </w:trPr>
        <w:tc>
          <w:tcPr>
            <w:tcW w:w="141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0"/>
              <w:jc w:val="right"/>
              <w:rPr>
                <w:rFonts w:ascii="宋体" w:hAnsi="宋体" w:cs="宋体" w:eastAsia="宋体" w:hint="default"/>
                <w:sz w:val="18"/>
                <w:szCs w:val="18"/>
              </w:rPr>
            </w:pPr>
            <w:r>
              <w:rPr>
                <w:rFonts w:ascii="宋体" w:hAnsi="宋体" w:cs="宋体" w:eastAsia="宋体" w:hint="default"/>
                <w:spacing w:val="-7"/>
                <w:w w:val="95"/>
                <w:sz w:val="18"/>
                <w:szCs w:val="18"/>
              </w:rPr>
              <w:t>一、上年期末余额</w:t>
            </w:r>
          </w:p>
        </w:tc>
        <w:tc>
          <w:tcPr>
            <w:tcW w:w="703"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317" w:hRule="exact"/>
        </w:trPr>
        <w:tc>
          <w:tcPr>
            <w:tcW w:w="1418" w:type="dxa"/>
            <w:tcBorders>
              <w:top w:val="nil" w:sz="6" w:space="0" w:color="auto"/>
              <w:left w:val="single" w:sz="4" w:space="0" w:color="000000"/>
              <w:bottom w:val="single" w:sz="4" w:space="0" w:color="000000"/>
              <w:right w:val="single" w:sz="4" w:space="0" w:color="000000"/>
            </w:tcBorders>
            <w:shd w:val="clear" w:color="auto" w:fill="D2D2D2"/>
          </w:tcPr>
          <w:p>
            <w:pPr/>
          </w:p>
        </w:tc>
        <w:tc>
          <w:tcPr>
            <w:tcW w:w="703"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10"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318" w:hRule="exact"/>
        </w:trPr>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c>
          <w:tcPr>
            <w:tcW w:w="703" w:type="dxa"/>
            <w:vMerge w:val="restart"/>
            <w:tcBorders>
              <w:top w:val="single" w:sz="4" w:space="0" w:color="000000"/>
              <w:left w:val="single" w:sz="10" w:space="0" w:color="D2D2D2"/>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2" w:right="0"/>
              <w:jc w:val="left"/>
              <w:rPr>
                <w:rFonts w:ascii="Times New Roman" w:hAnsi="Times New Roman" w:cs="Times New Roman" w:eastAsia="Times New Roman" w:hint="default"/>
                <w:sz w:val="18"/>
                <w:szCs w:val="18"/>
              </w:rPr>
            </w:pPr>
            <w:r>
              <w:rPr>
                <w:rFonts w:ascii="Times New Roman"/>
                <w:sz w:val="18"/>
              </w:rPr>
              <w:t>1,961,09</w:t>
            </w:r>
          </w:p>
          <w:p>
            <w:pPr>
              <w:pStyle w:val="TableParagraph"/>
              <w:spacing w:line="240" w:lineRule="auto" w:before="105"/>
              <w:ind w:left="32" w:right="0"/>
              <w:jc w:val="left"/>
              <w:rPr>
                <w:rFonts w:ascii="Times New Roman" w:hAnsi="Times New Roman" w:cs="Times New Roman" w:eastAsia="Times New Roman" w:hint="default"/>
                <w:sz w:val="18"/>
                <w:szCs w:val="18"/>
              </w:rPr>
            </w:pPr>
            <w:r>
              <w:rPr>
                <w:rFonts w:ascii="Times New Roman"/>
                <w:sz w:val="18"/>
              </w:rPr>
              <w:t>1,984.00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412,094,5</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25.08</w:t>
            </w: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75" w:right="0"/>
              <w:jc w:val="left"/>
              <w:rPr>
                <w:rFonts w:ascii="Times New Roman" w:hAnsi="Times New Roman" w:cs="Times New Roman" w:eastAsia="Times New Roman" w:hint="default"/>
                <w:sz w:val="18"/>
                <w:szCs w:val="18"/>
              </w:rPr>
            </w:pPr>
            <w:r>
              <w:rPr>
                <w:rFonts w:ascii="Times New Roman"/>
                <w:sz w:val="18"/>
              </w:rPr>
              <w:t>-7,053,83</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7.63</w:t>
            </w: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230,387,8</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99.16</w:t>
            </w:r>
          </w:p>
        </w:tc>
        <w:tc>
          <w:tcPr>
            <w:tcW w:w="676" w:type="dxa"/>
            <w:vMerge w:val="restart"/>
            <w:tcBorders>
              <w:top w:val="single" w:sz="4" w:space="0" w:color="000000"/>
              <w:left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1,022,1</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75,937.</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43</w:t>
            </w:r>
          </w:p>
        </w:tc>
        <w:tc>
          <w:tcPr>
            <w:tcW w:w="781"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3,618,696</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,508.04</w:t>
            </w:r>
          </w:p>
        </w:tc>
      </w:tr>
      <w:tr>
        <w:trPr>
          <w:trHeight w:val="391" w:hRule="exact"/>
        </w:trPr>
        <w:tc>
          <w:tcPr>
            <w:tcW w:w="141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0"/>
              <w:jc w:val="right"/>
              <w:rPr>
                <w:rFonts w:ascii="宋体" w:hAnsi="宋体" w:cs="宋体" w:eastAsia="宋体" w:hint="default"/>
                <w:sz w:val="18"/>
                <w:szCs w:val="18"/>
              </w:rPr>
            </w:pPr>
            <w:r>
              <w:rPr>
                <w:rFonts w:ascii="宋体" w:hAnsi="宋体" w:cs="宋体" w:eastAsia="宋体" w:hint="default"/>
                <w:spacing w:val="-7"/>
                <w:w w:val="95"/>
                <w:sz w:val="18"/>
                <w:szCs w:val="18"/>
              </w:rPr>
              <w:t>二、本年期初余额</w:t>
            </w:r>
          </w:p>
        </w:tc>
        <w:tc>
          <w:tcPr>
            <w:tcW w:w="703"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317" w:hRule="exact"/>
        </w:trPr>
        <w:tc>
          <w:tcPr>
            <w:tcW w:w="1418" w:type="dxa"/>
            <w:tcBorders>
              <w:top w:val="nil" w:sz="6" w:space="0" w:color="auto"/>
              <w:left w:val="single" w:sz="4" w:space="0" w:color="000000"/>
              <w:bottom w:val="single" w:sz="4" w:space="0" w:color="000000"/>
              <w:right w:val="single" w:sz="4" w:space="0" w:color="000000"/>
            </w:tcBorders>
            <w:shd w:val="clear" w:color="auto" w:fill="D2D2D2"/>
          </w:tcPr>
          <w:p>
            <w:pPr/>
          </w:p>
        </w:tc>
        <w:tc>
          <w:tcPr>
            <w:tcW w:w="703"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1026"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2"/>
              <w:ind w:left="11" w:right="9"/>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20,307,98</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4.12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165,683.1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0" w:right="0"/>
              <w:jc w:val="center"/>
              <w:rPr>
                <w:rFonts w:ascii="Times New Roman" w:hAnsi="Times New Roman" w:cs="Times New Roman" w:eastAsia="Times New Roman" w:hint="default"/>
                <w:sz w:val="18"/>
                <w:szCs w:val="18"/>
              </w:rPr>
            </w:pPr>
            <w:r>
              <w:rPr>
                <w:rFonts w:ascii="Times New Roman"/>
                <w:sz w:val="18"/>
              </w:rPr>
              <w:t>-62,560,</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938.75</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-42,087,2</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71.51</w:t>
            </w: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0"/>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165,683.1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0" w:right="0"/>
              <w:jc w:val="center"/>
              <w:rPr>
                <w:rFonts w:ascii="Times New Roman" w:hAnsi="Times New Roman" w:cs="Times New Roman" w:eastAsia="Times New Roman" w:hint="default"/>
                <w:sz w:val="18"/>
                <w:szCs w:val="18"/>
              </w:rPr>
            </w:pPr>
            <w:r>
              <w:rPr>
                <w:rFonts w:ascii="Times New Roman"/>
                <w:sz w:val="18"/>
              </w:rPr>
              <w:t>-48,833,</w:t>
            </w:r>
          </w:p>
          <w:p>
            <w:pPr>
              <w:pStyle w:val="TableParagraph"/>
              <w:spacing w:line="240" w:lineRule="auto" w:before="105"/>
              <w:ind w:left="131" w:right="0"/>
              <w:jc w:val="center"/>
              <w:rPr>
                <w:rFonts w:ascii="Times New Roman" w:hAnsi="Times New Roman" w:cs="Times New Roman" w:eastAsia="Times New Roman" w:hint="default"/>
                <w:sz w:val="18"/>
                <w:szCs w:val="18"/>
              </w:rPr>
            </w:pPr>
            <w:r>
              <w:rPr>
                <w:rFonts w:ascii="Times New Roman"/>
                <w:sz w:val="18"/>
              </w:rPr>
              <w:t>330.11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7" w:right="0"/>
              <w:jc w:val="left"/>
              <w:rPr>
                <w:rFonts w:ascii="Times New Roman" w:hAnsi="Times New Roman" w:cs="Times New Roman" w:eastAsia="Times New Roman" w:hint="default"/>
                <w:sz w:val="18"/>
                <w:szCs w:val="18"/>
              </w:rPr>
            </w:pPr>
            <w:r>
              <w:rPr>
                <w:rFonts w:ascii="Times New Roman"/>
                <w:sz w:val="18"/>
              </w:rPr>
              <w:t>-48,667,6</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46.99</w:t>
            </w: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0"/>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 w:right="0"/>
              <w:jc w:val="left"/>
              <w:rPr>
                <w:rFonts w:ascii="Times New Roman" w:hAnsi="Times New Roman" w:cs="Times New Roman" w:eastAsia="Times New Roman" w:hint="default"/>
                <w:sz w:val="18"/>
                <w:szCs w:val="18"/>
              </w:rPr>
            </w:pPr>
            <w:r>
              <w:rPr>
                <w:rFonts w:ascii="Times New Roman"/>
                <w:sz w:val="18"/>
              </w:rPr>
              <w:t>20,307,98</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4.12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7" w:right="0"/>
              <w:jc w:val="left"/>
              <w:rPr>
                <w:rFonts w:ascii="Times New Roman" w:hAnsi="Times New Roman" w:cs="Times New Roman" w:eastAsia="Times New Roman" w:hint="default"/>
                <w:sz w:val="18"/>
                <w:szCs w:val="18"/>
              </w:rPr>
            </w:pPr>
            <w:r>
              <w:rPr>
                <w:rFonts w:ascii="Times New Roman"/>
                <w:sz w:val="18"/>
              </w:rPr>
              <w:t>20,307,98</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4.12</w:t>
            </w: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45"/>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 w:right="0"/>
              <w:jc w:val="left"/>
              <w:rPr>
                <w:rFonts w:ascii="Times New Roman" w:hAnsi="Times New Roman" w:cs="Times New Roman" w:eastAsia="Times New Roman" w:hint="default"/>
                <w:sz w:val="18"/>
                <w:szCs w:val="18"/>
              </w:rPr>
            </w:pPr>
            <w:r>
              <w:rPr>
                <w:rFonts w:ascii="Times New Roman"/>
                <w:sz w:val="18"/>
              </w:rPr>
              <w:t>20,307,98</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4.12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7" w:right="0"/>
              <w:jc w:val="left"/>
              <w:rPr>
                <w:rFonts w:ascii="Times New Roman" w:hAnsi="Times New Roman" w:cs="Times New Roman" w:eastAsia="Times New Roman" w:hint="default"/>
                <w:sz w:val="18"/>
                <w:szCs w:val="18"/>
              </w:rPr>
            </w:pPr>
            <w:r>
              <w:rPr>
                <w:rFonts w:ascii="Times New Roman"/>
                <w:sz w:val="18"/>
              </w:rPr>
              <w:t>20,307,98</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4.12</w:t>
            </w:r>
          </w:p>
        </w:tc>
      </w:tr>
      <w:tr>
        <w:trPr>
          <w:trHeight w:val="715"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45"/>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400" w:bottom="1160" w:left="1020" w:right="0"/>
        </w:sectPr>
      </w:pPr>
    </w:p>
    <w:tbl>
      <w:tblPr>
        <w:tblW w:w="0" w:type="auto"/>
        <w:jc w:val="left"/>
        <w:tblInd w:w="10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1038" w:hRule="exact"/>
        </w:trPr>
        <w:tc>
          <w:tcPr>
            <w:tcW w:w="144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2"/>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691"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797" w:type="dxa"/>
            <w:tcBorders>
              <w:top w:val="single" w:sz="10" w:space="0" w:color="000000"/>
              <w:left w:val="single" w:sz="4" w:space="0" w:color="000000"/>
              <w:bottom w:val="single" w:sz="4" w:space="0" w:color="000000"/>
              <w:right w:val="single" w:sz="4" w:space="0" w:color="000000"/>
            </w:tcBorders>
          </w:tcPr>
          <w:p>
            <w:pPr/>
          </w:p>
        </w:tc>
        <w:tc>
          <w:tcPr>
            <w:tcW w:w="798" w:type="dxa"/>
            <w:tcBorders>
              <w:top w:val="single" w:sz="10" w:space="0" w:color="000000"/>
              <w:left w:val="single" w:sz="4" w:space="0" w:color="000000"/>
              <w:bottom w:val="single" w:sz="4" w:space="0" w:color="000000"/>
              <w:right w:val="single" w:sz="4" w:space="0" w:color="000000"/>
            </w:tcBorders>
          </w:tcPr>
          <w:p>
            <w:pPr/>
          </w:p>
        </w:tc>
        <w:tc>
          <w:tcPr>
            <w:tcW w:w="798" w:type="dxa"/>
            <w:tcBorders>
              <w:top w:val="single" w:sz="10" w:space="0" w:color="000000"/>
              <w:left w:val="single" w:sz="4" w:space="0" w:color="000000"/>
              <w:bottom w:val="single" w:sz="4" w:space="0" w:color="000000"/>
              <w:right w:val="single" w:sz="4" w:space="0" w:color="000000"/>
            </w:tcBorders>
          </w:tcPr>
          <w:p>
            <w:pPr/>
          </w:p>
        </w:tc>
        <w:tc>
          <w:tcPr>
            <w:tcW w:w="798" w:type="dxa"/>
            <w:tcBorders>
              <w:top w:val="single" w:sz="10" w:space="0" w:color="000000"/>
              <w:left w:val="single" w:sz="4" w:space="0" w:color="000000"/>
              <w:bottom w:val="single" w:sz="4" w:space="0" w:color="000000"/>
              <w:right w:val="single" w:sz="4" w:space="0" w:color="000000"/>
            </w:tcBorders>
          </w:tcPr>
          <w:p>
            <w:pPr/>
          </w:p>
        </w:tc>
        <w:tc>
          <w:tcPr>
            <w:tcW w:w="797" w:type="dxa"/>
            <w:tcBorders>
              <w:top w:val="single" w:sz="10" w:space="0" w:color="000000"/>
              <w:left w:val="single" w:sz="4" w:space="0" w:color="000000"/>
              <w:bottom w:val="single" w:sz="4" w:space="0" w:color="000000"/>
              <w:right w:val="single" w:sz="4" w:space="0" w:color="000000"/>
            </w:tcBorders>
          </w:tcPr>
          <w:p>
            <w:pPr/>
          </w:p>
        </w:tc>
        <w:tc>
          <w:tcPr>
            <w:tcW w:w="676" w:type="dxa"/>
            <w:tcBorders>
              <w:top w:val="single" w:sz="10" w:space="0" w:color="000000"/>
              <w:left w:val="single" w:sz="4" w:space="0" w:color="000000"/>
              <w:bottom w:val="single" w:sz="4" w:space="0" w:color="000000"/>
              <w:right w:val="single" w:sz="4" w:space="0" w:color="000000"/>
            </w:tcBorders>
          </w:tcPr>
          <w:p>
            <w:pPr/>
          </w:p>
        </w:tc>
        <w:tc>
          <w:tcPr>
            <w:tcW w:w="781" w:type="dxa"/>
            <w:tcBorders>
              <w:top w:val="single" w:sz="10"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0" w:right="0"/>
              <w:jc w:val="center"/>
              <w:rPr>
                <w:rFonts w:ascii="Times New Roman" w:hAnsi="Times New Roman" w:cs="Times New Roman" w:eastAsia="Times New Roman" w:hint="default"/>
                <w:sz w:val="18"/>
                <w:szCs w:val="18"/>
              </w:rPr>
            </w:pPr>
            <w:r>
              <w:rPr>
                <w:rFonts w:ascii="Times New Roman"/>
                <w:sz w:val="18"/>
              </w:rPr>
              <w:t>-13,727,</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608.64</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57" w:right="0"/>
              <w:jc w:val="left"/>
              <w:rPr>
                <w:rFonts w:ascii="Times New Roman" w:hAnsi="Times New Roman" w:cs="Times New Roman" w:eastAsia="Times New Roman" w:hint="default"/>
                <w:sz w:val="18"/>
                <w:szCs w:val="18"/>
              </w:rPr>
            </w:pPr>
            <w:r>
              <w:rPr>
                <w:rFonts w:ascii="Times New Roman"/>
                <w:sz w:val="18"/>
              </w:rPr>
              <w:t>-13,727,6</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08.64</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7"/>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0" w:right="0"/>
              <w:jc w:val="center"/>
              <w:rPr>
                <w:rFonts w:ascii="Times New Roman" w:hAnsi="Times New Roman" w:cs="Times New Roman" w:eastAsia="Times New Roman" w:hint="default"/>
                <w:sz w:val="18"/>
                <w:szCs w:val="18"/>
              </w:rPr>
            </w:pPr>
            <w:r>
              <w:rPr>
                <w:rFonts w:ascii="Times New Roman"/>
                <w:sz w:val="18"/>
              </w:rPr>
              <w:t>-13,727,</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608.64</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57" w:right="0"/>
              <w:jc w:val="left"/>
              <w:rPr>
                <w:rFonts w:ascii="Times New Roman" w:hAnsi="Times New Roman" w:cs="Times New Roman" w:eastAsia="Times New Roman" w:hint="default"/>
                <w:sz w:val="18"/>
                <w:szCs w:val="18"/>
              </w:rPr>
            </w:pPr>
            <w:r>
              <w:rPr>
                <w:rFonts w:ascii="Times New Roman"/>
                <w:sz w:val="18"/>
              </w:rPr>
              <w:t>-13,727,6</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08.64</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7"/>
              <w:ind w:left="22" w:right="22"/>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46"/>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46"/>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46"/>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6"/>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 收益</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7" w:right="0"/>
              <w:jc w:val="left"/>
              <w:rPr>
                <w:rFonts w:ascii="Times New Roman" w:hAnsi="Times New Roman" w:cs="Times New Roman" w:eastAsia="Times New Roman" w:hint="default"/>
                <w:sz w:val="18"/>
                <w:szCs w:val="18"/>
              </w:rPr>
            </w:pPr>
            <w:r>
              <w:rPr>
                <w:rFonts w:ascii="Times New Roman"/>
                <w:sz w:val="18"/>
              </w:rPr>
              <w:t>1,961,09</w:t>
            </w:r>
          </w:p>
          <w:p>
            <w:pPr>
              <w:pStyle w:val="TableParagraph"/>
              <w:spacing w:line="240" w:lineRule="auto" w:before="106"/>
              <w:ind w:left="27" w:right="0"/>
              <w:jc w:val="left"/>
              <w:rPr>
                <w:rFonts w:ascii="Times New Roman" w:hAnsi="Times New Roman" w:cs="Times New Roman" w:eastAsia="Times New Roman" w:hint="default"/>
                <w:sz w:val="18"/>
                <w:szCs w:val="18"/>
              </w:rPr>
            </w:pPr>
            <w:r>
              <w:rPr>
                <w:rFonts w:ascii="Times New Roman"/>
                <w:sz w:val="18"/>
              </w:rPr>
              <w:t>1,984.00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44" w:right="0"/>
              <w:jc w:val="left"/>
              <w:rPr>
                <w:rFonts w:ascii="Times New Roman" w:hAnsi="Times New Roman" w:cs="Times New Roman" w:eastAsia="Times New Roman" w:hint="default"/>
                <w:sz w:val="18"/>
                <w:szCs w:val="18"/>
              </w:rPr>
            </w:pPr>
            <w:r>
              <w:rPr>
                <w:rFonts w:ascii="Times New Roman"/>
                <w:sz w:val="18"/>
              </w:rPr>
              <w:t>432,402,5</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09.20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75" w:right="0"/>
              <w:jc w:val="left"/>
              <w:rPr>
                <w:rFonts w:ascii="Times New Roman" w:hAnsi="Times New Roman" w:cs="Times New Roman" w:eastAsia="Times New Roman" w:hint="default"/>
                <w:sz w:val="18"/>
                <w:szCs w:val="18"/>
              </w:rPr>
            </w:pPr>
            <w:r>
              <w:rPr>
                <w:rFonts w:ascii="Times New Roman"/>
                <w:sz w:val="18"/>
              </w:rPr>
              <w:t>-6,888,15</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4.51</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44" w:right="0"/>
              <w:jc w:val="left"/>
              <w:rPr>
                <w:rFonts w:ascii="Times New Roman" w:hAnsi="Times New Roman" w:cs="Times New Roman" w:eastAsia="Times New Roman" w:hint="default"/>
                <w:sz w:val="18"/>
                <w:szCs w:val="18"/>
              </w:rPr>
            </w:pPr>
            <w:r>
              <w:rPr>
                <w:rFonts w:ascii="Times New Roman"/>
                <w:sz w:val="18"/>
              </w:rPr>
              <w:t>230,387,8</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99.16</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58" w:right="0"/>
              <w:jc w:val="left"/>
              <w:rPr>
                <w:rFonts w:ascii="Times New Roman" w:hAnsi="Times New Roman" w:cs="Times New Roman" w:eastAsia="Times New Roman" w:hint="default"/>
                <w:sz w:val="18"/>
                <w:szCs w:val="18"/>
              </w:rPr>
            </w:pPr>
            <w:r>
              <w:rPr>
                <w:rFonts w:ascii="Times New Roman"/>
                <w:sz w:val="18"/>
              </w:rPr>
              <w:t>959,614</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,998.68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4" w:right="0"/>
              <w:jc w:val="center"/>
              <w:rPr>
                <w:rFonts w:ascii="Times New Roman" w:hAnsi="Times New Roman" w:cs="Times New Roman" w:eastAsia="Times New Roman" w:hint="default"/>
                <w:sz w:val="18"/>
                <w:szCs w:val="18"/>
              </w:rPr>
            </w:pPr>
            <w:r>
              <w:rPr>
                <w:rFonts w:ascii="Times New Roman"/>
                <w:sz w:val="18"/>
              </w:rPr>
              <w:t>3,576,609</w:t>
            </w:r>
          </w:p>
          <w:p>
            <w:pPr>
              <w:pStyle w:val="TableParagraph"/>
              <w:spacing w:line="240" w:lineRule="auto" w:before="106"/>
              <w:ind w:left="184" w:right="0"/>
              <w:jc w:val="center"/>
              <w:rPr>
                <w:rFonts w:ascii="Times New Roman" w:hAnsi="Times New Roman" w:cs="Times New Roman" w:eastAsia="Times New Roman" w:hint="default"/>
                <w:sz w:val="18"/>
                <w:szCs w:val="18"/>
              </w:rPr>
            </w:pPr>
            <w:r>
              <w:rPr>
                <w:rFonts w:ascii="Times New Roman"/>
                <w:sz w:val="18"/>
              </w:rPr>
              <w:t>,236.53</w:t>
            </w:r>
          </w:p>
        </w:tc>
      </w:tr>
    </w:tbl>
    <w:p>
      <w:pPr>
        <w:pStyle w:val="BodyText"/>
        <w:spacing w:line="240" w:lineRule="auto" w:before="46"/>
        <w:ind w:left="114" w:right="1276"/>
        <w:jc w:val="left"/>
      </w:pPr>
      <w:r>
        <w:rPr/>
        <w:t>上期金额</w:t>
      </w:r>
    </w:p>
    <w:p>
      <w:pPr>
        <w:pStyle w:val="BodyText"/>
        <w:spacing w:line="240" w:lineRule="auto" w:before="117"/>
        <w:ind w:left="0" w:right="1130"/>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430"/>
        <w:gridCol w:w="703"/>
        <w:gridCol w:w="665"/>
        <w:gridCol w:w="665"/>
        <w:gridCol w:w="665"/>
        <w:gridCol w:w="797"/>
        <w:gridCol w:w="798"/>
        <w:gridCol w:w="798"/>
        <w:gridCol w:w="798"/>
        <w:gridCol w:w="797"/>
        <w:gridCol w:w="676"/>
        <w:gridCol w:w="781"/>
      </w:tblGrid>
      <w:tr>
        <w:trPr>
          <w:trHeight w:val="397" w:hRule="exact"/>
        </w:trPr>
        <w:tc>
          <w:tcPr>
            <w:tcW w:w="1430" w:type="dxa"/>
            <w:tcBorders>
              <w:top w:val="single" w:sz="4" w:space="0" w:color="000000"/>
              <w:left w:val="single" w:sz="4" w:space="0" w:color="000000"/>
              <w:bottom w:val="nil" w:sz="6" w:space="0" w:color="auto"/>
              <w:right w:val="single" w:sz="4" w:space="0" w:color="000000"/>
            </w:tcBorders>
            <w:shd w:val="clear" w:color="auto" w:fill="D2D2D2"/>
          </w:tcPr>
          <w:p>
            <w:pPr/>
          </w:p>
        </w:tc>
        <w:tc>
          <w:tcPr>
            <w:tcW w:w="8143"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211" w:hRule="exact"/>
        </w:trPr>
        <w:tc>
          <w:tcPr>
            <w:tcW w:w="14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62"/>
              <w:ind w:left="1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703" w:type="dxa"/>
            <w:tcBorders>
              <w:top w:val="single" w:sz="4" w:space="0" w:color="000000"/>
              <w:left w:val="single" w:sz="4" w:space="0" w:color="000000"/>
              <w:bottom w:val="nil" w:sz="6" w:space="0" w:color="auto"/>
              <w:right w:val="single" w:sz="4" w:space="0" w:color="000000"/>
            </w:tcBorders>
            <w:shd w:val="clear" w:color="auto" w:fill="D2D2D2"/>
          </w:tcPr>
          <w:p>
            <w:pPr/>
          </w:p>
        </w:tc>
        <w:tc>
          <w:tcPr>
            <w:tcW w:w="1995"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7"/>
              <w:ind w:left="45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1"/>
              <w:ind w:left="304" w:right="31" w:hanging="270"/>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1"/>
              <w:ind w:left="214" w:right="3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98"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67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1"/>
              <w:ind w:left="152" w:right="61"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81"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1"/>
              <w:ind w:left="115" w:right="24" w:hanging="90"/>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94" w:hRule="exact"/>
        </w:trPr>
        <w:tc>
          <w:tcPr>
            <w:tcW w:w="1430" w:type="dxa"/>
            <w:vMerge/>
            <w:tcBorders>
              <w:left w:val="single" w:sz="4" w:space="0" w:color="000000"/>
              <w:bottom w:val="nil" w:sz="6" w:space="0" w:color="auto"/>
              <w:right w:val="single" w:sz="4" w:space="0" w:color="000000"/>
            </w:tcBorders>
            <w:shd w:val="clear" w:color="auto" w:fill="D2D2D2"/>
          </w:tcPr>
          <w:p>
            <w:pPr/>
          </w:p>
        </w:tc>
        <w:tc>
          <w:tcPr>
            <w:tcW w:w="70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5" w:type="dxa"/>
            <w:gridSpan w:val="3"/>
            <w:vMerge/>
            <w:tcBorders>
              <w:left w:val="single" w:sz="4" w:space="0" w:color="000000"/>
              <w:bottom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199" w:hRule="exact"/>
        </w:trPr>
        <w:tc>
          <w:tcPr>
            <w:tcW w:w="1430" w:type="dxa"/>
            <w:vMerge w:val="restart"/>
            <w:tcBorders>
              <w:top w:val="nil" w:sz="6" w:space="0" w:color="auto"/>
              <w:left w:val="single" w:sz="4" w:space="0" w:color="000000"/>
              <w:right w:val="single" w:sz="4" w:space="0" w:color="000000"/>
            </w:tcBorders>
            <w:shd w:val="clear" w:color="auto" w:fill="D2D2D2"/>
          </w:tcPr>
          <w:p>
            <w:pPr/>
          </w:p>
        </w:tc>
        <w:tc>
          <w:tcPr>
            <w:tcW w:w="703"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56"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5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14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nil" w:sz="6" w:space="0" w:color="auto"/>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205" w:hRule="exact"/>
        </w:trPr>
        <w:tc>
          <w:tcPr>
            <w:tcW w:w="1430" w:type="dxa"/>
            <w:vMerge/>
            <w:tcBorders>
              <w:left w:val="single" w:sz="4" w:space="0" w:color="000000"/>
              <w:bottom w:val="single" w:sz="4" w:space="0" w:color="000000"/>
              <w:right w:val="single" w:sz="4" w:space="0" w:color="000000"/>
            </w:tcBorders>
            <w:shd w:val="clear" w:color="auto" w:fill="D2D2D2"/>
          </w:tcPr>
          <w:p>
            <w:pPr/>
          </w:p>
        </w:tc>
        <w:tc>
          <w:tcPr>
            <w:tcW w:w="703"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676" w:type="dxa"/>
            <w:vMerge/>
            <w:tcBorders>
              <w:left w:val="single" w:sz="4" w:space="0" w:color="000000"/>
              <w:bottom w:val="single" w:sz="4" w:space="0" w:color="000000"/>
              <w:right w:val="single" w:sz="4" w:space="0" w:color="000000"/>
            </w:tcBorders>
            <w:shd w:val="clear" w:color="auto" w:fill="D2D2D2"/>
          </w:tcPr>
          <w:p>
            <w:pPr/>
          </w:p>
        </w:tc>
        <w:tc>
          <w:tcPr>
            <w:tcW w:w="781" w:type="dxa"/>
            <w:vMerge/>
            <w:tcBorders>
              <w:left w:val="single" w:sz="4" w:space="0" w:color="000000"/>
              <w:bottom w:val="single" w:sz="4" w:space="0" w:color="000000"/>
              <w:right w:val="single" w:sz="4" w:space="0" w:color="000000"/>
            </w:tcBorders>
            <w:shd w:val="clear" w:color="auto" w:fill="D2D2D2"/>
          </w:tcPr>
          <w:p>
            <w:pPr/>
          </w:p>
        </w:tc>
      </w:tr>
      <w:tr>
        <w:trPr>
          <w:trHeight w:val="318" w:hRule="exact"/>
        </w:trPr>
        <w:tc>
          <w:tcPr>
            <w:tcW w:w="1430" w:type="dxa"/>
            <w:tcBorders>
              <w:top w:val="single" w:sz="4" w:space="0" w:color="000000"/>
              <w:left w:val="single" w:sz="4" w:space="0" w:color="000000"/>
              <w:bottom w:val="nil" w:sz="6" w:space="0" w:color="auto"/>
              <w:right w:val="single" w:sz="4" w:space="0" w:color="000000"/>
            </w:tcBorders>
            <w:shd w:val="clear" w:color="auto" w:fill="D2D2D2"/>
          </w:tcPr>
          <w:p>
            <w:pPr/>
          </w:p>
        </w:tc>
        <w:tc>
          <w:tcPr>
            <w:tcW w:w="703"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32" w:right="0"/>
              <w:jc w:val="left"/>
              <w:rPr>
                <w:rFonts w:ascii="Times New Roman" w:hAnsi="Times New Roman" w:cs="Times New Roman" w:eastAsia="Times New Roman" w:hint="default"/>
                <w:sz w:val="18"/>
                <w:szCs w:val="18"/>
              </w:rPr>
            </w:pPr>
            <w:r>
              <w:rPr>
                <w:rFonts w:ascii="Times New Roman"/>
                <w:sz w:val="18"/>
              </w:rPr>
              <w:t>1,961,09</w:t>
            </w:r>
          </w:p>
          <w:p>
            <w:pPr>
              <w:pStyle w:val="TableParagraph"/>
              <w:spacing w:line="240" w:lineRule="auto" w:before="105"/>
              <w:ind w:left="32" w:right="0"/>
              <w:jc w:val="left"/>
              <w:rPr>
                <w:rFonts w:ascii="Times New Roman" w:hAnsi="Times New Roman" w:cs="Times New Roman" w:eastAsia="Times New Roman" w:hint="default"/>
                <w:sz w:val="18"/>
                <w:szCs w:val="18"/>
              </w:rPr>
            </w:pPr>
            <w:r>
              <w:rPr>
                <w:rFonts w:ascii="Times New Roman"/>
                <w:sz w:val="18"/>
              </w:rPr>
              <w:t>1,984.00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383,682,6</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77.79</w:t>
            </w:r>
          </w:p>
        </w:tc>
        <w:tc>
          <w:tcPr>
            <w:tcW w:w="798" w:type="dxa"/>
            <w:vMerge w:val="restart"/>
            <w:tcBorders>
              <w:top w:val="single" w:sz="18" w:space="0" w:color="D2D2D2"/>
              <w:left w:val="single" w:sz="4" w:space="0" w:color="000000"/>
              <w:right w:val="single" w:sz="4" w:space="0" w:color="000000"/>
            </w:tcBorders>
          </w:tcPr>
          <w:p>
            <w:pPr/>
          </w:p>
        </w:tc>
        <w:tc>
          <w:tcPr>
            <w:tcW w:w="798" w:type="dxa"/>
            <w:vMerge w:val="restart"/>
            <w:tcBorders>
              <w:top w:val="single" w:sz="18" w:space="0" w:color="D2D2D2"/>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1,909,490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.13</w:t>
            </w: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224,935,6</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99.97</w:t>
            </w:r>
          </w:p>
        </w:tc>
        <w:tc>
          <w:tcPr>
            <w:tcW w:w="676" w:type="dxa"/>
            <w:vMerge w:val="restart"/>
            <w:tcBorders>
              <w:top w:val="single" w:sz="18" w:space="0" w:color="D2D2D2"/>
              <w:left w:val="single" w:sz="4" w:space="0" w:color="000000"/>
              <w:right w:val="single" w:sz="4" w:space="0" w:color="000000"/>
            </w:tcBorders>
          </w:tcPr>
          <w:p>
            <w:pPr>
              <w:pStyle w:val="TableParagraph"/>
              <w:spacing w:line="240" w:lineRule="auto" w:before="75"/>
              <w:ind w:right="20"/>
              <w:jc w:val="right"/>
              <w:rPr>
                <w:rFonts w:ascii="Times New Roman" w:hAnsi="Times New Roman" w:cs="Times New Roman" w:eastAsia="Times New Roman" w:hint="default"/>
                <w:sz w:val="18"/>
                <w:szCs w:val="18"/>
              </w:rPr>
            </w:pPr>
            <w:r>
              <w:rPr>
                <w:rFonts w:ascii="Times New Roman"/>
                <w:sz w:val="18"/>
              </w:rPr>
              <w:t>1,024,0</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94,497.</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00</w:t>
            </w:r>
          </w:p>
        </w:tc>
        <w:tc>
          <w:tcPr>
            <w:tcW w:w="781" w:type="dxa"/>
            <w:vMerge w:val="restart"/>
            <w:tcBorders>
              <w:top w:val="single" w:sz="18" w:space="0" w:color="D2D2D2"/>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3,595,714</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,348.89</w:t>
            </w:r>
          </w:p>
        </w:tc>
      </w:tr>
      <w:tr>
        <w:trPr>
          <w:trHeight w:val="392" w:hRule="exact"/>
        </w:trPr>
        <w:tc>
          <w:tcPr>
            <w:tcW w:w="143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0"/>
              <w:jc w:val="right"/>
              <w:rPr>
                <w:rFonts w:ascii="宋体" w:hAnsi="宋体" w:cs="宋体" w:eastAsia="宋体" w:hint="default"/>
                <w:sz w:val="18"/>
                <w:szCs w:val="18"/>
              </w:rPr>
            </w:pPr>
            <w:r>
              <w:rPr>
                <w:rFonts w:ascii="宋体" w:hAnsi="宋体" w:cs="宋体" w:eastAsia="宋体" w:hint="default"/>
                <w:spacing w:val="-7"/>
                <w:w w:val="95"/>
                <w:sz w:val="18"/>
                <w:szCs w:val="18"/>
              </w:rPr>
              <w:t>一、上年期末余额</w:t>
            </w:r>
          </w:p>
        </w:tc>
        <w:tc>
          <w:tcPr>
            <w:tcW w:w="703"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317" w:hRule="exact"/>
        </w:trPr>
        <w:tc>
          <w:tcPr>
            <w:tcW w:w="1430" w:type="dxa"/>
            <w:tcBorders>
              <w:top w:val="nil" w:sz="6" w:space="0" w:color="auto"/>
              <w:left w:val="single" w:sz="4" w:space="0" w:color="000000"/>
              <w:bottom w:val="single" w:sz="4" w:space="0" w:color="000000"/>
              <w:right w:val="single" w:sz="4" w:space="0" w:color="000000"/>
            </w:tcBorders>
            <w:shd w:val="clear" w:color="auto" w:fill="D2D2D2"/>
          </w:tcPr>
          <w:p>
            <w:pPr/>
          </w:p>
        </w:tc>
        <w:tc>
          <w:tcPr>
            <w:tcW w:w="703"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403"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right="10"/>
              <w:jc w:val="right"/>
              <w:rPr>
                <w:rFonts w:ascii="宋体" w:hAnsi="宋体" w:cs="宋体" w:eastAsia="宋体" w:hint="default"/>
                <w:sz w:val="18"/>
                <w:szCs w:val="18"/>
              </w:rPr>
            </w:pPr>
            <w:r>
              <w:rPr>
                <w:rFonts w:ascii="宋体" w:hAnsi="宋体" w:cs="宋体" w:eastAsia="宋体" w:hint="default"/>
                <w:spacing w:val="-10"/>
                <w:sz w:val="18"/>
                <w:szCs w:val="18"/>
              </w:rPr>
              <w:t>加：会计政策</w:t>
            </w:r>
          </w:p>
        </w:tc>
        <w:tc>
          <w:tcPr>
            <w:tcW w:w="703"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440" w:bottom="1160" w:left="1020" w:right="0"/>
        </w:sectPr>
      </w:pPr>
    </w:p>
    <w:tbl>
      <w:tblPr>
        <w:tblW w:w="0" w:type="auto"/>
        <w:jc w:val="left"/>
        <w:tblInd w:w="10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374" w:hRule="exact"/>
        </w:trPr>
        <w:tc>
          <w:tcPr>
            <w:tcW w:w="144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sz w:val="18"/>
                <w:szCs w:val="18"/>
              </w:rPr>
              <w:t>变更</w:t>
            </w:r>
          </w:p>
        </w:tc>
        <w:tc>
          <w:tcPr>
            <w:tcW w:w="691"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797" w:type="dxa"/>
            <w:tcBorders>
              <w:top w:val="single" w:sz="10" w:space="0" w:color="000000"/>
              <w:left w:val="single" w:sz="4" w:space="0" w:color="000000"/>
              <w:bottom w:val="single" w:sz="4" w:space="0" w:color="000000"/>
              <w:right w:val="single" w:sz="4" w:space="0" w:color="000000"/>
            </w:tcBorders>
          </w:tcPr>
          <w:p>
            <w:pPr/>
          </w:p>
        </w:tc>
        <w:tc>
          <w:tcPr>
            <w:tcW w:w="798" w:type="dxa"/>
            <w:tcBorders>
              <w:top w:val="single" w:sz="10" w:space="0" w:color="000000"/>
              <w:left w:val="single" w:sz="4" w:space="0" w:color="000000"/>
              <w:bottom w:val="single" w:sz="4" w:space="0" w:color="000000"/>
              <w:right w:val="single" w:sz="4" w:space="0" w:color="000000"/>
            </w:tcBorders>
          </w:tcPr>
          <w:p>
            <w:pPr/>
          </w:p>
        </w:tc>
        <w:tc>
          <w:tcPr>
            <w:tcW w:w="798" w:type="dxa"/>
            <w:tcBorders>
              <w:top w:val="single" w:sz="10" w:space="0" w:color="000000"/>
              <w:left w:val="single" w:sz="4" w:space="0" w:color="000000"/>
              <w:bottom w:val="single" w:sz="4" w:space="0" w:color="000000"/>
              <w:right w:val="single" w:sz="4" w:space="0" w:color="000000"/>
            </w:tcBorders>
          </w:tcPr>
          <w:p>
            <w:pPr/>
          </w:p>
        </w:tc>
        <w:tc>
          <w:tcPr>
            <w:tcW w:w="798" w:type="dxa"/>
            <w:tcBorders>
              <w:top w:val="single" w:sz="10" w:space="0" w:color="000000"/>
              <w:left w:val="single" w:sz="4" w:space="0" w:color="000000"/>
              <w:bottom w:val="single" w:sz="4" w:space="0" w:color="000000"/>
              <w:right w:val="single" w:sz="4" w:space="0" w:color="000000"/>
            </w:tcBorders>
          </w:tcPr>
          <w:p>
            <w:pPr/>
          </w:p>
        </w:tc>
        <w:tc>
          <w:tcPr>
            <w:tcW w:w="797" w:type="dxa"/>
            <w:tcBorders>
              <w:top w:val="single" w:sz="10" w:space="0" w:color="000000"/>
              <w:left w:val="single" w:sz="4" w:space="0" w:color="000000"/>
              <w:bottom w:val="single" w:sz="4" w:space="0" w:color="000000"/>
              <w:right w:val="single" w:sz="4" w:space="0" w:color="000000"/>
            </w:tcBorders>
          </w:tcPr>
          <w:p>
            <w:pPr/>
          </w:p>
        </w:tc>
        <w:tc>
          <w:tcPr>
            <w:tcW w:w="676" w:type="dxa"/>
            <w:tcBorders>
              <w:top w:val="single" w:sz="10" w:space="0" w:color="000000"/>
              <w:left w:val="single" w:sz="4" w:space="0" w:color="000000"/>
              <w:bottom w:val="single" w:sz="4" w:space="0" w:color="000000"/>
              <w:right w:val="single" w:sz="4" w:space="0" w:color="000000"/>
            </w:tcBorders>
          </w:tcPr>
          <w:p>
            <w:pPr/>
          </w:p>
        </w:tc>
        <w:tc>
          <w:tcPr>
            <w:tcW w:w="781" w:type="dxa"/>
            <w:tcBorders>
              <w:top w:val="single" w:sz="10"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743"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7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left="22" w:right="0"/>
              <w:jc w:val="left"/>
              <w:rPr>
                <w:rFonts w:ascii="宋体" w:hAnsi="宋体" w:cs="宋体" w:eastAsia="宋体" w:hint="default"/>
                <w:sz w:val="18"/>
                <w:szCs w:val="18"/>
              </w:rPr>
            </w:pPr>
            <w:r>
              <w:rPr>
                <w:rFonts w:ascii="宋体" w:hAnsi="宋体" w:cs="宋体" w:eastAsia="宋体" w:hint="default"/>
                <w:spacing w:val="-7"/>
                <w:sz w:val="18"/>
                <w:szCs w:val="18"/>
              </w:rPr>
              <w:t>二、本年期初余额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1,961,09</w:t>
            </w:r>
          </w:p>
          <w:p>
            <w:pPr>
              <w:pStyle w:val="TableParagraph"/>
              <w:spacing w:line="240" w:lineRule="auto" w:before="106"/>
              <w:ind w:left="27" w:right="0"/>
              <w:jc w:val="left"/>
              <w:rPr>
                <w:rFonts w:ascii="Times New Roman" w:hAnsi="Times New Roman" w:cs="Times New Roman" w:eastAsia="Times New Roman" w:hint="default"/>
                <w:sz w:val="18"/>
                <w:szCs w:val="18"/>
              </w:rPr>
            </w:pPr>
            <w:r>
              <w:rPr>
                <w:rFonts w:ascii="Times New Roman"/>
                <w:sz w:val="18"/>
              </w:rPr>
              <w:t>1,984.00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383,682,6</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77.79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1,909,490</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.13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224,935,6</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99.97</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z w:val="18"/>
              </w:rPr>
              <w:t>1,024,0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94,497.</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3,595,714</w:t>
            </w:r>
          </w:p>
          <w:p>
            <w:pPr>
              <w:pStyle w:val="TableParagraph"/>
              <w:spacing w:line="240" w:lineRule="auto" w:before="106"/>
              <w:ind w:left="184" w:right="0"/>
              <w:jc w:val="center"/>
              <w:rPr>
                <w:rFonts w:ascii="Times New Roman" w:hAnsi="Times New Roman" w:cs="Times New Roman" w:eastAsia="Times New Roman" w:hint="default"/>
                <w:sz w:val="18"/>
                <w:szCs w:val="18"/>
              </w:rPr>
            </w:pPr>
            <w:r>
              <w:rPr>
                <w:rFonts w:ascii="Times New Roman"/>
                <w:sz w:val="18"/>
              </w:rPr>
              <w:t>,348.89</w:t>
            </w: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6"/>
              <w:ind w:left="22" w:right="21"/>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51" w:right="0"/>
              <w:jc w:val="left"/>
              <w:rPr>
                <w:rFonts w:ascii="Times New Roman" w:hAnsi="Times New Roman" w:cs="Times New Roman" w:eastAsia="Times New Roman" w:hint="default"/>
                <w:sz w:val="18"/>
                <w:szCs w:val="18"/>
              </w:rPr>
            </w:pPr>
            <w:r>
              <w:rPr>
                <w:rFonts w:ascii="Times New Roman"/>
                <w:sz w:val="18"/>
              </w:rPr>
              <w:t>28,411,84</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7.29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75" w:right="0"/>
              <w:jc w:val="left"/>
              <w:rPr>
                <w:rFonts w:ascii="Times New Roman" w:hAnsi="Times New Roman" w:cs="Times New Roman" w:eastAsia="Times New Roman" w:hint="default"/>
                <w:sz w:val="18"/>
                <w:szCs w:val="18"/>
              </w:rPr>
            </w:pPr>
            <w:r>
              <w:rPr>
                <w:rFonts w:ascii="Times New Roman"/>
                <w:sz w:val="18"/>
              </w:rPr>
              <w:t>-8,963,32</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7.76</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5,452,199</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.19</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21" w:right="0"/>
              <w:jc w:val="center"/>
              <w:rPr>
                <w:rFonts w:ascii="Times New Roman" w:hAnsi="Times New Roman" w:cs="Times New Roman" w:eastAsia="Times New Roman" w:hint="default"/>
                <w:sz w:val="18"/>
                <w:szCs w:val="18"/>
              </w:rPr>
            </w:pPr>
            <w:r>
              <w:rPr>
                <w:rFonts w:ascii="Times New Roman"/>
                <w:sz w:val="18"/>
              </w:rPr>
              <w:t>-1,918,5</w:t>
            </w:r>
          </w:p>
          <w:p>
            <w:pPr>
              <w:pStyle w:val="TableParagraph"/>
              <w:spacing w:line="240" w:lineRule="auto" w:before="106"/>
              <w:ind w:left="216" w:right="0"/>
              <w:jc w:val="center"/>
              <w:rPr>
                <w:rFonts w:ascii="Times New Roman" w:hAnsi="Times New Roman" w:cs="Times New Roman" w:eastAsia="Times New Roman" w:hint="default"/>
                <w:sz w:val="18"/>
                <w:szCs w:val="18"/>
              </w:rPr>
            </w:pPr>
            <w:r>
              <w:rPr>
                <w:rFonts w:ascii="Times New Roman"/>
                <w:sz w:val="18"/>
              </w:rPr>
              <w:t>59.57</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22,982,15</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9.15</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6"/>
              <w:ind w:left="22" w:right="22"/>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75" w:right="0"/>
              <w:jc w:val="left"/>
              <w:rPr>
                <w:rFonts w:ascii="Times New Roman" w:hAnsi="Times New Roman" w:cs="Times New Roman" w:eastAsia="Times New Roman" w:hint="default"/>
                <w:sz w:val="18"/>
                <w:szCs w:val="18"/>
              </w:rPr>
            </w:pPr>
            <w:r>
              <w:rPr>
                <w:rFonts w:ascii="Times New Roman"/>
                <w:sz w:val="18"/>
              </w:rPr>
              <w:t>-8,963,32</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7.76</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Times New Roman" w:hAnsi="Times New Roman" w:cs="Times New Roman" w:eastAsia="Times New Roman" w:hint="default"/>
                <w:sz w:val="18"/>
                <w:szCs w:val="18"/>
              </w:rPr>
            </w:pPr>
            <w:r>
              <w:rPr>
                <w:rFonts w:ascii="Times New Roman"/>
                <w:sz w:val="18"/>
              </w:rPr>
              <w:t>54,521,</w:t>
            </w:r>
          </w:p>
          <w:p>
            <w:pPr>
              <w:pStyle w:val="TableParagraph"/>
              <w:spacing w:line="240" w:lineRule="auto" w:before="106"/>
              <w:ind w:left="148" w:right="0"/>
              <w:jc w:val="left"/>
              <w:rPr>
                <w:rFonts w:ascii="Times New Roman" w:hAnsi="Times New Roman" w:cs="Times New Roman" w:eastAsia="Times New Roman" w:hint="default"/>
                <w:sz w:val="18"/>
                <w:szCs w:val="18"/>
              </w:rPr>
            </w:pPr>
            <w:r>
              <w:rPr>
                <w:rFonts w:ascii="Times New Roman"/>
                <w:sz w:val="18"/>
              </w:rPr>
              <w:t>991.91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7" w:right="0"/>
              <w:jc w:val="left"/>
              <w:rPr>
                <w:rFonts w:ascii="Times New Roman" w:hAnsi="Times New Roman" w:cs="Times New Roman" w:eastAsia="Times New Roman" w:hint="default"/>
                <w:sz w:val="18"/>
                <w:szCs w:val="18"/>
              </w:rPr>
            </w:pPr>
            <w:r>
              <w:rPr>
                <w:rFonts w:ascii="Times New Roman"/>
                <w:sz w:val="18"/>
              </w:rPr>
              <w:t>45,558,66</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4.15</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6"/>
              <w:ind w:left="22" w:right="22"/>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44" w:right="0"/>
              <w:jc w:val="left"/>
              <w:rPr>
                <w:rFonts w:ascii="Times New Roman" w:hAnsi="Times New Roman" w:cs="Times New Roman" w:eastAsia="Times New Roman" w:hint="default"/>
                <w:sz w:val="18"/>
                <w:szCs w:val="18"/>
              </w:rPr>
            </w:pPr>
            <w:r>
              <w:rPr>
                <w:rFonts w:ascii="Times New Roman"/>
                <w:sz w:val="18"/>
              </w:rPr>
              <w:t>31,860,99</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8.38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7" w:right="0"/>
              <w:jc w:val="left"/>
              <w:rPr>
                <w:rFonts w:ascii="Times New Roman" w:hAnsi="Times New Roman" w:cs="Times New Roman" w:eastAsia="Times New Roman" w:hint="default"/>
                <w:sz w:val="18"/>
                <w:szCs w:val="18"/>
              </w:rPr>
            </w:pPr>
            <w:r>
              <w:rPr>
                <w:rFonts w:ascii="Times New Roman"/>
                <w:sz w:val="18"/>
              </w:rPr>
              <w:t>31,860,99</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8.38</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6"/>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44" w:right="0"/>
              <w:jc w:val="left"/>
              <w:rPr>
                <w:rFonts w:ascii="Times New Roman" w:hAnsi="Times New Roman" w:cs="Times New Roman" w:eastAsia="Times New Roman" w:hint="default"/>
                <w:sz w:val="18"/>
                <w:szCs w:val="18"/>
              </w:rPr>
            </w:pPr>
            <w:r>
              <w:rPr>
                <w:rFonts w:ascii="Times New Roman"/>
                <w:sz w:val="18"/>
              </w:rPr>
              <w:t>31,860,99</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8.38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7" w:right="0"/>
              <w:jc w:val="left"/>
              <w:rPr>
                <w:rFonts w:ascii="Times New Roman" w:hAnsi="Times New Roman" w:cs="Times New Roman" w:eastAsia="Times New Roman" w:hint="default"/>
                <w:sz w:val="18"/>
                <w:szCs w:val="18"/>
              </w:rPr>
            </w:pPr>
            <w:r>
              <w:rPr>
                <w:rFonts w:ascii="Times New Roman"/>
                <w:sz w:val="18"/>
              </w:rPr>
              <w:t>31,860,99</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8.38</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6"/>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6"/>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z w:val="18"/>
              </w:rPr>
              <w:t>5,452,199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.19</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0" w:right="0"/>
              <w:jc w:val="center"/>
              <w:rPr>
                <w:rFonts w:ascii="Times New Roman" w:hAnsi="Times New Roman" w:cs="Times New Roman" w:eastAsia="Times New Roman" w:hint="default"/>
                <w:sz w:val="18"/>
                <w:szCs w:val="18"/>
              </w:rPr>
            </w:pPr>
            <w:r>
              <w:rPr>
                <w:rFonts w:ascii="Times New Roman"/>
                <w:sz w:val="18"/>
              </w:rPr>
              <w:t>-56,440,</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551.48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57" w:right="0"/>
              <w:jc w:val="left"/>
              <w:rPr>
                <w:rFonts w:ascii="Times New Roman" w:hAnsi="Times New Roman" w:cs="Times New Roman" w:eastAsia="Times New Roman" w:hint="default"/>
                <w:sz w:val="18"/>
                <w:szCs w:val="18"/>
              </w:rPr>
            </w:pPr>
            <w:r>
              <w:rPr>
                <w:rFonts w:ascii="Times New Roman"/>
                <w:sz w:val="18"/>
              </w:rPr>
              <w:t>-50,988,3</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52.29</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z w:val="18"/>
              </w:rPr>
              <w:t>5,452,199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.19</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1" w:right="0"/>
              <w:jc w:val="center"/>
              <w:rPr>
                <w:rFonts w:ascii="Times New Roman" w:hAnsi="Times New Roman" w:cs="Times New Roman" w:eastAsia="Times New Roman" w:hint="default"/>
                <w:sz w:val="18"/>
                <w:szCs w:val="18"/>
              </w:rPr>
            </w:pPr>
            <w:r>
              <w:rPr>
                <w:rFonts w:ascii="Times New Roman"/>
                <w:sz w:val="18"/>
              </w:rPr>
              <w:t>-5,452,1</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99.19</w:t>
            </w: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6"/>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0" w:right="0"/>
              <w:jc w:val="center"/>
              <w:rPr>
                <w:rFonts w:ascii="Times New Roman" w:hAnsi="Times New Roman" w:cs="Times New Roman" w:eastAsia="Times New Roman" w:hint="default"/>
                <w:sz w:val="18"/>
                <w:szCs w:val="18"/>
              </w:rPr>
            </w:pPr>
            <w:r>
              <w:rPr>
                <w:rFonts w:ascii="Times New Roman"/>
                <w:sz w:val="18"/>
              </w:rPr>
              <w:t>-50,988,</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352.29</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57" w:right="0"/>
              <w:jc w:val="left"/>
              <w:rPr>
                <w:rFonts w:ascii="Times New Roman" w:hAnsi="Times New Roman" w:cs="Times New Roman" w:eastAsia="Times New Roman" w:hint="default"/>
                <w:sz w:val="18"/>
                <w:szCs w:val="18"/>
              </w:rPr>
            </w:pPr>
            <w:r>
              <w:rPr>
                <w:rFonts w:ascii="Times New Roman"/>
                <w:sz w:val="18"/>
              </w:rPr>
              <w:t>-50,988,3</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52.29</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6"/>
              <w:ind w:left="22" w:right="22"/>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6"/>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6"/>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7"/>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67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6"/>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440" w:bottom="1160" w:left="1020" w:right="0"/>
        </w:sectPr>
      </w:pPr>
    </w:p>
    <w:p>
      <w:pPr>
        <w:spacing w:line="240" w:lineRule="auto" w:before="6"/>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374" w:hRule="exact"/>
        </w:trPr>
        <w:tc>
          <w:tcPr>
            <w:tcW w:w="144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22" w:right="0"/>
              <w:jc w:val="left"/>
              <w:rPr>
                <w:rFonts w:ascii="宋体" w:hAnsi="宋体" w:cs="宋体" w:eastAsia="宋体" w:hint="default"/>
                <w:sz w:val="18"/>
                <w:szCs w:val="18"/>
              </w:rPr>
            </w:pPr>
            <w:r>
              <w:rPr>
                <w:rFonts w:ascii="宋体" w:hAnsi="宋体" w:cs="宋体" w:eastAsia="宋体" w:hint="default"/>
                <w:sz w:val="18"/>
                <w:szCs w:val="18"/>
              </w:rPr>
              <w:t>收益</w:t>
            </w:r>
          </w:p>
        </w:tc>
        <w:tc>
          <w:tcPr>
            <w:tcW w:w="691"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665" w:type="dxa"/>
            <w:tcBorders>
              <w:top w:val="single" w:sz="10" w:space="0" w:color="000000"/>
              <w:left w:val="single" w:sz="4" w:space="0" w:color="000000"/>
              <w:bottom w:val="single" w:sz="4" w:space="0" w:color="000000"/>
              <w:right w:val="single" w:sz="4" w:space="0" w:color="000000"/>
            </w:tcBorders>
          </w:tcPr>
          <w:p>
            <w:pPr/>
          </w:p>
        </w:tc>
        <w:tc>
          <w:tcPr>
            <w:tcW w:w="797" w:type="dxa"/>
            <w:tcBorders>
              <w:top w:val="single" w:sz="10" w:space="0" w:color="000000"/>
              <w:left w:val="single" w:sz="4" w:space="0" w:color="000000"/>
              <w:bottom w:val="single" w:sz="4" w:space="0" w:color="000000"/>
              <w:right w:val="single" w:sz="4" w:space="0" w:color="000000"/>
            </w:tcBorders>
          </w:tcPr>
          <w:p>
            <w:pPr/>
          </w:p>
        </w:tc>
        <w:tc>
          <w:tcPr>
            <w:tcW w:w="798" w:type="dxa"/>
            <w:tcBorders>
              <w:top w:val="single" w:sz="10" w:space="0" w:color="000000"/>
              <w:left w:val="single" w:sz="4" w:space="0" w:color="000000"/>
              <w:bottom w:val="single" w:sz="4" w:space="0" w:color="000000"/>
              <w:right w:val="single" w:sz="4" w:space="0" w:color="000000"/>
            </w:tcBorders>
          </w:tcPr>
          <w:p>
            <w:pPr/>
          </w:p>
        </w:tc>
        <w:tc>
          <w:tcPr>
            <w:tcW w:w="798" w:type="dxa"/>
            <w:tcBorders>
              <w:top w:val="single" w:sz="10" w:space="0" w:color="000000"/>
              <w:left w:val="single" w:sz="4" w:space="0" w:color="000000"/>
              <w:bottom w:val="single" w:sz="4" w:space="0" w:color="000000"/>
              <w:right w:val="single" w:sz="4" w:space="0" w:color="000000"/>
            </w:tcBorders>
          </w:tcPr>
          <w:p>
            <w:pPr/>
          </w:p>
        </w:tc>
        <w:tc>
          <w:tcPr>
            <w:tcW w:w="798" w:type="dxa"/>
            <w:tcBorders>
              <w:top w:val="single" w:sz="10" w:space="0" w:color="000000"/>
              <w:left w:val="single" w:sz="4" w:space="0" w:color="000000"/>
              <w:bottom w:val="single" w:sz="4" w:space="0" w:color="000000"/>
              <w:right w:val="single" w:sz="4" w:space="0" w:color="000000"/>
            </w:tcBorders>
          </w:tcPr>
          <w:p>
            <w:pPr/>
          </w:p>
        </w:tc>
        <w:tc>
          <w:tcPr>
            <w:tcW w:w="797" w:type="dxa"/>
            <w:tcBorders>
              <w:top w:val="single" w:sz="10" w:space="0" w:color="000000"/>
              <w:left w:val="single" w:sz="4" w:space="0" w:color="000000"/>
              <w:bottom w:val="single" w:sz="4" w:space="0" w:color="000000"/>
              <w:right w:val="single" w:sz="4" w:space="0" w:color="000000"/>
            </w:tcBorders>
          </w:tcPr>
          <w:p>
            <w:pPr/>
          </w:p>
        </w:tc>
        <w:tc>
          <w:tcPr>
            <w:tcW w:w="676" w:type="dxa"/>
            <w:tcBorders>
              <w:top w:val="single" w:sz="10" w:space="0" w:color="000000"/>
              <w:left w:val="single" w:sz="4" w:space="0" w:color="000000"/>
              <w:bottom w:val="single" w:sz="4" w:space="0" w:color="000000"/>
              <w:right w:val="single" w:sz="4" w:space="0" w:color="000000"/>
            </w:tcBorders>
          </w:tcPr>
          <w:p>
            <w:pPr/>
          </w:p>
        </w:tc>
        <w:tc>
          <w:tcPr>
            <w:tcW w:w="781" w:type="dxa"/>
            <w:tcBorders>
              <w:top w:val="single" w:sz="10"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-3,449,15</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1.09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-3,449,15</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1.09</w:t>
            </w: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1,961,09</w:t>
            </w:r>
          </w:p>
          <w:p>
            <w:pPr>
              <w:pStyle w:val="TableParagraph"/>
              <w:spacing w:line="240" w:lineRule="auto" w:before="106"/>
              <w:ind w:left="27" w:right="0"/>
              <w:jc w:val="left"/>
              <w:rPr>
                <w:rFonts w:ascii="Times New Roman" w:hAnsi="Times New Roman" w:cs="Times New Roman" w:eastAsia="Times New Roman" w:hint="default"/>
                <w:sz w:val="18"/>
                <w:szCs w:val="18"/>
              </w:rPr>
            </w:pPr>
            <w:r>
              <w:rPr>
                <w:rFonts w:ascii="Times New Roman"/>
                <w:sz w:val="18"/>
              </w:rPr>
              <w:t>1,984.00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412,094,5</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25.08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 w:right="0"/>
              <w:jc w:val="left"/>
              <w:rPr>
                <w:rFonts w:ascii="Times New Roman" w:hAnsi="Times New Roman" w:cs="Times New Roman" w:eastAsia="Times New Roman" w:hint="default"/>
                <w:sz w:val="18"/>
                <w:szCs w:val="18"/>
              </w:rPr>
            </w:pPr>
            <w:r>
              <w:rPr>
                <w:rFonts w:ascii="Times New Roman"/>
                <w:sz w:val="18"/>
              </w:rPr>
              <w:t>-7,053,83</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7.63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230,387,8</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99.16</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1,022,1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75,937.</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43</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3,618,696</w:t>
            </w:r>
          </w:p>
          <w:p>
            <w:pPr>
              <w:pStyle w:val="TableParagraph"/>
              <w:spacing w:line="240" w:lineRule="auto" w:before="106"/>
              <w:ind w:left="184" w:right="0"/>
              <w:jc w:val="center"/>
              <w:rPr>
                <w:rFonts w:ascii="Times New Roman" w:hAnsi="Times New Roman" w:cs="Times New Roman" w:eastAsia="Times New Roman" w:hint="default"/>
                <w:sz w:val="18"/>
                <w:szCs w:val="18"/>
              </w:rPr>
            </w:pPr>
            <w:r>
              <w:rPr>
                <w:rFonts w:ascii="Times New Roman"/>
                <w:sz w:val="18"/>
              </w:rPr>
              <w:t>,508.04</w:t>
            </w:r>
          </w:p>
        </w:tc>
      </w:tr>
    </w:tbl>
    <w:p>
      <w:pPr>
        <w:spacing w:line="240" w:lineRule="auto" w:before="2"/>
        <w:rPr>
          <w:rFonts w:ascii="宋体" w:hAnsi="宋体" w:cs="宋体" w:eastAsia="宋体" w:hint="default"/>
          <w:sz w:val="18"/>
          <w:szCs w:val="18"/>
        </w:rPr>
      </w:pPr>
    </w:p>
    <w:p>
      <w:pPr>
        <w:pStyle w:val="Heading2"/>
        <w:spacing w:line="240" w:lineRule="auto" w:before="26"/>
        <w:ind w:left="114" w:right="1276"/>
        <w:jc w:val="left"/>
        <w:rPr>
          <w:b w:val="0"/>
          <w:bCs w:val="0"/>
        </w:rPr>
      </w:pPr>
      <w:bookmarkStart w:name="三、公司基本情况" w:id="173"/>
      <w:bookmarkEnd w:id="173"/>
      <w:r>
        <w:rPr>
          <w:b w:val="0"/>
          <w:bCs w:val="0"/>
        </w:rPr>
      </w:r>
      <w:r>
        <w:rPr/>
        <w:t>三、公司基本情况</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left="474" w:right="0" w:firstLine="92"/>
        <w:jc w:val="left"/>
      </w:pPr>
      <w:r>
        <w:rPr>
          <w:rFonts w:ascii="宋体" w:hAnsi="宋体" w:cs="宋体" w:eastAsia="宋体" w:hint="default"/>
          <w:b/>
          <w:bCs/>
        </w:rPr>
        <w:t>（一）公司概况</w:t>
      </w:r>
      <w:r>
        <w:rPr>
          <w:rFonts w:ascii="宋体" w:hAnsi="宋体" w:cs="宋体" w:eastAsia="宋体" w:hint="default"/>
          <w:b/>
          <w:bCs/>
          <w:w w:val="99"/>
        </w:rPr>
        <w:t> </w:t>
      </w:r>
      <w:r>
        <w:rPr/>
        <w:t>北京神州泰岳软件股份有限公司（以下简称</w:t>
      </w:r>
      <w:r>
        <w:rPr>
          <w:rFonts w:ascii="Times New Roman" w:hAnsi="Times New Roman" w:cs="Times New Roman" w:eastAsia="Times New Roman" w:hint="default"/>
        </w:rPr>
        <w:t>“</w:t>
      </w:r>
      <w:r>
        <w:rPr/>
        <w:t>公司</w:t>
      </w:r>
      <w:r>
        <w:rPr>
          <w:rFonts w:ascii="Times New Roman" w:hAnsi="Times New Roman" w:cs="Times New Roman" w:eastAsia="Times New Roman" w:hint="default"/>
        </w:rPr>
        <w:t>”</w:t>
      </w:r>
      <w:r>
        <w:rPr/>
        <w:t>或</w:t>
      </w:r>
      <w:r>
        <w:rPr>
          <w:rFonts w:ascii="Times New Roman" w:hAnsi="Times New Roman" w:cs="Times New Roman" w:eastAsia="Times New Roman" w:hint="default"/>
        </w:rPr>
        <w:t>“</w:t>
      </w:r>
      <w:r>
        <w:rPr/>
        <w:t>本公司</w:t>
      </w:r>
      <w:r>
        <w:rPr>
          <w:rFonts w:ascii="Times New Roman" w:hAnsi="Times New Roman" w:cs="Times New Roman" w:eastAsia="Times New Roman" w:hint="default"/>
        </w:rPr>
        <w:t>”</w:t>
      </w:r>
      <w:r>
        <w:rPr/>
        <w:t>）前身系北京神州泰岳软件有限公司，成立于</w:t>
      </w:r>
      <w:r>
        <w:rPr>
          <w:rFonts w:ascii="Times New Roman" w:hAnsi="Times New Roman" w:cs="Times New Roman" w:eastAsia="Times New Roman" w:hint="default"/>
        </w:rPr>
        <w:t>2001</w:t>
      </w:r>
      <w:r>
        <w:rPr/>
        <w:t>年</w:t>
      </w:r>
      <w:r>
        <w:rPr>
          <w:rFonts w:ascii="Times New Roman" w:hAnsi="Times New Roman" w:cs="Times New Roman" w:eastAsia="Times New Roman" w:hint="default"/>
        </w:rPr>
        <w:t>5</w:t>
      </w:r>
      <w:r>
        <w:rPr/>
        <w:t>月</w:t>
      </w:r>
    </w:p>
    <w:p>
      <w:pPr>
        <w:pStyle w:val="BodyText"/>
        <w:spacing w:line="240" w:lineRule="auto" w:before="21"/>
        <w:ind w:left="114" w:right="1276"/>
        <w:jc w:val="left"/>
      </w:pPr>
      <w:r>
        <w:rPr>
          <w:rFonts w:ascii="Times New Roman" w:hAnsi="Times New Roman" w:cs="Times New Roman" w:eastAsia="Times New Roman" w:hint="default"/>
        </w:rPr>
        <w:t>18</w:t>
      </w:r>
      <w:r>
        <w:rPr/>
        <w:t>日，成立时注册资本为人民币</w:t>
      </w:r>
      <w:r>
        <w:rPr>
          <w:rFonts w:ascii="Times New Roman" w:hAnsi="Times New Roman" w:cs="Times New Roman" w:eastAsia="Times New Roman" w:hint="default"/>
        </w:rPr>
        <w:t>1,000</w:t>
      </w:r>
      <w:r>
        <w:rPr/>
        <w:t>万元。</w:t>
      </w:r>
    </w:p>
    <w:p>
      <w:pPr>
        <w:spacing w:line="240" w:lineRule="auto" w:before="9"/>
        <w:rPr>
          <w:rFonts w:ascii="宋体" w:hAnsi="宋体" w:cs="宋体" w:eastAsia="宋体" w:hint="default"/>
          <w:sz w:val="16"/>
          <w:szCs w:val="16"/>
        </w:rPr>
      </w:pPr>
    </w:p>
    <w:p>
      <w:pPr>
        <w:pStyle w:val="BodyText"/>
        <w:spacing w:line="451" w:lineRule="auto"/>
        <w:ind w:left="114" w:right="1129" w:firstLine="360"/>
        <w:jc w:val="both"/>
      </w:pPr>
      <w:r>
        <w:rPr>
          <w:rFonts w:ascii="Times New Roman" w:hAnsi="Times New Roman" w:cs="Times New Roman" w:eastAsia="Times New Roman" w:hint="default"/>
        </w:rPr>
        <w:t>2002</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w:t>
      </w:r>
      <w:r>
        <w:rPr/>
        <w:t>日，经股东会表决通过，以截至</w:t>
      </w:r>
      <w:r>
        <w:rPr>
          <w:rFonts w:ascii="Times New Roman" w:hAnsi="Times New Roman" w:cs="Times New Roman" w:eastAsia="Times New Roman" w:hint="default"/>
        </w:rPr>
        <w:t>2002</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30</w:t>
      </w:r>
      <w:r>
        <w:rPr/>
        <w:t>日经审计的净资产为基数，按照</w:t>
      </w:r>
      <w:r>
        <w:rPr>
          <w:rFonts w:ascii="Times New Roman" w:hAnsi="Times New Roman" w:cs="Times New Roman" w:eastAsia="Times New Roman" w:hint="default"/>
        </w:rPr>
        <w:t>1</w:t>
      </w:r>
      <w:r>
        <w:rPr/>
        <w:t>：</w:t>
      </w:r>
      <w:r>
        <w:rPr>
          <w:rFonts w:ascii="Times New Roman" w:hAnsi="Times New Roman" w:cs="Times New Roman" w:eastAsia="Times New Roman" w:hint="default"/>
        </w:rPr>
        <w:t>1</w:t>
      </w:r>
      <w:r>
        <w:rPr/>
        <w:t>的比例折股，整体变更设 </w:t>
      </w:r>
      <w:r>
        <w:rPr>
          <w:spacing w:val="-2"/>
        </w:rPr>
        <w:t>立为股份有限公司。</w:t>
      </w:r>
      <w:r>
        <w:rPr>
          <w:rFonts w:ascii="Times New Roman" w:hAnsi="Times New Roman" w:cs="Times New Roman" w:eastAsia="Times New Roman" w:hint="default"/>
          <w:spacing w:val="-2"/>
        </w:rPr>
        <w:t>2002</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27</w:t>
      </w:r>
      <w:r>
        <w:rPr>
          <w:spacing w:val="-2"/>
        </w:rPr>
        <w:t>日，北京市人民政府经济体制改革办公室出具京政体改股函【</w:t>
      </w:r>
      <w:r>
        <w:rPr>
          <w:rFonts w:ascii="Times New Roman" w:hAnsi="Times New Roman" w:cs="Times New Roman" w:eastAsia="Times New Roman" w:hint="default"/>
          <w:spacing w:val="-2"/>
        </w:rPr>
        <w:t>2002</w:t>
      </w:r>
      <w:r>
        <w:rPr>
          <w:spacing w:val="-2"/>
        </w:rPr>
        <w:t>】</w:t>
      </w:r>
      <w:r>
        <w:rPr>
          <w:rFonts w:ascii="Times New Roman" w:hAnsi="Times New Roman" w:cs="Times New Roman" w:eastAsia="Times New Roman" w:hint="default"/>
          <w:spacing w:val="-2"/>
        </w:rPr>
        <w:t>7</w:t>
      </w:r>
      <w:r>
        <w:rPr>
          <w:spacing w:val="-2"/>
        </w:rPr>
        <w:t>号文批准了公司的上</w:t>
      </w:r>
      <w:r>
        <w:rPr>
          <w:spacing w:val="-53"/>
        </w:rPr>
        <w:t> </w:t>
      </w:r>
      <w:r>
        <w:rPr/>
        <w:t>述整体改制方案。</w:t>
      </w:r>
      <w:r>
        <w:rPr>
          <w:rFonts w:ascii="Times New Roman" w:hAnsi="Times New Roman" w:cs="Times New Roman" w:eastAsia="Times New Roman" w:hint="default"/>
        </w:rPr>
        <w:t>2002</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27</w:t>
      </w:r>
      <w:r>
        <w:rPr/>
        <w:t>日，北京京都会计师事务所有限公司出具北京京都验字〔</w:t>
      </w:r>
      <w:r>
        <w:rPr>
          <w:rFonts w:ascii="Times New Roman" w:hAnsi="Times New Roman" w:cs="Times New Roman" w:eastAsia="Times New Roman" w:hint="default"/>
        </w:rPr>
        <w:t>2002</w:t>
      </w:r>
      <w:r>
        <w:rPr/>
        <w:t>〕第</w:t>
      </w:r>
      <w:r>
        <w:rPr>
          <w:rFonts w:ascii="Times New Roman" w:hAnsi="Times New Roman" w:cs="Times New Roman" w:eastAsia="Times New Roman" w:hint="default"/>
        </w:rPr>
        <w:t>0025</w:t>
      </w:r>
      <w:r>
        <w:rPr/>
        <w:t>号《验资报告》审验</w:t>
      </w:r>
      <w:r>
        <w:rPr>
          <w:spacing w:val="-83"/>
        </w:rPr>
        <w:t> </w:t>
      </w:r>
      <w:r>
        <w:rPr>
          <w:spacing w:val="-83"/>
        </w:rPr>
      </w:r>
      <w:r>
        <w:rPr>
          <w:spacing w:val="2"/>
        </w:rPr>
        <w:t>确认，公司注册资本人民币</w:t>
      </w:r>
      <w:r>
        <w:rPr>
          <w:rFonts w:ascii="Times New Roman" w:hAnsi="Times New Roman" w:cs="Times New Roman" w:eastAsia="Times New Roman" w:hint="default"/>
          <w:spacing w:val="2"/>
        </w:rPr>
        <w:t>2,159.20</w:t>
      </w:r>
      <w:r>
        <w:rPr>
          <w:spacing w:val="2"/>
        </w:rPr>
        <w:t>万元已缴足。</w:t>
      </w:r>
      <w:r>
        <w:rPr>
          <w:rFonts w:ascii="Times New Roman" w:hAnsi="Times New Roman" w:cs="Times New Roman" w:eastAsia="Times New Roman" w:hint="default"/>
          <w:spacing w:val="2"/>
        </w:rPr>
        <w:t>2002</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3</w:t>
      </w:r>
      <w:r>
        <w:rPr>
          <w:spacing w:val="2"/>
        </w:rPr>
        <w:t>日，公司在北京市工商行政管理局注册登记并取得注册号为</w:t>
      </w:r>
      <w:r>
        <w:rPr>
          <w:spacing w:val="-52"/>
        </w:rPr>
        <w:t> </w:t>
      </w:r>
      <w:r>
        <w:rPr>
          <w:spacing w:val="-52"/>
        </w:rPr>
      </w:r>
      <w:r>
        <w:rPr>
          <w:rFonts w:ascii="Times New Roman" w:hAnsi="Times New Roman" w:cs="Times New Roman" w:eastAsia="Times New Roman" w:hint="default"/>
        </w:rPr>
        <w:t>1100001270093</w:t>
      </w:r>
      <w:r>
        <w:rPr/>
        <w:t>的《企业法人营业执照》。</w:t>
      </w:r>
    </w:p>
    <w:p>
      <w:pPr>
        <w:pStyle w:val="BodyText"/>
        <w:spacing w:line="240" w:lineRule="auto" w:before="43"/>
        <w:ind w:left="474" w:right="1276"/>
        <w:jc w:val="left"/>
      </w:pPr>
      <w:r>
        <w:rPr/>
        <w:t>经历次股权转让和增资，至</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25</w:t>
      </w:r>
      <w:r>
        <w:rPr/>
        <w:t>日，公司注册资本为人民币</w:t>
      </w:r>
      <w:r>
        <w:rPr>
          <w:rFonts w:ascii="Times New Roman" w:hAnsi="Times New Roman" w:cs="Times New Roman" w:eastAsia="Times New Roman" w:hint="default"/>
        </w:rPr>
        <w:t>9,480</w:t>
      </w:r>
      <w:r>
        <w:rPr/>
        <w:t>万元。</w:t>
      </w:r>
    </w:p>
    <w:p>
      <w:pPr>
        <w:spacing w:line="240" w:lineRule="auto" w:before="9"/>
        <w:rPr>
          <w:rFonts w:ascii="宋体" w:hAnsi="宋体" w:cs="宋体" w:eastAsia="宋体" w:hint="default"/>
          <w:sz w:val="16"/>
          <w:szCs w:val="16"/>
        </w:rPr>
      </w:pPr>
    </w:p>
    <w:p>
      <w:pPr>
        <w:pStyle w:val="BodyText"/>
        <w:spacing w:line="451" w:lineRule="auto"/>
        <w:ind w:left="114" w:right="1130" w:firstLine="360"/>
        <w:jc w:val="both"/>
      </w:pPr>
      <w:r>
        <w:rPr>
          <w:rFonts w:ascii="Times New Roman" w:hAnsi="Times New Roman" w:cs="Times New Roman" w:eastAsia="Times New Roman" w:hint="default"/>
          <w:spacing w:val="-4"/>
        </w:rPr>
        <w:t>2009</w:t>
      </w:r>
      <w:r>
        <w:rPr>
          <w:spacing w:val="-4"/>
        </w:rPr>
        <w:t>年</w:t>
      </w:r>
      <w:r>
        <w:rPr>
          <w:rFonts w:ascii="Times New Roman" w:hAnsi="Times New Roman" w:cs="Times New Roman" w:eastAsia="Times New Roman" w:hint="default"/>
          <w:spacing w:val="-4"/>
        </w:rPr>
        <w:t>9</w:t>
      </w:r>
      <w:r>
        <w:rPr>
          <w:spacing w:val="-4"/>
        </w:rPr>
        <w:t>月</w:t>
      </w:r>
      <w:r>
        <w:rPr>
          <w:rFonts w:ascii="Times New Roman" w:hAnsi="Times New Roman" w:cs="Times New Roman" w:eastAsia="Times New Roman" w:hint="default"/>
          <w:spacing w:val="-4"/>
        </w:rPr>
        <w:t>20</w:t>
      </w:r>
      <w:r>
        <w:rPr>
          <w:spacing w:val="-4"/>
        </w:rPr>
        <w:t>日，经中国证券监督管理委员会以</w:t>
      </w:r>
      <w:r>
        <w:rPr>
          <w:rFonts w:ascii="Times New Roman" w:hAnsi="Times New Roman" w:cs="Times New Roman" w:eastAsia="Times New Roman" w:hint="default"/>
          <w:spacing w:val="-4"/>
        </w:rPr>
        <w:t>“</w:t>
      </w:r>
      <w:r>
        <w:rPr>
          <w:spacing w:val="-4"/>
        </w:rPr>
        <w:t>证监许可【</w:t>
      </w:r>
      <w:r>
        <w:rPr>
          <w:rFonts w:ascii="Times New Roman" w:hAnsi="Times New Roman" w:cs="Times New Roman" w:eastAsia="Times New Roman" w:hint="default"/>
          <w:spacing w:val="-4"/>
        </w:rPr>
        <w:t>2009</w:t>
      </w:r>
      <w:r>
        <w:rPr>
          <w:spacing w:val="-4"/>
        </w:rPr>
        <w:t>】</w:t>
      </w:r>
      <w:r>
        <w:rPr>
          <w:rFonts w:ascii="Times New Roman" w:hAnsi="Times New Roman" w:cs="Times New Roman" w:eastAsia="Times New Roman" w:hint="default"/>
          <w:spacing w:val="-4"/>
        </w:rPr>
        <w:t>952</w:t>
      </w:r>
      <w:r>
        <w:rPr>
          <w:spacing w:val="-4"/>
        </w:rPr>
        <w:t>号</w:t>
      </w:r>
      <w:r>
        <w:rPr>
          <w:rFonts w:ascii="Times New Roman" w:hAnsi="Times New Roman" w:cs="Times New Roman" w:eastAsia="Times New Roman" w:hint="default"/>
          <w:spacing w:val="-4"/>
        </w:rPr>
        <w:t>”</w:t>
      </w:r>
      <w:r>
        <w:rPr>
          <w:spacing w:val="-4"/>
        </w:rPr>
        <w:t>文核准，向社会公众公开发行境内上市内资（</w:t>
      </w:r>
      <w:r>
        <w:rPr>
          <w:rFonts w:ascii="Times New Roman" w:hAnsi="Times New Roman" w:cs="Times New Roman" w:eastAsia="Times New Roman" w:hint="default"/>
          <w:spacing w:val="-4"/>
        </w:rPr>
        <w:t>A</w:t>
      </w:r>
      <w:r>
        <w:rPr>
          <w:rFonts w:ascii="Times New Roman" w:hAnsi="Times New Roman" w:cs="Times New Roman" w:eastAsia="Times New Roman" w:hint="default"/>
          <w:w w:val="99"/>
        </w:rPr>
        <w:t> </w:t>
      </w:r>
      <w:r>
        <w:rPr>
          <w:spacing w:val="-1"/>
        </w:rPr>
        <w:t>股）股票</w:t>
      </w:r>
      <w:r>
        <w:rPr>
          <w:rFonts w:ascii="Times New Roman" w:hAnsi="Times New Roman" w:cs="Times New Roman" w:eastAsia="Times New Roman" w:hint="default"/>
          <w:spacing w:val="-1"/>
        </w:rPr>
        <w:t>3,160</w:t>
      </w:r>
      <w:r>
        <w:rPr>
          <w:spacing w:val="-1"/>
        </w:rPr>
        <w:t>万股并在深圳交易所创业板上市交易。</w:t>
      </w:r>
      <w:r>
        <w:rPr>
          <w:rFonts w:ascii="Times New Roman" w:hAnsi="Times New Roman" w:cs="Times New Roman" w:eastAsia="Times New Roman" w:hint="default"/>
          <w:spacing w:val="-1"/>
        </w:rPr>
        <w:t>2009</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4</w:t>
      </w:r>
      <w:r>
        <w:rPr>
          <w:spacing w:val="-1"/>
        </w:rPr>
        <w:t>日，由北京市工商行政管理局换发企业法人营业执照，注</w:t>
      </w:r>
      <w:r>
        <w:rPr>
          <w:spacing w:val="-70"/>
        </w:rPr>
        <w:t> </w:t>
      </w:r>
      <w:r>
        <w:rPr>
          <w:spacing w:val="-70"/>
        </w:rPr>
      </w:r>
      <w:r>
        <w:rPr/>
        <w:t>册号</w:t>
      </w:r>
      <w:r>
        <w:rPr>
          <w:rFonts w:ascii="Times New Roman" w:hAnsi="Times New Roman" w:cs="Times New Roman" w:eastAsia="Times New Roman" w:hint="default"/>
        </w:rPr>
        <w:t>110000002700930</w:t>
      </w:r>
      <w:r>
        <w:rPr/>
        <w:t>。</w:t>
      </w:r>
    </w:p>
    <w:p>
      <w:pPr>
        <w:pStyle w:val="BodyText"/>
        <w:spacing w:line="451" w:lineRule="auto" w:before="43"/>
        <w:ind w:left="114" w:right="1130" w:firstLine="360"/>
        <w:jc w:val="both"/>
      </w:pPr>
      <w:r>
        <w:rPr>
          <w:rFonts w:ascii="Times New Roman" w:hAnsi="Times New Roman" w:cs="Times New Roman" w:eastAsia="Times New Roman" w:hint="default"/>
          <w:spacing w:val="-1"/>
        </w:rPr>
        <w:t>2010</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8</w:t>
      </w:r>
      <w:r>
        <w:rPr>
          <w:spacing w:val="-1"/>
        </w:rPr>
        <w:t>日，经公司</w:t>
      </w:r>
      <w:r>
        <w:rPr>
          <w:rFonts w:ascii="Times New Roman" w:hAnsi="Times New Roman" w:cs="Times New Roman" w:eastAsia="Times New Roman" w:hint="default"/>
          <w:spacing w:val="-1"/>
        </w:rPr>
        <w:t>2009</w:t>
      </w:r>
      <w:r>
        <w:rPr>
          <w:spacing w:val="-1"/>
        </w:rPr>
        <w:t>年度股东大会决议通过，以</w:t>
      </w:r>
      <w:r>
        <w:rPr>
          <w:rFonts w:ascii="Times New Roman" w:hAnsi="Times New Roman" w:cs="Times New Roman" w:eastAsia="Times New Roman" w:hint="default"/>
          <w:spacing w:val="-1"/>
        </w:rPr>
        <w:t>2009</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日公司总股本</w:t>
      </w:r>
      <w:r>
        <w:rPr>
          <w:rFonts w:ascii="Times New Roman" w:hAnsi="Times New Roman" w:cs="Times New Roman" w:eastAsia="Times New Roman" w:hint="default"/>
          <w:spacing w:val="-1"/>
        </w:rPr>
        <w:t>12,640</w:t>
      </w:r>
      <w:r>
        <w:rPr>
          <w:spacing w:val="-1"/>
        </w:rPr>
        <w:t>万股为基数，以资本公积金向</w:t>
      </w:r>
      <w:r>
        <w:rPr/>
        <w:t> 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15</w:t>
      </w:r>
      <w:r>
        <w:rPr/>
        <w:t>股，合计转增股本</w:t>
      </w:r>
      <w:r>
        <w:rPr>
          <w:rFonts w:ascii="Times New Roman" w:hAnsi="Times New Roman" w:cs="Times New Roman" w:eastAsia="Times New Roman" w:hint="default"/>
        </w:rPr>
        <w:t>18,960</w:t>
      </w:r>
      <w:r>
        <w:rPr/>
        <w:t>万股。</w:t>
      </w:r>
    </w:p>
    <w:p>
      <w:pPr>
        <w:pStyle w:val="BodyText"/>
        <w:spacing w:line="451" w:lineRule="auto" w:before="43"/>
        <w:ind w:left="114" w:right="1130" w:firstLine="360"/>
        <w:jc w:val="both"/>
      </w:pP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8</w:t>
      </w:r>
      <w:r>
        <w:rPr>
          <w:spacing w:val="-1"/>
        </w:rPr>
        <w:t>日，经公司</w:t>
      </w:r>
      <w:r>
        <w:rPr>
          <w:rFonts w:ascii="Times New Roman" w:hAnsi="Times New Roman" w:cs="Times New Roman" w:eastAsia="Times New Roman" w:hint="default"/>
          <w:spacing w:val="-1"/>
        </w:rPr>
        <w:t>2010</w:t>
      </w:r>
      <w:r>
        <w:rPr>
          <w:spacing w:val="-1"/>
        </w:rPr>
        <w:t>年度股东大会决议通过，以</w:t>
      </w:r>
      <w:r>
        <w:rPr>
          <w:rFonts w:ascii="Times New Roman" w:hAnsi="Times New Roman" w:cs="Times New Roman" w:eastAsia="Times New Roman" w:hint="default"/>
          <w:spacing w:val="-1"/>
        </w:rPr>
        <w:t>2010</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日公司总股本</w:t>
      </w:r>
      <w:r>
        <w:rPr>
          <w:rFonts w:ascii="Times New Roman" w:hAnsi="Times New Roman" w:cs="Times New Roman" w:eastAsia="Times New Roman" w:hint="default"/>
          <w:spacing w:val="-1"/>
        </w:rPr>
        <w:t>31,600</w:t>
      </w:r>
      <w:r>
        <w:rPr>
          <w:spacing w:val="-1"/>
        </w:rPr>
        <w:t>万股为基数，以资本公积金向</w:t>
      </w:r>
      <w:r>
        <w:rPr/>
        <w:t> 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2</w:t>
      </w:r>
      <w:r>
        <w:rPr/>
        <w:t>股，合计转增股本</w:t>
      </w:r>
      <w:r>
        <w:rPr>
          <w:rFonts w:ascii="Times New Roman" w:hAnsi="Times New Roman" w:cs="Times New Roman" w:eastAsia="Times New Roman" w:hint="default"/>
        </w:rPr>
        <w:t>6,320</w:t>
      </w:r>
      <w:r>
        <w:rPr/>
        <w:t>万股。</w:t>
      </w:r>
    </w:p>
    <w:p>
      <w:pPr>
        <w:pStyle w:val="BodyText"/>
        <w:spacing w:line="451" w:lineRule="auto" w:before="43"/>
        <w:ind w:left="114" w:right="1131" w:firstLine="360"/>
        <w:jc w:val="both"/>
      </w:pPr>
      <w:r>
        <w:rPr>
          <w:rFonts w:ascii="Times New Roman" w:hAnsi="Times New Roman" w:cs="Times New Roman" w:eastAsia="Times New Roman" w:hint="default"/>
          <w:spacing w:val="-2"/>
        </w:rPr>
        <w:t>2012</w:t>
      </w:r>
      <w:r>
        <w:rPr>
          <w:spacing w:val="-2"/>
        </w:rPr>
        <w:t>年</w:t>
      </w:r>
      <w:r>
        <w:rPr>
          <w:rFonts w:ascii="Times New Roman" w:hAnsi="Times New Roman" w:cs="Times New Roman" w:eastAsia="Times New Roman" w:hint="default"/>
          <w:spacing w:val="-2"/>
        </w:rPr>
        <w:t>9</w:t>
      </w:r>
      <w:r>
        <w:rPr>
          <w:spacing w:val="-2"/>
        </w:rPr>
        <w:t>月</w:t>
      </w:r>
      <w:r>
        <w:rPr>
          <w:rFonts w:ascii="Times New Roman" w:hAnsi="Times New Roman" w:cs="Times New Roman" w:eastAsia="Times New Roman" w:hint="default"/>
          <w:spacing w:val="-2"/>
        </w:rPr>
        <w:t>7</w:t>
      </w:r>
      <w:r>
        <w:rPr>
          <w:spacing w:val="-2"/>
        </w:rPr>
        <w:t>日，公司</w:t>
      </w:r>
      <w:r>
        <w:rPr>
          <w:rFonts w:ascii="Times New Roman" w:hAnsi="Times New Roman" w:cs="Times New Roman" w:eastAsia="Times New Roman" w:hint="default"/>
          <w:spacing w:val="-2"/>
        </w:rPr>
        <w:t>2012</w:t>
      </w:r>
      <w:r>
        <w:rPr>
          <w:spacing w:val="-2"/>
        </w:rPr>
        <w:t>年第一次临时股东大会决议通过《北京神州泰岳软件股份有限公司股票期权与限制性股票激励</w:t>
      </w:r>
      <w:r>
        <w:rPr/>
        <w:t> </w:t>
      </w:r>
      <w:r>
        <w:rPr>
          <w:spacing w:val="-1"/>
        </w:rPr>
        <w:t>计划》，向</w:t>
      </w:r>
      <w:r>
        <w:rPr>
          <w:rFonts w:ascii="Times New Roman" w:hAnsi="Times New Roman" w:cs="Times New Roman" w:eastAsia="Times New Roman" w:hint="default"/>
          <w:spacing w:val="-1"/>
        </w:rPr>
        <w:t>185</w:t>
      </w:r>
      <w:r>
        <w:rPr>
          <w:spacing w:val="-1"/>
        </w:rPr>
        <w:t>名自然人发行限制性股票</w:t>
      </w:r>
      <w:r>
        <w:rPr>
          <w:rFonts w:ascii="Times New Roman" w:hAnsi="Times New Roman" w:cs="Times New Roman" w:eastAsia="Times New Roman" w:hint="default"/>
          <w:spacing w:val="-1"/>
        </w:rPr>
        <w:t>418.37</w:t>
      </w:r>
      <w:r>
        <w:rPr>
          <w:spacing w:val="-1"/>
        </w:rPr>
        <w:t>万股。</w:t>
      </w:r>
      <w:r>
        <w:rPr>
          <w:rFonts w:ascii="Times New Roman" w:hAnsi="Times New Roman" w:cs="Times New Roman" w:eastAsia="Times New Roman" w:hint="default"/>
          <w:spacing w:val="-1"/>
        </w:rPr>
        <w:t>2012</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5</w:t>
      </w:r>
      <w:r>
        <w:rPr>
          <w:spacing w:val="-1"/>
        </w:rPr>
        <w:t>日，由北京市工商行政管理局换发企业法人营业执照，注</w:t>
      </w:r>
      <w:r>
        <w:rPr>
          <w:spacing w:val="-69"/>
        </w:rPr>
        <w:t> </w:t>
      </w:r>
      <w:r>
        <w:rPr>
          <w:spacing w:val="-69"/>
        </w:rPr>
      </w:r>
      <w:r>
        <w:rPr/>
        <w:t>册号</w:t>
      </w:r>
      <w:r>
        <w:rPr>
          <w:rFonts w:ascii="Times New Roman" w:hAnsi="Times New Roman" w:cs="Times New Roman" w:eastAsia="Times New Roman" w:hint="default"/>
        </w:rPr>
        <w:t>110000002700930</w:t>
      </w:r>
      <w:r>
        <w:rPr/>
        <w:t>。</w:t>
      </w:r>
    </w:p>
    <w:p>
      <w:pPr>
        <w:pStyle w:val="BodyText"/>
        <w:spacing w:line="240" w:lineRule="auto" w:before="43"/>
        <w:ind w:left="474" w:right="0"/>
        <w:jc w:val="left"/>
        <w:rPr>
          <w:rFonts w:ascii="Times New Roman" w:hAnsi="Times New Roman" w:cs="Times New Roman" w:eastAsia="Times New Roman" w:hint="default"/>
        </w:rPr>
      </w:pPr>
      <w:r>
        <w:rPr>
          <w:rFonts w:ascii="Times New Roman" w:hAnsi="Times New Roman" w:cs="Times New Roman" w:eastAsia="Times New Roman" w:hint="default"/>
        </w:rPr>
        <w:t>2013</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20</w:t>
      </w:r>
      <w:r>
        <w:rPr/>
        <w:t>日，公司</w:t>
      </w:r>
      <w:r>
        <w:rPr>
          <w:rFonts w:ascii="Times New Roman" w:hAnsi="Times New Roman" w:cs="Times New Roman" w:eastAsia="Times New Roman" w:hint="default"/>
        </w:rPr>
        <w:t>2012</w:t>
      </w:r>
      <w:r>
        <w:rPr/>
        <w:t>年度股东大会决议审议通过了《</w:t>
      </w:r>
      <w:r>
        <w:rPr>
          <w:rFonts w:ascii="Times New Roman" w:hAnsi="Times New Roman" w:cs="Times New Roman" w:eastAsia="Times New Roman" w:hint="default"/>
        </w:rPr>
        <w:t>2012</w:t>
      </w:r>
      <w:r>
        <w:rPr/>
        <w:t>年度利润分配及资本公积金转增股本预案》，截止</w:t>
      </w:r>
      <w:r>
        <w:rPr>
          <w:rFonts w:ascii="Times New Roman" w:hAnsi="Times New Roman" w:cs="Times New Roman" w:eastAsia="Times New Roman" w:hint="default"/>
        </w:rPr>
        <w:t>2012</w:t>
      </w:r>
    </w:p>
    <w:p>
      <w:pPr>
        <w:spacing w:after="0" w:line="240" w:lineRule="auto"/>
        <w:jc w:val="left"/>
        <w:rPr>
          <w:rFonts w:ascii="Times New Roman" w:hAnsi="Times New Roman" w:cs="Times New Roman" w:eastAsia="Times New Roman" w:hint="default"/>
        </w:rPr>
        <w:sectPr>
          <w:pgSz w:w="11910" w:h="16840"/>
          <w:pgMar w:header="851" w:footer="979" w:top="1400" w:bottom="1160" w:left="1020" w:right="0"/>
        </w:sectPr>
      </w:pPr>
    </w:p>
    <w:p>
      <w:pPr>
        <w:spacing w:line="240" w:lineRule="auto" w:before="2"/>
        <w:rPr>
          <w:rFonts w:ascii="Times New Roman" w:hAnsi="Times New Roman" w:cs="Times New Roman" w:eastAsia="Times New Roman" w:hint="default"/>
          <w:sz w:val="3"/>
          <w:szCs w:val="3"/>
        </w:rPr>
      </w:pPr>
    </w:p>
    <w:p>
      <w:pPr>
        <w:spacing w:line="20" w:lineRule="exact"/>
        <w:ind w:left="11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Times New Roman" w:hAnsi="Times New Roman" w:cs="Times New Roman" w:eastAsia="Times New Roman" w:hint="default"/>
          <w:sz w:val="2"/>
          <w:szCs w:val="2"/>
        </w:rPr>
      </w:r>
    </w:p>
    <w:p>
      <w:pPr>
        <w:pStyle w:val="BodyText"/>
        <w:spacing w:line="451" w:lineRule="auto" w:before="83"/>
        <w:ind w:right="1131"/>
        <w:jc w:val="both"/>
      </w:pP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日，母公司资本公积金为</w:t>
      </w:r>
      <w:r>
        <w:rPr>
          <w:rFonts w:ascii="Times New Roman" w:hAnsi="Times New Roman" w:cs="Times New Roman" w:eastAsia="Times New Roman" w:hint="default"/>
          <w:spacing w:val="-2"/>
        </w:rPr>
        <w:t>1,556,513,432.57</w:t>
      </w:r>
      <w:r>
        <w:rPr>
          <w:spacing w:val="-2"/>
        </w:rPr>
        <w:t>元，本次以</w:t>
      </w:r>
      <w:r>
        <w:rPr>
          <w:rFonts w:ascii="Times New Roman" w:hAnsi="Times New Roman" w:cs="Times New Roman" w:eastAsia="Times New Roman" w:hint="default"/>
          <w:spacing w:val="-2"/>
        </w:rPr>
        <w:t>2012</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日公司总股本</w:t>
      </w:r>
      <w:r>
        <w:rPr>
          <w:rFonts w:ascii="Times New Roman" w:hAnsi="Times New Roman" w:cs="Times New Roman" w:eastAsia="Times New Roman" w:hint="default"/>
          <w:spacing w:val="-2"/>
        </w:rPr>
        <w:t>38,338.37</w:t>
      </w:r>
      <w:r>
        <w:rPr>
          <w:spacing w:val="-2"/>
        </w:rPr>
        <w:t>万股为基数，由资本公积</w:t>
      </w:r>
      <w:r>
        <w:rPr>
          <w:spacing w:val="-31"/>
        </w:rPr>
        <w:t> </w:t>
      </w:r>
      <w:r>
        <w:rPr>
          <w:spacing w:val="-31"/>
        </w:rPr>
      </w:r>
      <w:r>
        <w:rPr/>
        <w:t>金向全体股东每</w:t>
      </w:r>
      <w:r>
        <w:rPr>
          <w:rFonts w:ascii="Times New Roman" w:hAnsi="Times New Roman" w:cs="Times New Roman" w:eastAsia="Times New Roman" w:hint="default"/>
        </w:rPr>
        <w:t>10</w:t>
      </w:r>
      <w:r>
        <w:rPr>
          <w:rFonts w:ascii="Times New Roman" w:hAnsi="Times New Roman" w:cs="Times New Roman" w:eastAsia="Times New Roman" w:hint="default"/>
          <w:spacing w:val="39"/>
        </w:rPr>
        <w:t> </w:t>
      </w:r>
      <w:r>
        <w:rPr>
          <w:spacing w:val="-4"/>
        </w:rPr>
        <w:t>股转增</w:t>
      </w:r>
      <w:r>
        <w:rPr>
          <w:rFonts w:ascii="Times New Roman" w:hAnsi="Times New Roman" w:cs="Times New Roman" w:eastAsia="Times New Roman" w:hint="default"/>
          <w:spacing w:val="-4"/>
        </w:rPr>
        <w:t>6</w:t>
      </w:r>
      <w:r>
        <w:rPr>
          <w:spacing w:val="-4"/>
        </w:rPr>
        <w:t>股，合计转增</w:t>
      </w:r>
      <w:r>
        <w:rPr>
          <w:rFonts w:ascii="Times New Roman" w:hAnsi="Times New Roman" w:cs="Times New Roman" w:eastAsia="Times New Roman" w:hint="default"/>
          <w:spacing w:val="-4"/>
        </w:rPr>
        <w:t>23,003.02</w:t>
      </w:r>
      <w:r>
        <w:rPr>
          <w:spacing w:val="-4"/>
        </w:rPr>
        <w:t>万股。</w:t>
      </w:r>
      <w:r>
        <w:rPr>
          <w:rFonts w:ascii="Times New Roman" w:hAnsi="Times New Roman" w:cs="Times New Roman" w:eastAsia="Times New Roman" w:hint="default"/>
          <w:spacing w:val="-4"/>
        </w:rPr>
        <w:t>2013</w:t>
      </w:r>
      <w:r>
        <w:rPr>
          <w:spacing w:val="-4"/>
        </w:rPr>
        <w:t>年</w:t>
      </w:r>
      <w:r>
        <w:rPr>
          <w:rFonts w:ascii="Times New Roman" w:hAnsi="Times New Roman" w:cs="Times New Roman" w:eastAsia="Times New Roman" w:hint="default"/>
          <w:spacing w:val="-4"/>
        </w:rPr>
        <w:t>6</w:t>
      </w:r>
      <w:r>
        <w:rPr>
          <w:spacing w:val="-4"/>
        </w:rPr>
        <w:t>月</w:t>
      </w:r>
      <w:r>
        <w:rPr>
          <w:rFonts w:ascii="Times New Roman" w:hAnsi="Times New Roman" w:cs="Times New Roman" w:eastAsia="Times New Roman" w:hint="default"/>
          <w:spacing w:val="-4"/>
        </w:rPr>
        <w:t>19</w:t>
      </w:r>
      <w:r>
        <w:rPr>
          <w:spacing w:val="-4"/>
        </w:rPr>
        <w:t>日，由北京市工商行政管理局换发企业法人营业执照，</w:t>
      </w:r>
      <w:r>
        <w:rPr>
          <w:spacing w:val="-86"/>
        </w:rPr>
        <w:t> </w:t>
      </w:r>
      <w:r>
        <w:rPr>
          <w:spacing w:val="-86"/>
        </w:rPr>
      </w:r>
      <w:r>
        <w:rPr/>
        <w:t>注册号</w:t>
      </w:r>
      <w:r>
        <w:rPr>
          <w:rFonts w:ascii="Times New Roman" w:hAnsi="Times New Roman" w:cs="Times New Roman" w:eastAsia="Times New Roman" w:hint="default"/>
        </w:rPr>
        <w:t>110000002700930</w:t>
      </w:r>
      <w:r>
        <w:rPr/>
        <w:t>。</w:t>
      </w:r>
    </w:p>
    <w:p>
      <w:pPr>
        <w:pStyle w:val="BodyText"/>
        <w:spacing w:line="458" w:lineRule="auto" w:before="44"/>
        <w:ind w:right="1131" w:firstLine="360"/>
        <w:jc w:val="both"/>
      </w:pPr>
      <w:r>
        <w:rPr>
          <w:rFonts w:ascii="Times New Roman" w:hAnsi="Times New Roman" w:cs="Times New Roman" w:eastAsia="Times New Roman" w:hint="default"/>
        </w:rPr>
        <w:t>2013</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16</w:t>
      </w:r>
      <w:r>
        <w:rPr/>
        <w:t>日，公司第五届董事会第六次会议审议通过了《关于回购注销部分已不符合激励条件的原激励对象已获授 </w:t>
      </w:r>
      <w:r>
        <w:rPr>
          <w:spacing w:val="-2"/>
        </w:rPr>
        <w:t>的限制性股票的议案》。由于部分原激励对象因个人原因已离职，根据相关规定，其已不具备激励对象资格，公司对该等原</w:t>
      </w:r>
      <w:r>
        <w:rPr>
          <w:spacing w:val="-65"/>
        </w:rPr>
        <w:t> </w:t>
      </w:r>
      <w:r>
        <w:rPr>
          <w:spacing w:val="-65"/>
        </w:rPr>
      </w:r>
      <w:r>
        <w:rPr/>
        <w:t>激励对象获授的限制性股票全部注销回购，回购数量为</w:t>
      </w:r>
      <w:r>
        <w:rPr>
          <w:rFonts w:ascii="Times New Roman" w:hAnsi="Times New Roman" w:cs="Times New Roman" w:eastAsia="Times New Roman" w:hint="default"/>
        </w:rPr>
        <w:t>280,800</w:t>
      </w:r>
      <w:r>
        <w:rPr/>
        <w:t>股，回购价格为</w:t>
      </w:r>
      <w:r>
        <w:rPr>
          <w:rFonts w:ascii="Times New Roman" w:hAnsi="Times New Roman" w:cs="Times New Roman" w:eastAsia="Times New Roman" w:hint="default"/>
        </w:rPr>
        <w:t>5.36</w:t>
      </w:r>
      <w:r>
        <w:rPr/>
        <w:t>元</w:t>
      </w:r>
      <w:r>
        <w:rPr>
          <w:rFonts w:ascii="Times New Roman" w:hAnsi="Times New Roman" w:cs="Times New Roman" w:eastAsia="Times New Roman" w:hint="default"/>
        </w:rPr>
        <w:t>/</w:t>
      </w:r>
      <w:r>
        <w:rPr/>
        <w:t>股。注销完成后，公司注册资本由人</w:t>
      </w:r>
      <w:r>
        <w:rPr>
          <w:spacing w:val="-49"/>
        </w:rPr>
        <w:t> </w:t>
      </w:r>
      <w:r>
        <w:rPr>
          <w:spacing w:val="-49"/>
        </w:rPr>
      </w:r>
      <w:r>
        <w:rPr/>
        <w:t>民币</w:t>
      </w:r>
      <w:r>
        <w:rPr>
          <w:rFonts w:ascii="Times New Roman" w:hAnsi="Times New Roman" w:cs="Times New Roman" w:eastAsia="Times New Roman" w:hint="default"/>
        </w:rPr>
        <w:t>613,413,920</w:t>
      </w:r>
      <w:r>
        <w:rPr/>
        <w:t>元减少至人民币</w:t>
      </w:r>
      <w:r>
        <w:rPr>
          <w:rFonts w:ascii="Times New Roman" w:hAnsi="Times New Roman" w:cs="Times New Roman" w:eastAsia="Times New Roman" w:hint="default"/>
        </w:rPr>
        <w:t>613,133,120</w:t>
      </w:r>
      <w:r>
        <w:rPr/>
        <w:t>元；公司股份总数由人民币普通股</w:t>
      </w:r>
      <w:r>
        <w:rPr>
          <w:rFonts w:ascii="Times New Roman" w:hAnsi="Times New Roman" w:cs="Times New Roman" w:eastAsia="Times New Roman" w:hint="default"/>
        </w:rPr>
        <w:t>613,413,920</w:t>
      </w:r>
      <w:r>
        <w:rPr/>
        <w:t>股减少至</w:t>
      </w:r>
      <w:r>
        <w:rPr>
          <w:rFonts w:ascii="Times New Roman" w:hAnsi="Times New Roman" w:cs="Times New Roman" w:eastAsia="Times New Roman" w:hint="default"/>
        </w:rPr>
        <w:t>613,133,120</w:t>
      </w:r>
      <w:r>
        <w:rPr/>
        <w:t>股。</w:t>
      </w:r>
    </w:p>
    <w:p>
      <w:pPr>
        <w:pStyle w:val="BodyText"/>
        <w:spacing w:line="451" w:lineRule="auto" w:before="37"/>
        <w:ind w:right="1132" w:firstLine="360"/>
        <w:jc w:val="both"/>
      </w:pPr>
      <w:r>
        <w:rPr>
          <w:rFonts w:ascii="Times New Roman" w:hAnsi="Times New Roman" w:cs="Times New Roman" w:eastAsia="Times New Roman" w:hint="default"/>
          <w:spacing w:val="-1"/>
        </w:rPr>
        <w:t>2013</w:t>
      </w:r>
      <w:r>
        <w:rPr>
          <w:spacing w:val="-1"/>
        </w:rPr>
        <w:t>年</w:t>
      </w:r>
      <w:r>
        <w:rPr>
          <w:rFonts w:ascii="Times New Roman" w:hAnsi="Times New Roman" w:cs="Times New Roman" w:eastAsia="Times New Roman" w:hint="default"/>
          <w:spacing w:val="-1"/>
        </w:rPr>
        <w:t>11</w:t>
      </w:r>
      <w:r>
        <w:rPr>
          <w:spacing w:val="-1"/>
        </w:rPr>
        <w:t>月</w:t>
      </w:r>
      <w:r>
        <w:rPr>
          <w:rFonts w:ascii="Times New Roman" w:hAnsi="Times New Roman" w:cs="Times New Roman" w:eastAsia="Times New Roman" w:hint="default"/>
          <w:spacing w:val="-1"/>
        </w:rPr>
        <w:t>21</w:t>
      </w:r>
      <w:r>
        <w:rPr>
          <w:spacing w:val="-1"/>
        </w:rPr>
        <w:t>日，根据公司</w:t>
      </w:r>
      <w:r>
        <w:rPr>
          <w:rFonts w:ascii="Times New Roman" w:hAnsi="Times New Roman" w:cs="Times New Roman" w:eastAsia="Times New Roman" w:hint="default"/>
          <w:spacing w:val="-1"/>
        </w:rPr>
        <w:t>2013</w:t>
      </w:r>
      <w:r>
        <w:rPr>
          <w:spacing w:val="-1"/>
        </w:rPr>
        <w:t>年第二次临时股东大会审议通过的《公司注册资本变更的议案》和《关于修改</w:t>
      </w:r>
      <w:r>
        <w:rPr>
          <w:rFonts w:ascii="Times New Roman" w:hAnsi="Times New Roman" w:cs="Times New Roman" w:eastAsia="Times New Roman" w:hint="default"/>
          <w:spacing w:val="-1"/>
        </w:rPr>
        <w:t>&lt;</w:t>
      </w:r>
      <w:r>
        <w:rPr>
          <w:spacing w:val="-1"/>
        </w:rPr>
        <w:t>公司章</w:t>
      </w:r>
      <w:r>
        <w:rPr/>
        <w:t> </w:t>
      </w:r>
      <w:r>
        <w:rPr>
          <w:spacing w:val="-1"/>
        </w:rPr>
        <w:t>程</w:t>
      </w:r>
      <w:r>
        <w:rPr>
          <w:rFonts w:ascii="Times New Roman" w:hAnsi="Times New Roman" w:cs="Times New Roman" w:eastAsia="Times New Roman" w:hint="default"/>
          <w:spacing w:val="-1"/>
        </w:rPr>
        <w:t>&gt;</w:t>
      </w:r>
      <w:r>
        <w:rPr>
          <w:spacing w:val="-1"/>
        </w:rPr>
        <w:t>的议案》，公司已完成相应的工商变更登记手续，并取得了北京市工商行政管理局换发的《企业法人营业执照》，注册</w:t>
      </w:r>
      <w:r>
        <w:rPr>
          <w:spacing w:val="-42"/>
        </w:rPr>
        <w:t> </w:t>
      </w:r>
      <w:r>
        <w:rPr>
          <w:spacing w:val="-42"/>
        </w:rPr>
      </w:r>
      <w:r>
        <w:rPr/>
        <w:t>号为</w:t>
      </w:r>
      <w:r>
        <w:rPr>
          <w:rFonts w:ascii="Times New Roman" w:hAnsi="Times New Roman" w:cs="Times New Roman" w:eastAsia="Times New Roman" w:hint="default"/>
        </w:rPr>
        <w:t>110000002700930</w:t>
      </w:r>
      <w:r>
        <w:rPr/>
        <w:t>。</w:t>
      </w:r>
    </w:p>
    <w:p>
      <w:pPr>
        <w:pStyle w:val="BodyText"/>
        <w:spacing w:line="451" w:lineRule="auto" w:before="43"/>
        <w:ind w:right="1131" w:firstLine="360"/>
        <w:jc w:val="both"/>
      </w:pPr>
      <w:r>
        <w:rPr>
          <w:rFonts w:ascii="Times New Roman" w:hAnsi="Times New Roman" w:cs="Times New Roman" w:eastAsia="Times New Roman" w:hint="default"/>
        </w:rPr>
        <w:t>2014</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9</w:t>
      </w:r>
      <w:r>
        <w:rPr/>
        <w:t>日，公司</w:t>
      </w:r>
      <w:r>
        <w:rPr>
          <w:rFonts w:ascii="Times New Roman" w:hAnsi="Times New Roman" w:cs="Times New Roman" w:eastAsia="Times New Roman" w:hint="default"/>
        </w:rPr>
        <w:t>2013</w:t>
      </w:r>
      <w:r>
        <w:rPr/>
        <w:t>年度股东大会审议通过《关于修改</w:t>
      </w:r>
      <w:r>
        <w:rPr>
          <w:rFonts w:ascii="Times New Roman" w:hAnsi="Times New Roman" w:cs="Times New Roman" w:eastAsia="Times New Roman" w:hint="default"/>
        </w:rPr>
        <w:t>&lt;</w:t>
      </w:r>
      <w:r>
        <w:rPr/>
        <w:t>公司章程</w:t>
      </w:r>
      <w:r>
        <w:rPr>
          <w:rFonts w:ascii="Times New Roman" w:hAnsi="Times New Roman" w:cs="Times New Roman" w:eastAsia="Times New Roman" w:hint="default"/>
        </w:rPr>
        <w:t>&gt;</w:t>
      </w:r>
      <w:r>
        <w:rPr/>
        <w:t>的议案》，因公司股权激励计划之股票期权行 </w:t>
      </w:r>
      <w:r>
        <w:rPr>
          <w:spacing w:val="5"/>
        </w:rPr>
        <w:t>权而增加股份数为</w:t>
      </w:r>
      <w:r>
        <w:rPr>
          <w:rFonts w:ascii="Times New Roman" w:hAnsi="Times New Roman" w:cs="Times New Roman" w:eastAsia="Times New Roman" w:hint="default"/>
          <w:spacing w:val="5"/>
        </w:rPr>
        <w:t>2,083,264</w:t>
      </w:r>
      <w:r>
        <w:rPr>
          <w:spacing w:val="5"/>
        </w:rPr>
        <w:t>股；同时，根据公司《</w:t>
      </w:r>
      <w:r>
        <w:rPr>
          <w:rFonts w:ascii="Times New Roman" w:hAnsi="Times New Roman" w:cs="Times New Roman" w:eastAsia="Times New Roman" w:hint="default"/>
          <w:spacing w:val="5"/>
        </w:rPr>
        <w:t>2013</w:t>
      </w:r>
      <w:r>
        <w:rPr>
          <w:spacing w:val="5"/>
        </w:rPr>
        <w:t>年度利润分配及转增股本预案》，以公司</w:t>
      </w:r>
      <w:r>
        <w:rPr>
          <w:rFonts w:ascii="Times New Roman" w:hAnsi="Times New Roman" w:cs="Times New Roman" w:eastAsia="Times New Roman" w:hint="default"/>
          <w:spacing w:val="5"/>
        </w:rPr>
        <w:t>2014</w:t>
      </w:r>
      <w:r>
        <w:rPr>
          <w:spacing w:val="5"/>
        </w:rPr>
        <w:t>年</w:t>
      </w:r>
      <w:r>
        <w:rPr>
          <w:rFonts w:ascii="Times New Roman" w:hAnsi="Times New Roman" w:cs="Times New Roman" w:eastAsia="Times New Roman" w:hint="default"/>
          <w:spacing w:val="5"/>
        </w:rPr>
        <w:t>2</w:t>
      </w:r>
      <w:r>
        <w:rPr>
          <w:spacing w:val="5"/>
        </w:rPr>
        <w:t>月</w:t>
      </w:r>
      <w:r>
        <w:rPr>
          <w:rFonts w:ascii="Times New Roman" w:hAnsi="Times New Roman" w:cs="Times New Roman" w:eastAsia="Times New Roman" w:hint="default"/>
          <w:spacing w:val="5"/>
        </w:rPr>
        <w:t>28</w:t>
      </w:r>
      <w:r>
        <w:rPr>
          <w:spacing w:val="5"/>
        </w:rPr>
        <w:t>日总股本</w:t>
      </w:r>
      <w:r>
        <w:rPr>
          <w:spacing w:val="-47"/>
        </w:rPr>
        <w:t> </w:t>
      </w:r>
      <w:r>
        <w:rPr>
          <w:spacing w:val="-47"/>
        </w:rPr>
      </w:r>
      <w:r>
        <w:rPr>
          <w:rFonts w:ascii="Times New Roman" w:hAnsi="Times New Roman" w:cs="Times New Roman" w:eastAsia="Times New Roman" w:hint="default"/>
        </w:rPr>
        <w:t>615,216,384</w:t>
      </w:r>
      <w:r>
        <w:rPr/>
        <w:t>股为基数，向全体股东以每</w:t>
      </w:r>
      <w:r>
        <w:rPr>
          <w:rFonts w:ascii="Times New Roman" w:hAnsi="Times New Roman" w:cs="Times New Roman" w:eastAsia="Times New Roman" w:hint="default"/>
        </w:rPr>
        <w:t>10</w:t>
      </w:r>
      <w:r>
        <w:rPr/>
        <w:t>股派发现金红利</w:t>
      </w:r>
      <w:r>
        <w:rPr>
          <w:rFonts w:ascii="Times New Roman" w:hAnsi="Times New Roman" w:cs="Times New Roman" w:eastAsia="Times New Roman" w:hint="default"/>
        </w:rPr>
        <w:t>2.5</w:t>
      </w:r>
      <w:r>
        <w:rPr/>
        <w:t>元（含税），以资本公积金向全体股东每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10</w:t>
      </w:r>
      <w:r>
        <w:rPr/>
        <w:t>股，实施</w:t>
      </w:r>
      <w:r>
        <w:rPr>
          <w:spacing w:val="-45"/>
        </w:rPr>
        <w:t> </w:t>
      </w:r>
      <w:r>
        <w:rPr>
          <w:spacing w:val="-45"/>
        </w:rPr>
      </w:r>
      <w:r>
        <w:rPr>
          <w:spacing w:val="2"/>
        </w:rPr>
        <w:t>完成后公司注册资本增至</w:t>
      </w:r>
      <w:r>
        <w:rPr>
          <w:rFonts w:ascii="Times New Roman" w:hAnsi="Times New Roman" w:cs="Times New Roman" w:eastAsia="Times New Roman" w:hint="default"/>
          <w:spacing w:val="2"/>
        </w:rPr>
        <w:t>1,230,432,768.00</w:t>
      </w:r>
      <w:r>
        <w:rPr>
          <w:spacing w:val="2"/>
        </w:rPr>
        <w:t>元。</w:t>
      </w:r>
      <w:r>
        <w:rPr>
          <w:rFonts w:ascii="Times New Roman" w:hAnsi="Times New Roman" w:cs="Times New Roman" w:eastAsia="Times New Roman" w:hint="default"/>
          <w:spacing w:val="2"/>
        </w:rPr>
        <w:t>2014</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25</w:t>
      </w:r>
      <w:r>
        <w:rPr>
          <w:spacing w:val="2"/>
        </w:rPr>
        <w:t>日，由北京市工商行政管理局换发企业法人营业执照，注册号</w:t>
      </w:r>
      <w:r>
        <w:rPr>
          <w:spacing w:val="-64"/>
        </w:rPr>
        <w:t> </w:t>
      </w:r>
      <w:r>
        <w:rPr>
          <w:spacing w:val="-64"/>
        </w:rPr>
      </w:r>
      <w:r>
        <w:rPr>
          <w:rFonts w:ascii="Times New Roman" w:hAnsi="Times New Roman" w:cs="Times New Roman" w:eastAsia="Times New Roman" w:hint="default"/>
        </w:rPr>
        <w:t>110000002700930</w:t>
      </w:r>
      <w:r>
        <w:rPr/>
        <w:t>。</w:t>
      </w:r>
    </w:p>
    <w:p>
      <w:pPr>
        <w:pStyle w:val="BodyText"/>
        <w:spacing w:line="451" w:lineRule="auto" w:before="44"/>
        <w:ind w:right="1127" w:firstLine="360"/>
        <w:jc w:val="both"/>
      </w:pPr>
      <w:r>
        <w:rPr>
          <w:rFonts w:ascii="Times New Roman" w:hAnsi="Times New Roman" w:cs="Times New Roman" w:eastAsia="Times New Roman" w:hint="default"/>
          <w:spacing w:val="-1"/>
        </w:rPr>
        <w:t>2014</w:t>
      </w:r>
      <w:r>
        <w:rPr>
          <w:spacing w:val="-1"/>
        </w:rPr>
        <w:t>年</w:t>
      </w:r>
      <w:r>
        <w:rPr>
          <w:rFonts w:ascii="Times New Roman" w:hAnsi="Times New Roman" w:cs="Times New Roman" w:eastAsia="Times New Roman" w:hint="default"/>
          <w:spacing w:val="-1"/>
        </w:rPr>
        <w:t>6</w:t>
      </w:r>
      <w:r>
        <w:rPr>
          <w:spacing w:val="-1"/>
        </w:rPr>
        <w:t>月</w:t>
      </w:r>
      <w:r>
        <w:rPr>
          <w:rFonts w:ascii="Times New Roman" w:hAnsi="Times New Roman" w:cs="Times New Roman" w:eastAsia="Times New Roman" w:hint="default"/>
          <w:spacing w:val="-1"/>
        </w:rPr>
        <w:t>27</w:t>
      </w:r>
      <w:r>
        <w:rPr>
          <w:spacing w:val="-1"/>
        </w:rPr>
        <w:t>日，公司</w:t>
      </w:r>
      <w:r>
        <w:rPr>
          <w:rFonts w:ascii="Times New Roman" w:hAnsi="Times New Roman" w:cs="Times New Roman" w:eastAsia="Times New Roman" w:hint="default"/>
          <w:spacing w:val="-1"/>
        </w:rPr>
        <w:t>2014</w:t>
      </w:r>
      <w:r>
        <w:rPr>
          <w:spacing w:val="-1"/>
        </w:rPr>
        <w:t>年第一次临时股东大会审议通过《关于变更公司注册资本的议案》、《关于修改</w:t>
      </w:r>
      <w:r>
        <w:rPr>
          <w:rFonts w:ascii="Times New Roman" w:hAnsi="Times New Roman" w:cs="Times New Roman" w:eastAsia="Times New Roman" w:hint="default"/>
          <w:spacing w:val="-1"/>
        </w:rPr>
        <w:t>&lt;</w:t>
      </w:r>
      <w:r>
        <w:rPr>
          <w:spacing w:val="-1"/>
        </w:rPr>
        <w:t>公司章程</w:t>
      </w:r>
      <w:r>
        <w:rPr>
          <w:rFonts w:ascii="Times New Roman" w:hAnsi="Times New Roman" w:cs="Times New Roman" w:eastAsia="Times New Roman" w:hint="default"/>
          <w:spacing w:val="-1"/>
        </w:rPr>
        <w:t>&gt;</w:t>
      </w:r>
      <w:r>
        <w:rPr>
          <w:rFonts w:ascii="Times New Roman" w:hAnsi="Times New Roman" w:cs="Times New Roman" w:eastAsia="Times New Roman" w:hint="default"/>
        </w:rPr>
        <w:t> </w:t>
      </w:r>
      <w:r>
        <w:rPr/>
        <w:t>的议案》，公司因发行股份及支付现金购买资产的相关股份上市手续已办理完毕，公司股本增加了</w:t>
      </w:r>
      <w:r>
        <w:rPr>
          <w:rFonts w:ascii="Times New Roman" w:hAnsi="Times New Roman" w:cs="Times New Roman" w:eastAsia="Times New Roman" w:hint="default"/>
        </w:rPr>
        <w:t>92,756,183</w:t>
      </w:r>
      <w:r>
        <w:rPr/>
        <w:t>股，公司股份</w:t>
      </w:r>
      <w:r>
        <w:rPr>
          <w:spacing w:val="-84"/>
        </w:rPr>
        <w:t> </w:t>
      </w:r>
      <w:r>
        <w:rPr>
          <w:spacing w:val="-84"/>
        </w:rPr>
      </w:r>
      <w:r>
        <w:rPr/>
        <w:t>总数由</w:t>
      </w:r>
      <w:r>
        <w:rPr>
          <w:rFonts w:ascii="Times New Roman" w:hAnsi="Times New Roman" w:cs="Times New Roman" w:eastAsia="Times New Roman" w:hint="default"/>
        </w:rPr>
        <w:t>1,230,432,768.00</w:t>
      </w:r>
      <w:r>
        <w:rPr/>
        <w:t>股变更为</w:t>
      </w:r>
      <w:r>
        <w:rPr>
          <w:rFonts w:ascii="Times New Roman" w:hAnsi="Times New Roman" w:cs="Times New Roman" w:eastAsia="Times New Roman" w:hint="default"/>
        </w:rPr>
        <w:t>1,323,188,951</w:t>
      </w:r>
      <w:r>
        <w:rPr/>
        <w:t>股，注册资本由人民币</w:t>
      </w:r>
      <w:r>
        <w:rPr>
          <w:rFonts w:ascii="Times New Roman" w:hAnsi="Times New Roman" w:cs="Times New Roman" w:eastAsia="Times New Roman" w:hint="default"/>
        </w:rPr>
        <w:t>1,230,432,768.00</w:t>
      </w:r>
      <w:r>
        <w:rPr/>
        <w:t>元变更为人民币</w:t>
      </w:r>
      <w:r>
        <w:rPr>
          <w:rFonts w:ascii="Times New Roman" w:hAnsi="Times New Roman" w:cs="Times New Roman" w:eastAsia="Times New Roman" w:hint="default"/>
        </w:rPr>
        <w:t>1,323,188,951.00</w:t>
      </w:r>
      <w:r>
        <w:rPr/>
        <w:t>元。</w:t>
      </w:r>
    </w:p>
    <w:p>
      <w:pPr>
        <w:pStyle w:val="BodyText"/>
        <w:spacing w:line="240" w:lineRule="auto" w:before="43"/>
        <w:ind w:right="0"/>
        <w:jc w:val="both"/>
      </w:pPr>
      <w:r>
        <w:rPr>
          <w:rFonts w:ascii="Times New Roman" w:hAnsi="Times New Roman" w:cs="Times New Roman" w:eastAsia="Times New Roman" w:hint="default"/>
        </w:rPr>
        <w:t>2014</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14</w:t>
      </w:r>
      <w:r>
        <w:rPr/>
        <w:t>日，由北京市工商行政管理局换发企业法人营业执照，注册号</w:t>
      </w:r>
      <w:r>
        <w:rPr>
          <w:rFonts w:ascii="Times New Roman" w:hAnsi="Times New Roman" w:cs="Times New Roman" w:eastAsia="Times New Roman" w:hint="default"/>
        </w:rPr>
        <w:t>110000002700930</w:t>
      </w:r>
      <w:r>
        <w:rPr/>
        <w:t>。</w:t>
      </w:r>
    </w:p>
    <w:p>
      <w:pPr>
        <w:spacing w:line="240" w:lineRule="auto" w:before="9"/>
        <w:rPr>
          <w:rFonts w:ascii="宋体" w:hAnsi="宋体" w:cs="宋体" w:eastAsia="宋体" w:hint="default"/>
          <w:sz w:val="16"/>
          <w:szCs w:val="16"/>
        </w:rPr>
      </w:pPr>
    </w:p>
    <w:p>
      <w:pPr>
        <w:pStyle w:val="BodyText"/>
        <w:spacing w:line="463" w:lineRule="auto"/>
        <w:ind w:right="1129" w:firstLine="360"/>
        <w:jc w:val="both"/>
      </w:pPr>
      <w:r>
        <w:rPr>
          <w:rFonts w:ascii="Times New Roman" w:hAnsi="Times New Roman" w:cs="Times New Roman" w:eastAsia="Times New Roman" w:hint="default"/>
          <w:spacing w:val="-1"/>
        </w:rPr>
        <w:t>2014</w:t>
      </w:r>
      <w:r>
        <w:rPr>
          <w:spacing w:val="-1"/>
        </w:rPr>
        <w:t>年</w:t>
      </w:r>
      <w:r>
        <w:rPr>
          <w:rFonts w:ascii="Times New Roman" w:hAnsi="Times New Roman" w:cs="Times New Roman" w:eastAsia="Times New Roman" w:hint="default"/>
          <w:spacing w:val="-1"/>
        </w:rPr>
        <w:t>11</w:t>
      </w:r>
      <w:r>
        <w:rPr>
          <w:spacing w:val="-1"/>
        </w:rPr>
        <w:t>月</w:t>
      </w:r>
      <w:r>
        <w:rPr>
          <w:rFonts w:ascii="Times New Roman" w:hAnsi="Times New Roman" w:cs="Times New Roman" w:eastAsia="Times New Roman" w:hint="default"/>
          <w:spacing w:val="-1"/>
        </w:rPr>
        <w:t>3</w:t>
      </w:r>
      <w:r>
        <w:rPr>
          <w:spacing w:val="-1"/>
        </w:rPr>
        <w:t>日，公司</w:t>
      </w:r>
      <w:r>
        <w:rPr>
          <w:rFonts w:ascii="Times New Roman" w:hAnsi="Times New Roman" w:cs="Times New Roman" w:eastAsia="Times New Roman" w:hint="default"/>
          <w:spacing w:val="-1"/>
        </w:rPr>
        <w:t>2014</w:t>
      </w:r>
      <w:r>
        <w:rPr>
          <w:spacing w:val="-1"/>
        </w:rPr>
        <w:t>年第二次临时股东大会审议通过了《关于修改</w:t>
      </w:r>
      <w:r>
        <w:rPr>
          <w:rFonts w:ascii="Times New Roman" w:hAnsi="Times New Roman" w:cs="Times New Roman" w:eastAsia="Times New Roman" w:hint="default"/>
          <w:spacing w:val="-1"/>
        </w:rPr>
        <w:t>&lt;</w:t>
      </w:r>
      <w:r>
        <w:rPr>
          <w:spacing w:val="-1"/>
        </w:rPr>
        <w:t>公司章程</w:t>
      </w:r>
      <w:r>
        <w:rPr>
          <w:rFonts w:ascii="Times New Roman" w:hAnsi="Times New Roman" w:cs="Times New Roman" w:eastAsia="Times New Roman" w:hint="default"/>
          <w:spacing w:val="-1"/>
        </w:rPr>
        <w:t>&gt;</w:t>
      </w:r>
      <w:r>
        <w:rPr>
          <w:spacing w:val="-1"/>
        </w:rPr>
        <w:t>的议案》，因公司股权激励计划第</w:t>
      </w:r>
      <w:r>
        <w:rPr/>
        <w:t> </w:t>
      </w:r>
      <w:r>
        <w:rPr>
          <w:spacing w:val="14"/>
        </w:rPr>
        <w:t>一个行权期激励对象行权、</w:t>
      </w:r>
      <w:r>
        <w:rPr>
          <w:spacing w:val="-68"/>
        </w:rPr>
        <w:t> </w:t>
      </w:r>
      <w:r>
        <w:rPr>
          <w:spacing w:val="15"/>
        </w:rPr>
        <w:t>回购注销不符合激励条件的原激励对象已获授的限制性股票等原因，</w:t>
      </w:r>
      <w:r>
        <w:rPr>
          <w:spacing w:val="-68"/>
        </w:rPr>
        <w:t> </w:t>
      </w:r>
      <w:r>
        <w:rPr>
          <w:spacing w:val="14"/>
        </w:rPr>
        <w:t>公司股份总数由</w:t>
      </w:r>
      <w:r>
        <w:rPr>
          <w:spacing w:val="-74"/>
        </w:rPr>
        <w:t> </w:t>
      </w:r>
      <w:r>
        <w:rPr>
          <w:spacing w:val="-74"/>
        </w:rPr>
      </w:r>
      <w:r>
        <w:rPr>
          <w:rFonts w:ascii="Times New Roman" w:hAnsi="Times New Roman" w:cs="Times New Roman" w:eastAsia="Times New Roman" w:hint="default"/>
        </w:rPr>
        <w:t>1,323,188,951</w:t>
      </w:r>
      <w:r>
        <w:rPr/>
        <w:t>股变更为</w:t>
      </w:r>
      <w:r>
        <w:rPr>
          <w:rFonts w:ascii="Times New Roman" w:hAnsi="Times New Roman" w:cs="Times New Roman" w:eastAsia="Times New Roman" w:hint="default"/>
        </w:rPr>
        <w:t>1,323,268,087</w:t>
      </w:r>
      <w:r>
        <w:rPr/>
        <w:t>股，注册资本由人民币</w:t>
      </w:r>
      <w:r>
        <w:rPr>
          <w:rFonts w:ascii="Times New Roman" w:hAnsi="Times New Roman" w:cs="Times New Roman" w:eastAsia="Times New Roman" w:hint="default"/>
        </w:rPr>
        <w:t>1,323,188,951.00</w:t>
      </w:r>
      <w:r>
        <w:rPr/>
        <w:t>元变更为人民币</w:t>
      </w:r>
      <w:r>
        <w:rPr>
          <w:rFonts w:ascii="Times New Roman" w:hAnsi="Times New Roman" w:cs="Times New Roman" w:eastAsia="Times New Roman" w:hint="default"/>
        </w:rPr>
        <w:t>1,323,268,087.00</w:t>
      </w:r>
      <w:r>
        <w:rPr/>
        <w:t>元。</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11</w:t>
      </w:r>
      <w:r>
        <w:rPr/>
        <w:t>月</w:t>
      </w:r>
    </w:p>
    <w:p>
      <w:pPr>
        <w:pStyle w:val="BodyText"/>
        <w:spacing w:line="240" w:lineRule="auto" w:before="33"/>
        <w:ind w:right="0"/>
        <w:jc w:val="both"/>
      </w:pPr>
      <w:r>
        <w:rPr>
          <w:rFonts w:ascii="Times New Roman" w:hAnsi="Times New Roman" w:cs="Times New Roman" w:eastAsia="Times New Roman" w:hint="default"/>
        </w:rPr>
        <w:t>18</w:t>
      </w:r>
      <w:r>
        <w:rPr/>
        <w:t>日，由北京市工商行政管理局换发企业法人营业执照，注册号</w:t>
      </w:r>
      <w:r>
        <w:rPr>
          <w:rFonts w:ascii="Times New Roman" w:hAnsi="Times New Roman" w:cs="Times New Roman" w:eastAsia="Times New Roman" w:hint="default"/>
        </w:rPr>
        <w:t>110000002700930</w:t>
      </w:r>
      <w:r>
        <w:rPr/>
        <w:t>。</w:t>
      </w:r>
    </w:p>
    <w:p>
      <w:pPr>
        <w:spacing w:line="240" w:lineRule="auto" w:before="9"/>
        <w:rPr>
          <w:rFonts w:ascii="宋体" w:hAnsi="宋体" w:cs="宋体" w:eastAsia="宋体" w:hint="default"/>
          <w:sz w:val="16"/>
          <w:szCs w:val="16"/>
        </w:rPr>
      </w:pPr>
    </w:p>
    <w:p>
      <w:pPr>
        <w:pStyle w:val="BodyText"/>
        <w:spacing w:line="458" w:lineRule="auto"/>
        <w:ind w:right="1130" w:firstLine="360"/>
        <w:jc w:val="both"/>
      </w:pPr>
      <w:r>
        <w:rPr>
          <w:rFonts w:ascii="Times New Roman" w:hAnsi="Times New Roman" w:cs="Times New Roman" w:eastAsia="Times New Roman" w:hint="default"/>
          <w:spacing w:val="-1"/>
        </w:rPr>
        <w:t>2015</w:t>
      </w:r>
      <w:r>
        <w:rPr>
          <w:spacing w:val="-1"/>
        </w:rPr>
        <w:t>年</w:t>
      </w:r>
      <w:r>
        <w:rPr>
          <w:rFonts w:ascii="Times New Roman" w:hAnsi="Times New Roman" w:cs="Times New Roman" w:eastAsia="Times New Roman" w:hint="default"/>
          <w:spacing w:val="-1"/>
        </w:rPr>
        <w:t>8</w:t>
      </w:r>
      <w:r>
        <w:rPr>
          <w:spacing w:val="-1"/>
        </w:rPr>
        <w:t>月</w:t>
      </w:r>
      <w:r>
        <w:rPr>
          <w:rFonts w:ascii="Times New Roman" w:hAnsi="Times New Roman" w:cs="Times New Roman" w:eastAsia="Times New Roman" w:hint="default"/>
          <w:spacing w:val="-1"/>
        </w:rPr>
        <w:t>20</w:t>
      </w:r>
      <w:r>
        <w:rPr>
          <w:spacing w:val="-1"/>
        </w:rPr>
        <w:t>日，公司</w:t>
      </w:r>
      <w:r>
        <w:rPr>
          <w:rFonts w:ascii="Times New Roman" w:hAnsi="Times New Roman" w:cs="Times New Roman" w:eastAsia="Times New Roman" w:hint="default"/>
          <w:spacing w:val="-1"/>
        </w:rPr>
        <w:t>2015</w:t>
      </w:r>
      <w:r>
        <w:rPr>
          <w:spacing w:val="-1"/>
        </w:rPr>
        <w:t>年第四次临时股东大会审议通过了《关于修改</w:t>
      </w:r>
      <w:r>
        <w:rPr>
          <w:rFonts w:ascii="Times New Roman" w:hAnsi="Times New Roman" w:cs="Times New Roman" w:eastAsia="Times New Roman" w:hint="default"/>
          <w:spacing w:val="-1"/>
        </w:rPr>
        <w:t>&lt;</w:t>
      </w:r>
      <w:r>
        <w:rPr>
          <w:spacing w:val="-1"/>
        </w:rPr>
        <w:t>公司章程</w:t>
      </w:r>
      <w:r>
        <w:rPr>
          <w:rFonts w:ascii="Times New Roman" w:hAnsi="Times New Roman" w:cs="Times New Roman" w:eastAsia="Times New Roman" w:hint="default"/>
          <w:spacing w:val="-1"/>
        </w:rPr>
        <w:t>&gt;</w:t>
      </w:r>
      <w:r>
        <w:rPr>
          <w:spacing w:val="-1"/>
        </w:rPr>
        <w:t>的议案》，因根据公司《</w:t>
      </w:r>
      <w:r>
        <w:rPr>
          <w:rFonts w:ascii="Times New Roman" w:hAnsi="Times New Roman" w:cs="Times New Roman" w:eastAsia="Times New Roman" w:hint="default"/>
          <w:spacing w:val="-1"/>
        </w:rPr>
        <w:t>2014</w:t>
      </w:r>
      <w:r>
        <w:rPr>
          <w:spacing w:val="-1"/>
        </w:rPr>
        <w:t>年度</w:t>
      </w:r>
      <w:r>
        <w:rPr>
          <w:spacing w:val="1"/>
        </w:rPr>
        <w:t> </w:t>
      </w:r>
      <w:r>
        <w:rPr>
          <w:spacing w:val="-4"/>
        </w:rPr>
        <w:t>利润分配及转增股本预案》，以公司</w:t>
      </w:r>
      <w:r>
        <w:rPr>
          <w:rFonts w:ascii="Times New Roman" w:hAnsi="Times New Roman" w:cs="Times New Roman" w:eastAsia="Times New Roman" w:hint="default"/>
          <w:spacing w:val="-4"/>
        </w:rPr>
        <w:t>2015</w:t>
      </w:r>
      <w:r>
        <w:rPr>
          <w:spacing w:val="-4"/>
        </w:rPr>
        <w:t>年</w:t>
      </w:r>
      <w:r>
        <w:rPr>
          <w:rFonts w:ascii="Times New Roman" w:hAnsi="Times New Roman" w:cs="Times New Roman" w:eastAsia="Times New Roman" w:hint="default"/>
          <w:spacing w:val="-4"/>
        </w:rPr>
        <w:t>3</w:t>
      </w:r>
      <w:r>
        <w:rPr>
          <w:spacing w:val="-4"/>
        </w:rPr>
        <w:t>月</w:t>
      </w:r>
      <w:r>
        <w:rPr>
          <w:rFonts w:ascii="Times New Roman" w:hAnsi="Times New Roman" w:cs="Times New Roman" w:eastAsia="Times New Roman" w:hint="default"/>
          <w:spacing w:val="-4"/>
        </w:rPr>
        <w:t>31</w:t>
      </w:r>
      <w:r>
        <w:rPr>
          <w:spacing w:val="-4"/>
        </w:rPr>
        <w:t>日总股本</w:t>
      </w:r>
      <w:r>
        <w:rPr>
          <w:rFonts w:ascii="Times New Roman" w:hAnsi="Times New Roman" w:cs="Times New Roman" w:eastAsia="Times New Roman" w:hint="default"/>
          <w:spacing w:val="-4"/>
        </w:rPr>
        <w:t>1,327,841,494</w:t>
      </w:r>
      <w:r>
        <w:rPr>
          <w:spacing w:val="-4"/>
        </w:rPr>
        <w:t>为基数，以资本公积金向全体股东每</w:t>
      </w:r>
      <w:r>
        <w:rPr>
          <w:rFonts w:ascii="Times New Roman" w:hAnsi="Times New Roman" w:cs="Times New Roman" w:eastAsia="Times New Roman" w:hint="default"/>
          <w:spacing w:val="-4"/>
        </w:rPr>
        <w:t>10</w:t>
      </w:r>
      <w:r>
        <w:rPr>
          <w:spacing w:val="-4"/>
        </w:rPr>
        <w:t>股转增</w:t>
      </w:r>
      <w:r>
        <w:rPr>
          <w:rFonts w:ascii="Times New Roman" w:hAnsi="Times New Roman" w:cs="Times New Roman" w:eastAsia="Times New Roman" w:hint="default"/>
          <w:spacing w:val="-4"/>
        </w:rPr>
        <w:t>5.020004</w:t>
      </w:r>
      <w:r>
        <w:rPr>
          <w:rFonts w:ascii="Times New Roman" w:hAnsi="Times New Roman" w:cs="Times New Roman" w:eastAsia="Times New Roman" w:hint="default"/>
          <w:spacing w:val="-28"/>
        </w:rPr>
        <w:t> </w:t>
      </w:r>
      <w:r>
        <w:rPr>
          <w:rFonts w:ascii="Times New Roman" w:hAnsi="Times New Roman" w:cs="Times New Roman" w:eastAsia="Times New Roman" w:hint="default"/>
          <w:spacing w:val="-28"/>
        </w:rPr>
      </w:r>
      <w:r>
        <w:rPr>
          <w:spacing w:val="-2"/>
        </w:rPr>
        <w:t>股，以及因公司股权激励计划之股票期权行权而增加股份数、因李毅等承诺人应补偿的股份由上市公司注销减少股份数等原</w:t>
      </w:r>
      <w:r>
        <w:rPr>
          <w:spacing w:val="-64"/>
        </w:rPr>
        <w:t> </w:t>
      </w:r>
      <w:r>
        <w:rPr>
          <w:spacing w:val="-64"/>
        </w:rPr>
      </w:r>
      <w:r>
        <w:rPr/>
        <w:t>因</w:t>
      </w:r>
      <w:r>
        <w:rPr>
          <w:spacing w:val="-63"/>
        </w:rPr>
        <w:t> </w:t>
      </w:r>
      <w:r>
        <w:rPr/>
        <w:t>，</w:t>
      </w:r>
      <w:r>
        <w:rPr>
          <w:spacing w:val="-63"/>
        </w:rPr>
        <w:t> </w:t>
      </w:r>
      <w:r>
        <w:rPr/>
        <w:t>公</w:t>
      </w:r>
      <w:r>
        <w:rPr>
          <w:spacing w:val="-63"/>
        </w:rPr>
        <w:t> </w:t>
      </w:r>
      <w:r>
        <w:rPr/>
        <w:t>司</w:t>
      </w:r>
      <w:r>
        <w:rPr>
          <w:spacing w:val="-64"/>
        </w:rPr>
        <w:t> </w:t>
      </w:r>
      <w:r>
        <w:rPr/>
        <w:t>股</w:t>
      </w:r>
      <w:r>
        <w:rPr>
          <w:spacing w:val="-64"/>
        </w:rPr>
        <w:t> </w:t>
      </w:r>
      <w:r>
        <w:rPr/>
        <w:t>份</w:t>
      </w:r>
      <w:r>
        <w:rPr>
          <w:spacing w:val="-63"/>
        </w:rPr>
        <w:t> </w:t>
      </w:r>
      <w:r>
        <w:rPr/>
        <w:t>总</w:t>
      </w:r>
      <w:r>
        <w:rPr>
          <w:spacing w:val="-63"/>
        </w:rPr>
        <w:t> </w:t>
      </w:r>
      <w:r>
        <w:rPr/>
        <w:t>数</w:t>
      </w:r>
      <w:r>
        <w:rPr>
          <w:spacing w:val="-63"/>
        </w:rPr>
        <w:t> </w:t>
      </w:r>
      <w:r>
        <w:rPr/>
        <w:t>由</w:t>
      </w:r>
      <w:r>
        <w:rPr>
          <w:spacing w:val="-61"/>
        </w:rPr>
        <w:t> </w:t>
      </w:r>
      <w:r>
        <w:rPr>
          <w:rFonts w:ascii="Times New Roman" w:hAnsi="Times New Roman" w:cs="Times New Roman" w:eastAsia="Times New Roman" w:hint="default"/>
        </w:rPr>
        <w:t>1,323,268,087</w:t>
      </w:r>
      <w:r>
        <w:rPr>
          <w:rFonts w:ascii="Times New Roman" w:hAnsi="Times New Roman" w:cs="Times New Roman" w:eastAsia="Times New Roman" w:hint="default"/>
          <w:spacing w:val="-18"/>
        </w:rPr>
        <w:t> </w:t>
      </w:r>
      <w:r>
        <w:rPr/>
        <w:t>股</w:t>
      </w:r>
      <w:r>
        <w:rPr>
          <w:spacing w:val="-63"/>
        </w:rPr>
        <w:t> </w:t>
      </w:r>
      <w:r>
        <w:rPr/>
        <w:t>变</w:t>
      </w:r>
      <w:r>
        <w:rPr>
          <w:spacing w:val="-64"/>
        </w:rPr>
        <w:t> </w:t>
      </w:r>
      <w:r>
        <w:rPr/>
        <w:t>更</w:t>
      </w:r>
      <w:r>
        <w:rPr>
          <w:spacing w:val="-63"/>
        </w:rPr>
        <w:t> </w:t>
      </w:r>
      <w:r>
        <w:rPr/>
        <w:t>为</w:t>
      </w:r>
      <w:r>
        <w:rPr>
          <w:spacing w:val="-62"/>
        </w:rPr>
        <w:t> </w:t>
      </w:r>
      <w:r>
        <w:rPr>
          <w:rFonts w:ascii="Times New Roman" w:hAnsi="Times New Roman" w:cs="Times New Roman" w:eastAsia="Times New Roman" w:hint="default"/>
        </w:rPr>
        <w:t>1,986,470,666</w:t>
      </w:r>
      <w:r>
        <w:rPr>
          <w:rFonts w:ascii="Times New Roman" w:hAnsi="Times New Roman" w:cs="Times New Roman" w:eastAsia="Times New Roman" w:hint="default"/>
          <w:spacing w:val="-17"/>
        </w:rPr>
        <w:t> </w:t>
      </w:r>
      <w:r>
        <w:rPr/>
        <w:t>股</w:t>
      </w:r>
      <w:r>
        <w:rPr>
          <w:spacing w:val="-63"/>
        </w:rPr>
        <w:t> </w:t>
      </w:r>
      <w:r>
        <w:rPr/>
        <w:t>，</w:t>
      </w:r>
      <w:r>
        <w:rPr>
          <w:spacing w:val="-63"/>
        </w:rPr>
        <w:t> </w:t>
      </w:r>
      <w:r>
        <w:rPr/>
        <w:t>注</w:t>
      </w:r>
      <w:r>
        <w:rPr>
          <w:spacing w:val="-64"/>
        </w:rPr>
        <w:t> </w:t>
      </w:r>
      <w:r>
        <w:rPr/>
        <w:t>册</w:t>
      </w:r>
      <w:r>
        <w:rPr>
          <w:spacing w:val="-64"/>
        </w:rPr>
        <w:t> </w:t>
      </w:r>
      <w:r>
        <w:rPr/>
        <w:t>资</w:t>
      </w:r>
      <w:r>
        <w:rPr>
          <w:spacing w:val="-63"/>
        </w:rPr>
        <w:t> </w:t>
      </w:r>
      <w:r>
        <w:rPr/>
        <w:t>本</w:t>
      </w:r>
      <w:r>
        <w:rPr>
          <w:spacing w:val="-63"/>
        </w:rPr>
        <w:t> </w:t>
      </w:r>
      <w:r>
        <w:rPr/>
        <w:t>由</w:t>
      </w:r>
      <w:r>
        <w:rPr>
          <w:spacing w:val="-63"/>
        </w:rPr>
        <w:t> </w:t>
      </w:r>
      <w:r>
        <w:rPr/>
        <w:t>人</w:t>
      </w:r>
      <w:r>
        <w:rPr>
          <w:spacing w:val="-64"/>
        </w:rPr>
        <w:t> </w:t>
      </w:r>
      <w:r>
        <w:rPr/>
        <w:t>民</w:t>
      </w:r>
      <w:r>
        <w:rPr>
          <w:spacing w:val="-64"/>
        </w:rPr>
        <w:t> </w:t>
      </w:r>
      <w:r>
        <w:rPr/>
        <w:t>币</w:t>
      </w:r>
      <w:r>
        <w:rPr>
          <w:spacing w:val="-61"/>
        </w:rPr>
        <w:t> </w:t>
      </w:r>
      <w:r>
        <w:rPr>
          <w:rFonts w:ascii="Times New Roman" w:hAnsi="Times New Roman" w:cs="Times New Roman" w:eastAsia="Times New Roman" w:hint="default"/>
        </w:rPr>
        <w:t>1,323,268,087.00</w:t>
      </w:r>
      <w:r>
        <w:rPr>
          <w:rFonts w:ascii="Times New Roman" w:hAnsi="Times New Roman" w:cs="Times New Roman" w:eastAsia="Times New Roman" w:hint="default"/>
          <w:spacing w:val="-16"/>
        </w:rPr>
        <w:t> </w:t>
      </w:r>
      <w:r>
        <w:rPr/>
        <w:t>元</w:t>
      </w:r>
      <w:r>
        <w:rPr>
          <w:spacing w:val="-64"/>
        </w:rPr>
        <w:t> </w:t>
      </w:r>
      <w:r>
        <w:rPr/>
        <w:t>变</w:t>
      </w:r>
      <w:r>
        <w:rPr>
          <w:spacing w:val="-63"/>
        </w:rPr>
        <w:t> </w:t>
      </w:r>
      <w:r>
        <w:rPr/>
        <w:t>更</w:t>
      </w:r>
      <w:r>
        <w:rPr>
          <w:spacing w:val="-63"/>
        </w:rPr>
        <w:t> </w:t>
      </w:r>
      <w:r>
        <w:rPr/>
        <w:t>为</w:t>
      </w:r>
      <w:r>
        <w:rPr>
          <w:spacing w:val="-64"/>
        </w:rPr>
        <w:t> </w:t>
      </w:r>
      <w:r>
        <w:rPr/>
        <w:t>人</w:t>
      </w:r>
      <w:r>
        <w:rPr>
          <w:spacing w:val="-63"/>
        </w:rPr>
        <w:t> </w:t>
      </w:r>
      <w:r>
        <w:rPr/>
        <w:t>民</w:t>
      </w:r>
      <w:r>
        <w:rPr>
          <w:spacing w:val="-63"/>
        </w:rPr>
        <w:t> </w:t>
      </w:r>
      <w:r>
        <w:rPr/>
        <w:t>币</w:t>
      </w:r>
      <w:r>
        <w:rPr/>
        <w:t> </w:t>
      </w:r>
      <w:r>
        <w:rPr>
          <w:rFonts w:ascii="Times New Roman" w:hAnsi="Times New Roman" w:cs="Times New Roman" w:eastAsia="Times New Roman" w:hint="default"/>
        </w:rPr>
        <w:t>1,986,470,666.00</w:t>
      </w:r>
      <w:r>
        <w:rPr/>
        <w:t>元。</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1</w:t>
      </w:r>
      <w:r>
        <w:rPr/>
        <w:t>日，由北京市工商行政管理局换发企业法人营业执照，注册号</w:t>
      </w:r>
      <w:r>
        <w:rPr>
          <w:rFonts w:ascii="Times New Roman" w:hAnsi="Times New Roman" w:cs="Times New Roman" w:eastAsia="Times New Roman" w:hint="default"/>
        </w:rPr>
        <w:t>110000002700930</w:t>
      </w:r>
      <w:r>
        <w:rPr/>
        <w:t>。</w:t>
      </w:r>
    </w:p>
    <w:p>
      <w:pPr>
        <w:pStyle w:val="BodyText"/>
        <w:spacing w:line="451" w:lineRule="auto" w:before="37"/>
        <w:ind w:right="1129" w:firstLine="360"/>
        <w:jc w:val="both"/>
      </w:pP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6</w:t>
      </w:r>
      <w:r>
        <w:rPr/>
        <w:t>日，公司</w:t>
      </w:r>
      <w:r>
        <w:rPr>
          <w:rFonts w:ascii="Times New Roman" w:hAnsi="Times New Roman" w:cs="Times New Roman" w:eastAsia="Times New Roman" w:hint="default"/>
        </w:rPr>
        <w:t>2016</w:t>
      </w:r>
      <w:r>
        <w:rPr/>
        <w:t>年第一次临时股东大会审议通过了《关于修改</w:t>
      </w:r>
      <w:r>
        <w:rPr>
          <w:rFonts w:ascii="Times New Roman" w:hAnsi="Times New Roman" w:cs="Times New Roman" w:eastAsia="Times New Roman" w:hint="default"/>
        </w:rPr>
        <w:t>&lt;</w:t>
      </w:r>
      <w:r>
        <w:rPr/>
        <w:t>公司章程</w:t>
      </w:r>
      <w:r>
        <w:rPr>
          <w:rFonts w:ascii="Times New Roman" w:hAnsi="Times New Roman" w:cs="Times New Roman" w:eastAsia="Times New Roman" w:hint="default"/>
        </w:rPr>
        <w:t>&gt;</w:t>
      </w:r>
      <w:r>
        <w:rPr/>
        <w:t>的议案》，因公司股权激励计划激 </w:t>
      </w:r>
      <w:r>
        <w:rPr>
          <w:spacing w:val="-1"/>
        </w:rPr>
        <w:t>励对象自主行权、回购注销不符合激励条件的原激励对象已获授的限制性股票等原因，公司股份总数由</w:t>
      </w:r>
      <w:r>
        <w:rPr>
          <w:rFonts w:ascii="Times New Roman" w:hAnsi="Times New Roman" w:cs="Times New Roman" w:eastAsia="Times New Roman" w:hint="default"/>
          <w:spacing w:val="-1"/>
        </w:rPr>
        <w:t>1,986,470,666</w:t>
      </w:r>
      <w:r>
        <w:rPr>
          <w:spacing w:val="-1"/>
        </w:rPr>
        <w:t>股变更</w:t>
      </w:r>
    </w:p>
    <w:p>
      <w:pPr>
        <w:spacing w:after="0" w:line="451" w:lineRule="auto"/>
        <w:jc w:val="both"/>
        <w:sectPr>
          <w:pgSz w:w="11910" w:h="16840"/>
          <w:pgMar w:header="851" w:footer="979" w:top="1400" w:bottom="1160" w:left="980" w:right="0"/>
        </w:sectPr>
      </w:pPr>
    </w:p>
    <w:p>
      <w:pPr>
        <w:pStyle w:val="BodyText"/>
        <w:spacing w:line="451" w:lineRule="auto" w:before="140"/>
        <w:ind w:right="1132"/>
        <w:jc w:val="both"/>
      </w:pPr>
      <w:r>
        <w:rPr>
          <w:spacing w:val="-1"/>
        </w:rPr>
        <w:t>为</w:t>
      </w:r>
      <w:r>
        <w:rPr>
          <w:rFonts w:ascii="Times New Roman" w:hAnsi="Times New Roman" w:cs="Times New Roman" w:eastAsia="Times New Roman" w:hint="default"/>
          <w:spacing w:val="-1"/>
        </w:rPr>
        <w:t>1,993,382,320</w:t>
      </w:r>
      <w:r>
        <w:rPr>
          <w:spacing w:val="-1"/>
        </w:rPr>
        <w:t>股，注册资本由人民币</w:t>
      </w:r>
      <w:r>
        <w:rPr>
          <w:rFonts w:ascii="Times New Roman" w:hAnsi="Times New Roman" w:cs="Times New Roman" w:eastAsia="Times New Roman" w:hint="default"/>
          <w:spacing w:val="-1"/>
        </w:rPr>
        <w:t>1,986,470,666.00</w:t>
      </w:r>
      <w:r>
        <w:rPr>
          <w:spacing w:val="-1"/>
        </w:rPr>
        <w:t>元变更为人民币</w:t>
      </w:r>
      <w:r>
        <w:rPr>
          <w:rFonts w:ascii="Times New Roman" w:hAnsi="Times New Roman" w:cs="Times New Roman" w:eastAsia="Times New Roman" w:hint="default"/>
          <w:spacing w:val="-1"/>
        </w:rPr>
        <w:t>1,993,382,320.00</w:t>
      </w:r>
      <w:r>
        <w:rPr>
          <w:spacing w:val="-1"/>
        </w:rPr>
        <w:t>元。</w:t>
      </w: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3</w:t>
      </w:r>
      <w:r>
        <w:rPr>
          <w:spacing w:val="-1"/>
        </w:rPr>
        <w:t>月</w:t>
      </w:r>
      <w:r>
        <w:rPr>
          <w:rFonts w:ascii="Times New Roman" w:hAnsi="Times New Roman" w:cs="Times New Roman" w:eastAsia="Times New Roman" w:hint="default"/>
          <w:spacing w:val="-1"/>
        </w:rPr>
        <w:t>1</w:t>
      </w:r>
      <w:r>
        <w:rPr>
          <w:spacing w:val="-1"/>
        </w:rPr>
        <w:t>日，由北京市工商行</w:t>
      </w:r>
      <w:r>
        <w:rPr>
          <w:spacing w:val="-56"/>
        </w:rPr>
        <w:t> </w:t>
      </w:r>
      <w:r>
        <w:rPr>
          <w:spacing w:val="-56"/>
        </w:rPr>
      </w:r>
      <w:r>
        <w:rPr/>
        <w:t>政管理局换发企业法人营业执照，统一社会信用代码</w:t>
      </w:r>
      <w:r>
        <w:rPr>
          <w:rFonts w:ascii="Times New Roman" w:hAnsi="Times New Roman" w:cs="Times New Roman" w:eastAsia="Times New Roman" w:hint="default"/>
        </w:rPr>
        <w:t>91110000802090167W</w:t>
      </w:r>
      <w:r>
        <w:rPr/>
        <w:t>。</w:t>
      </w:r>
    </w:p>
    <w:p>
      <w:pPr>
        <w:pStyle w:val="BodyText"/>
        <w:spacing w:line="451" w:lineRule="auto" w:before="43"/>
        <w:ind w:right="1131" w:firstLine="360"/>
        <w:jc w:val="both"/>
      </w:pP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6</w:t>
      </w:r>
      <w:r>
        <w:rPr>
          <w:spacing w:val="-1"/>
        </w:rPr>
        <w:t>月</w:t>
      </w:r>
      <w:r>
        <w:rPr>
          <w:rFonts w:ascii="Times New Roman" w:hAnsi="Times New Roman" w:cs="Times New Roman" w:eastAsia="Times New Roman" w:hint="default"/>
          <w:spacing w:val="-1"/>
        </w:rPr>
        <w:t>22</w:t>
      </w:r>
      <w:r>
        <w:rPr>
          <w:spacing w:val="-1"/>
        </w:rPr>
        <w:t>日，公司</w:t>
      </w:r>
      <w:r>
        <w:rPr>
          <w:rFonts w:ascii="Times New Roman" w:hAnsi="Times New Roman" w:cs="Times New Roman" w:eastAsia="Times New Roman" w:hint="default"/>
          <w:spacing w:val="-1"/>
        </w:rPr>
        <w:t>2016</w:t>
      </w:r>
      <w:r>
        <w:rPr>
          <w:spacing w:val="-1"/>
        </w:rPr>
        <w:t>年第四次临时股东大会审议通过了《关于修改</w:t>
      </w:r>
      <w:r>
        <w:rPr>
          <w:rFonts w:ascii="Times New Roman" w:hAnsi="Times New Roman" w:cs="Times New Roman" w:eastAsia="Times New Roman" w:hint="default"/>
          <w:spacing w:val="-1"/>
        </w:rPr>
        <w:t>&lt;</w:t>
      </w:r>
      <w:r>
        <w:rPr>
          <w:spacing w:val="-1"/>
        </w:rPr>
        <w:t>公司章程</w:t>
      </w:r>
      <w:r>
        <w:rPr>
          <w:rFonts w:ascii="Times New Roman" w:hAnsi="Times New Roman" w:cs="Times New Roman" w:eastAsia="Times New Roman" w:hint="default"/>
          <w:spacing w:val="-1"/>
        </w:rPr>
        <w:t>&gt;</w:t>
      </w:r>
      <w:r>
        <w:rPr>
          <w:spacing w:val="-1"/>
        </w:rPr>
        <w:t>的议案》，因公司股权激励计划第</w:t>
      </w:r>
      <w:r>
        <w:rPr/>
        <w:t> </w:t>
      </w:r>
      <w:r>
        <w:rPr>
          <w:spacing w:val="-2"/>
        </w:rPr>
        <w:t>三期激励对象自主行权，公司总股本增加</w:t>
      </w:r>
      <w:r>
        <w:rPr>
          <w:rFonts w:ascii="Times New Roman" w:hAnsi="Times New Roman" w:cs="Times New Roman" w:eastAsia="Times New Roman" w:hint="default"/>
          <w:spacing w:val="-2"/>
        </w:rPr>
        <w:t>2,605,548</w:t>
      </w:r>
      <w:r>
        <w:rPr>
          <w:spacing w:val="-2"/>
        </w:rPr>
        <w:t>股；回购注销已不符合激励条件的原激励对象已获授的限制性股票，公司</w:t>
      </w:r>
      <w:r>
        <w:rPr>
          <w:spacing w:val="-57"/>
        </w:rPr>
        <w:t> </w:t>
      </w:r>
      <w:r>
        <w:rPr>
          <w:spacing w:val="-57"/>
        </w:rPr>
      </w:r>
      <w:r>
        <w:rPr/>
        <w:t>总股本减少</w:t>
      </w:r>
      <w:r>
        <w:rPr>
          <w:rFonts w:ascii="Times New Roman" w:hAnsi="Times New Roman" w:cs="Times New Roman" w:eastAsia="Times New Roman" w:hint="default"/>
        </w:rPr>
        <w:t>5,371,294</w:t>
      </w:r>
      <w:r>
        <w:rPr/>
        <w:t>股；公司发行股份及支付现金购买资产业绩补偿股票回购注销，公司总股本减少</w:t>
      </w:r>
      <w:r>
        <w:rPr>
          <w:rFonts w:ascii="Times New Roman" w:hAnsi="Times New Roman" w:cs="Times New Roman" w:eastAsia="Times New Roman" w:hint="default"/>
        </w:rPr>
        <w:t>29,524,590</w:t>
      </w:r>
      <w:r>
        <w:rPr/>
        <w:t>股。公司股</w:t>
      </w:r>
      <w:r>
        <w:rPr>
          <w:spacing w:val="-86"/>
        </w:rPr>
        <w:t> </w:t>
      </w:r>
      <w:r>
        <w:rPr>
          <w:spacing w:val="-86"/>
        </w:rPr>
      </w:r>
      <w:r>
        <w:rPr>
          <w:spacing w:val="-3"/>
        </w:rPr>
        <w:t>份总数由</w:t>
      </w:r>
      <w:r>
        <w:rPr>
          <w:rFonts w:ascii="Times New Roman" w:hAnsi="Times New Roman" w:cs="Times New Roman" w:eastAsia="Times New Roman" w:hint="default"/>
          <w:spacing w:val="-3"/>
        </w:rPr>
        <w:t>1,993,382,320</w:t>
      </w:r>
      <w:r>
        <w:rPr>
          <w:spacing w:val="-3"/>
        </w:rPr>
        <w:t>股变更为</w:t>
      </w:r>
      <w:r>
        <w:rPr>
          <w:rFonts w:ascii="Times New Roman" w:hAnsi="Times New Roman" w:cs="Times New Roman" w:eastAsia="Times New Roman" w:hint="default"/>
          <w:spacing w:val="-3"/>
        </w:rPr>
        <w:t>1,961,091,984</w:t>
      </w:r>
      <w:r>
        <w:rPr>
          <w:spacing w:val="-3"/>
        </w:rPr>
        <w:t>股，注册资本由人民币</w:t>
      </w:r>
      <w:r>
        <w:rPr>
          <w:rFonts w:ascii="Times New Roman" w:hAnsi="Times New Roman" w:cs="Times New Roman" w:eastAsia="Times New Roman" w:hint="default"/>
          <w:spacing w:val="-3"/>
        </w:rPr>
        <w:t>1,993,382,320.00</w:t>
      </w:r>
      <w:r>
        <w:rPr>
          <w:spacing w:val="-3"/>
        </w:rPr>
        <w:t>元变更为人民币</w:t>
      </w:r>
      <w:r>
        <w:rPr>
          <w:rFonts w:ascii="Times New Roman" w:hAnsi="Times New Roman" w:cs="Times New Roman" w:eastAsia="Times New Roman" w:hint="default"/>
          <w:spacing w:val="-3"/>
        </w:rPr>
        <w:t>1,961,091,984.00</w:t>
      </w:r>
      <w:r>
        <w:rPr>
          <w:spacing w:val="-3"/>
        </w:rPr>
        <w:t>元。</w:t>
      </w:r>
      <w:r>
        <w:rPr>
          <w:rFonts w:ascii="Times New Roman" w:hAnsi="Times New Roman" w:cs="Times New Roman" w:eastAsia="Times New Roman" w:hint="default"/>
          <w:spacing w:val="-3"/>
        </w:rPr>
        <w:t>2016</w:t>
      </w:r>
      <w:r>
        <w:rPr>
          <w:rFonts w:ascii="Times New Roman" w:hAnsi="Times New Roman" w:cs="Times New Roman" w:eastAsia="Times New Roman" w:hint="default"/>
          <w:spacing w:val="37"/>
        </w:rPr>
        <w:t> </w:t>
      </w:r>
      <w:r>
        <w:rPr>
          <w:rFonts w:ascii="Times New Roman" w:hAnsi="Times New Roman" w:cs="Times New Roman" w:eastAsia="Times New Roman" w:hint="default"/>
          <w:spacing w:val="37"/>
        </w:rPr>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30</w:t>
      </w:r>
      <w:r>
        <w:rPr/>
        <w:t>日，由北京市工商行政管理局换发企业法人营业执照，统一社会信用代码</w:t>
      </w:r>
      <w:r>
        <w:rPr>
          <w:rFonts w:ascii="Times New Roman" w:hAnsi="Times New Roman" w:cs="Times New Roman" w:eastAsia="Times New Roman" w:hint="default"/>
        </w:rPr>
        <w:t>91110000802090167W</w:t>
      </w:r>
      <w:r>
        <w:rPr/>
        <w:t>。</w:t>
      </w:r>
    </w:p>
    <w:p>
      <w:pPr>
        <w:pStyle w:val="BodyText"/>
        <w:spacing w:line="463" w:lineRule="auto" w:before="43"/>
        <w:ind w:left="514" w:right="0"/>
        <w:jc w:val="left"/>
      </w:pPr>
      <w:r>
        <w:rPr/>
        <w:t>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日止，本公司累计发行股本总数</w:t>
      </w:r>
      <w:r>
        <w:rPr>
          <w:rFonts w:ascii="Times New Roman" w:hAnsi="Times New Roman" w:cs="Times New Roman" w:eastAsia="Times New Roman" w:hint="default"/>
        </w:rPr>
        <w:t>1,961,091,984</w:t>
      </w:r>
      <w:r>
        <w:rPr/>
        <w:t>股，注册资本为</w:t>
      </w:r>
      <w:r>
        <w:rPr>
          <w:rFonts w:ascii="Times New Roman" w:hAnsi="Times New Roman" w:cs="Times New Roman" w:eastAsia="Times New Roman" w:hint="default"/>
        </w:rPr>
        <w:t>1,961,091,984.00</w:t>
      </w:r>
      <w:r>
        <w:rPr/>
        <w:t>元。 本公司所处行业：计算机应用服务业。 </w:t>
      </w:r>
      <w:r>
        <w:rPr>
          <w:spacing w:val="-2"/>
        </w:rPr>
        <w:t>公司经营范围：计算机网络综合管理及网络系统集成、通讯设备技术开发、技术服务、技术转让、技术培训；电子信息</w:t>
      </w:r>
    </w:p>
    <w:p>
      <w:pPr>
        <w:pStyle w:val="BodyText"/>
        <w:spacing w:line="477" w:lineRule="auto" w:before="65"/>
        <w:ind w:right="1130"/>
        <w:jc w:val="both"/>
      </w:pPr>
      <w:r>
        <w:rPr>
          <w:spacing w:val="-2"/>
        </w:rPr>
        <w:t>技术咨询（中介除外）；委托生产通讯设备；销售计算机网络软硬件产品、通讯设备、家用电器、电子产品、安全技术防范</w:t>
      </w:r>
      <w:r>
        <w:rPr>
          <w:spacing w:val="-67"/>
        </w:rPr>
        <w:t> </w:t>
      </w:r>
      <w:r>
        <w:rPr>
          <w:spacing w:val="-67"/>
        </w:rPr>
      </w:r>
      <w:r>
        <w:rPr>
          <w:spacing w:val="-2"/>
        </w:rPr>
        <w:t>产品；电子信息技术系统工程设计；通讯设备售后服务；技术进出口、代理进出口、货物进出口；第一类增值电信业务中的</w:t>
      </w:r>
      <w:r>
        <w:rPr>
          <w:spacing w:val="-68"/>
        </w:rPr>
        <w:t> </w:t>
      </w:r>
      <w:r>
        <w:rPr>
          <w:spacing w:val="-68"/>
        </w:rPr>
      </w:r>
      <w:r>
        <w:rPr>
          <w:spacing w:val="-2"/>
        </w:rPr>
        <w:t>互联网接入服务业务、互联网数据中心业务。（企业依法自主选择经营项目，开展经营活动；依法须经批准的项目，经相关</w:t>
      </w:r>
      <w:r>
        <w:rPr>
          <w:spacing w:val="-67"/>
        </w:rPr>
        <w:t> </w:t>
      </w:r>
      <w:r>
        <w:rPr>
          <w:spacing w:val="-67"/>
        </w:rPr>
      </w:r>
      <w:r>
        <w:rPr/>
        <w:t>部门批准后依批准的内容开展经营活动；不得从事本市产业政策禁止和限制类项目的经营活动。）</w:t>
      </w:r>
    </w:p>
    <w:p>
      <w:pPr>
        <w:pStyle w:val="BodyText"/>
        <w:spacing w:line="451" w:lineRule="auto" w:before="54"/>
        <w:ind w:right="1135" w:firstLine="360"/>
        <w:jc w:val="both"/>
      </w:pPr>
      <w:r>
        <w:rPr/>
        <w:t>公司的主营业务包括四大核心业务板块，包括：（</w:t>
      </w:r>
      <w:r>
        <w:rPr>
          <w:rFonts w:ascii="Times New Roman" w:hAnsi="Times New Roman" w:cs="Times New Roman" w:eastAsia="Times New Roman" w:hint="default"/>
        </w:rPr>
        <w:t>1</w:t>
      </w:r>
      <w:r>
        <w:rPr/>
        <w:t>）</w:t>
      </w:r>
      <w:r>
        <w:rPr>
          <w:rFonts w:ascii="Times New Roman" w:hAnsi="Times New Roman" w:cs="Times New Roman" w:eastAsia="Times New Roman" w:hint="default"/>
        </w:rPr>
        <w:t>AI/ICT</w:t>
      </w:r>
      <w:r>
        <w:rPr/>
        <w:t>运营管理（</w:t>
      </w:r>
      <w:r>
        <w:rPr>
          <w:rFonts w:ascii="Times New Roman" w:hAnsi="Times New Roman" w:cs="Times New Roman" w:eastAsia="Times New Roman" w:hint="default"/>
        </w:rPr>
        <w:t>ICT</w:t>
      </w:r>
      <w:r>
        <w:rPr/>
        <w:t>解决方案、系统集成、移动互联网运营、</w:t>
      </w:r>
      <w:r>
        <w:rPr>
          <w:w w:val="99"/>
        </w:rPr>
        <w:t> </w:t>
      </w:r>
      <w:r>
        <w:rPr/>
        <w:t>人工智能与大数据、拨测）（</w:t>
      </w:r>
      <w:r>
        <w:rPr>
          <w:rFonts w:ascii="Times New Roman" w:hAnsi="Times New Roman" w:cs="Times New Roman" w:eastAsia="Times New Roman" w:hint="default"/>
        </w:rPr>
        <w:t>2</w:t>
      </w:r>
      <w:r>
        <w:rPr/>
        <w:t>）手机游戏（</w:t>
      </w:r>
      <w:r>
        <w:rPr>
          <w:rFonts w:ascii="Times New Roman" w:hAnsi="Times New Roman" w:cs="Times New Roman" w:eastAsia="Times New Roman" w:hint="default"/>
        </w:rPr>
        <w:t>3</w:t>
      </w:r>
      <w:r>
        <w:rPr/>
        <w:t>）物联网通信（</w:t>
      </w:r>
      <w:r>
        <w:rPr>
          <w:rFonts w:ascii="Times New Roman" w:hAnsi="Times New Roman" w:cs="Times New Roman" w:eastAsia="Times New Roman" w:hint="default"/>
        </w:rPr>
        <w:t>4</w:t>
      </w:r>
      <w:r>
        <w:rPr/>
        <w:t>）创新业务，形成信息技术领域内相关多元化发展格局。</w:t>
      </w:r>
    </w:p>
    <w:p>
      <w:pPr>
        <w:pStyle w:val="BodyText"/>
        <w:spacing w:line="463" w:lineRule="auto" w:before="43"/>
        <w:ind w:left="514" w:right="4362"/>
        <w:jc w:val="left"/>
      </w:pPr>
      <w:r>
        <w:rPr/>
        <w:t>公司法定代表人：王宁。 公司注册地址：北京市海淀区万泉庄路</w:t>
      </w:r>
      <w:r>
        <w:rPr>
          <w:rFonts w:ascii="Times New Roman" w:hAnsi="Times New Roman" w:cs="Times New Roman" w:eastAsia="Times New Roman" w:hint="default"/>
        </w:rPr>
        <w:t>28</w:t>
      </w:r>
      <w:r>
        <w:rPr/>
        <w:t>号万柳新贵大厦</w:t>
      </w:r>
      <w:r>
        <w:rPr>
          <w:rFonts w:ascii="Times New Roman" w:hAnsi="Times New Roman" w:cs="Times New Roman" w:eastAsia="Times New Roman" w:hint="default"/>
        </w:rPr>
        <w:t>A</w:t>
      </w:r>
      <w:r>
        <w:rPr/>
        <w:t>座</w:t>
      </w:r>
      <w:r>
        <w:rPr>
          <w:rFonts w:ascii="Times New Roman" w:hAnsi="Times New Roman" w:cs="Times New Roman" w:eastAsia="Times New Roman" w:hint="default"/>
        </w:rPr>
        <w:t>6</w:t>
      </w:r>
      <w:r>
        <w:rPr/>
        <w:t>层</w:t>
      </w:r>
      <w:r>
        <w:rPr>
          <w:rFonts w:ascii="Times New Roman" w:hAnsi="Times New Roman" w:cs="Times New Roman" w:eastAsia="Times New Roman" w:hint="default"/>
        </w:rPr>
        <w:t>601</w:t>
      </w:r>
      <w:r>
        <w:rPr/>
        <w:t>室。 公司主要办公地址：北京市朝阳区北苑路甲</w:t>
      </w:r>
      <w:r>
        <w:rPr>
          <w:rFonts w:ascii="Times New Roman" w:hAnsi="Times New Roman" w:cs="Times New Roman" w:eastAsia="Times New Roman" w:hint="default"/>
        </w:rPr>
        <w:t>13</w:t>
      </w:r>
      <w:r>
        <w:rPr/>
        <w:t>号院</w:t>
      </w:r>
      <w:r>
        <w:rPr>
          <w:rFonts w:ascii="Times New Roman" w:hAnsi="Times New Roman" w:cs="Times New Roman" w:eastAsia="Times New Roman" w:hint="default"/>
        </w:rPr>
        <w:t>1</w:t>
      </w:r>
      <w:r>
        <w:rPr/>
        <w:t>号楼北辰泰岳大厦</w:t>
      </w:r>
      <w:r>
        <w:rPr>
          <w:rFonts w:ascii="Times New Roman" w:hAnsi="Times New Roman" w:cs="Times New Roman" w:eastAsia="Times New Roman" w:hint="default"/>
        </w:rPr>
        <w:t>22</w:t>
      </w:r>
      <w:r>
        <w:rPr/>
        <w:t>层。 本公司的实际控制人为王宁、李力。 本财务报表业经公司全体董事于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25</w:t>
      </w:r>
      <w:r>
        <w:rPr/>
        <w:t>日批准报出。</w:t>
      </w:r>
    </w:p>
    <w:p>
      <w:pPr>
        <w:spacing w:line="240" w:lineRule="auto" w:before="5"/>
        <w:rPr>
          <w:rFonts w:ascii="宋体" w:hAnsi="宋体" w:cs="宋体" w:eastAsia="宋体" w:hint="default"/>
          <w:sz w:val="26"/>
          <w:szCs w:val="26"/>
        </w:rPr>
      </w:pPr>
    </w:p>
    <w:p>
      <w:pPr>
        <w:spacing w:line="477" w:lineRule="auto" w:before="0"/>
        <w:ind w:left="514" w:right="5172" w:firstLine="1"/>
        <w:jc w:val="left"/>
        <w:rPr>
          <w:rFonts w:ascii="宋体" w:hAnsi="宋体" w:cs="宋体" w:eastAsia="宋体" w:hint="default"/>
          <w:sz w:val="18"/>
          <w:szCs w:val="18"/>
        </w:rPr>
      </w:pPr>
      <w:r>
        <w:rPr/>
        <w:pict>
          <v:shape style="position:absolute;margin-left:55.860001pt;margin-top:42.37170pt;width:484.05pt;height:139.6pt;mso-position-horizontal-relative:page;mso-position-vertical-relative:paragraph;z-index:29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5246"/>
                    <w:gridCol w:w="4413"/>
                  </w:tblGrid>
                  <w:tr>
                    <w:trPr>
                      <w:trHeight w:val="347" w:hRule="exact"/>
                    </w:trPr>
                    <w:tc>
                      <w:tcPr>
                        <w:tcW w:w="5246" w:type="dxa"/>
                        <w:tcBorders>
                          <w:top w:val="single" w:sz="6" w:space="0" w:color="000000"/>
                          <w:left w:val="single" w:sz="6" w:space="0" w:color="000000"/>
                          <w:bottom w:val="single" w:sz="6" w:space="0" w:color="000000"/>
                          <w:right w:val="single" w:sz="6" w:space="0" w:color="000000"/>
                        </w:tcBorders>
                        <w:shd w:val="clear" w:color="auto" w:fill="D0CECE"/>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4413" w:type="dxa"/>
                        <w:tcBorders>
                          <w:top w:val="single" w:sz="6" w:space="0" w:color="000000"/>
                          <w:left w:val="single" w:sz="6" w:space="0" w:color="000000"/>
                          <w:bottom w:val="single" w:sz="6" w:space="0" w:color="000000"/>
                          <w:right w:val="single" w:sz="6" w:space="0" w:color="000000"/>
                        </w:tcBorders>
                        <w:shd w:val="clear" w:color="auto" w:fill="D0CECE"/>
                      </w:tcPr>
                      <w:p>
                        <w:pPr>
                          <w:pStyle w:val="TableParagraph"/>
                          <w:spacing w:line="240" w:lineRule="auto" w:before="21"/>
                          <w:ind w:left="2019" w:right="0"/>
                          <w:jc w:val="left"/>
                          <w:rPr>
                            <w:rFonts w:ascii="宋体" w:hAnsi="宋体" w:cs="宋体" w:eastAsia="宋体" w:hint="default"/>
                            <w:sz w:val="18"/>
                            <w:szCs w:val="18"/>
                          </w:rPr>
                        </w:pPr>
                        <w:r>
                          <w:rPr>
                            <w:rFonts w:ascii="宋体" w:hAnsi="宋体" w:cs="宋体" w:eastAsia="宋体" w:hint="default"/>
                            <w:sz w:val="18"/>
                            <w:szCs w:val="18"/>
                          </w:rPr>
                          <w:t>级次</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北京新媒传信科技有限公司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r>
                    <w:trPr>
                      <w:trHeight w:val="348"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北京互联时代通讯科技有限公司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重庆新媒农信科技有限公司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重庆新媒亿网科技有限公司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019" w:right="0"/>
                          <w:jc w:val="left"/>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重庆新迈峰科技有限公司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019" w:right="0"/>
                          <w:jc w:val="left"/>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北京神州泰岳信息安全技术有限公司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r>
                    <w:trPr>
                      <w:trHeight w:val="348"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北京神州泰岳系统集成有限公司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bl>
                <w:p>
                  <w:pPr/>
                </w:p>
              </w:txbxContent>
            </v:textbox>
            <w10:wrap type="none"/>
          </v:shape>
        </w:pict>
      </w:r>
      <w:r>
        <w:rPr>
          <w:rFonts w:ascii="宋体" w:hAnsi="宋体" w:cs="宋体" w:eastAsia="宋体" w:hint="default"/>
          <w:b/>
          <w:bCs/>
          <w:sz w:val="18"/>
          <w:szCs w:val="18"/>
        </w:rPr>
        <w:t>（二）合并财务报表范围</w:t>
      </w:r>
      <w:r>
        <w:rPr>
          <w:rFonts w:ascii="宋体" w:hAnsi="宋体" w:cs="宋体" w:eastAsia="宋体" w:hint="default"/>
          <w:b/>
          <w:bCs/>
          <w:w w:val="99"/>
          <w:sz w:val="18"/>
          <w:szCs w:val="18"/>
        </w:rPr>
        <w:t> </w:t>
      </w:r>
      <w:r>
        <w:rPr>
          <w:rFonts w:ascii="宋体" w:hAnsi="宋体" w:cs="宋体" w:eastAsia="宋体" w:hint="default"/>
          <w:sz w:val="18"/>
          <w:szCs w:val="18"/>
        </w:rPr>
        <w:t>截至</w:t>
      </w: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日止，本公司合并财务报表范围内子公司如下：</w:t>
      </w:r>
    </w:p>
    <w:p>
      <w:pPr>
        <w:spacing w:after="0" w:line="477" w:lineRule="auto"/>
        <w:jc w:val="left"/>
        <w:rPr>
          <w:rFonts w:ascii="宋体" w:hAnsi="宋体" w:cs="宋体" w:eastAsia="宋体" w:hint="default"/>
          <w:sz w:val="18"/>
          <w:szCs w:val="18"/>
        </w:rPr>
        <w:sectPr>
          <w:pgSz w:w="11910" w:h="16840"/>
          <w:pgMar w:header="851" w:footer="979" w:top="1400" w:bottom="1160" w:left="980" w:right="0"/>
        </w:sectPr>
      </w:pPr>
    </w:p>
    <w:tbl>
      <w:tblPr>
        <w:tblW w:w="0" w:type="auto"/>
        <w:jc w:val="left"/>
        <w:tblInd w:w="117" w:type="dxa"/>
        <w:tblLayout w:type="fixed"/>
        <w:tblCellMar>
          <w:top w:w="0" w:type="dxa"/>
          <w:left w:w="0" w:type="dxa"/>
          <w:bottom w:w="0" w:type="dxa"/>
          <w:right w:w="0" w:type="dxa"/>
        </w:tblCellMar>
        <w:tblLook w:val="01E0"/>
      </w:tblPr>
      <w:tblGrid>
        <w:gridCol w:w="5246"/>
        <w:gridCol w:w="4413"/>
      </w:tblGrid>
      <w:tr>
        <w:trPr>
          <w:trHeight w:val="361" w:hRule="exact"/>
        </w:trPr>
        <w:tc>
          <w:tcPr>
            <w:tcW w:w="524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北京融聚世界网络科技有限公司</w:t>
            </w:r>
          </w:p>
        </w:tc>
        <w:tc>
          <w:tcPr>
            <w:tcW w:w="441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1"/>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r>
        <w:trPr>
          <w:trHeight w:val="348"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宁波普天通信技术有限公司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2" w:right="0"/>
              <w:jc w:val="left"/>
              <w:rPr>
                <w:rFonts w:ascii="宋体" w:hAnsi="宋体" w:cs="宋体" w:eastAsia="宋体" w:hint="default"/>
                <w:sz w:val="18"/>
                <w:szCs w:val="18"/>
              </w:rPr>
            </w:pPr>
            <w:r>
              <w:rPr>
                <w:rFonts w:ascii="宋体" w:hAnsi="宋体" w:cs="宋体" w:eastAsia="宋体" w:hint="default"/>
                <w:sz w:val="18"/>
                <w:szCs w:val="18"/>
              </w:rPr>
              <w:t>宁波移畅通信设备有限公司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2019" w:right="0"/>
              <w:jc w:val="left"/>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宁波金信通讯技术有限公司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宁波普天通信技术（香港）有限公司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宁波普金通信设备有限公司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宁波神州泰岳锐智信息科技有限公司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三级</w:t>
            </w:r>
          </w:p>
        </w:tc>
      </w:tr>
      <w:tr>
        <w:trPr>
          <w:trHeight w:val="348"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宁波高新区捷远科技有限公司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四级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2" w:right="0"/>
              <w:jc w:val="left"/>
              <w:rPr>
                <w:rFonts w:ascii="宋体" w:hAnsi="宋体" w:cs="宋体" w:eastAsia="宋体" w:hint="default"/>
                <w:sz w:val="18"/>
                <w:szCs w:val="18"/>
              </w:rPr>
            </w:pPr>
            <w:r>
              <w:rPr>
                <w:rFonts w:ascii="宋体" w:hAnsi="宋体" w:cs="宋体" w:eastAsia="宋体" w:hint="default"/>
                <w:sz w:val="18"/>
                <w:szCs w:val="18"/>
              </w:rPr>
              <w:t>奇点新源国际技术开发（北京）有限公司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北京神州泰岳智能数据技术有限公司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神州泰岳（香港）有限公司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sz w:val="18"/>
              </w:rPr>
              <w:t>Bridge Minds Consulting Pte Ltd</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北京泰岳智桥信息技术有限公司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四级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天津壳木软件有限责任公司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r>
        <w:trPr>
          <w:trHeight w:val="348"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北京壳木软件有限责任公司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2" w:right="0"/>
              <w:jc w:val="left"/>
              <w:rPr>
                <w:rFonts w:ascii="宋体" w:hAnsi="宋体" w:cs="宋体" w:eastAsia="宋体" w:hint="default"/>
                <w:sz w:val="18"/>
                <w:szCs w:val="18"/>
              </w:rPr>
            </w:pPr>
            <w:r>
              <w:rPr>
                <w:rFonts w:ascii="宋体"/>
                <w:sz w:val="18"/>
              </w:rPr>
              <w:t>CAMEL GAMES LIMITED</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2019" w:right="0"/>
              <w:jc w:val="left"/>
              <w:rPr>
                <w:rFonts w:ascii="宋体" w:hAnsi="宋体" w:cs="宋体" w:eastAsia="宋体" w:hint="default"/>
                <w:sz w:val="18"/>
                <w:szCs w:val="18"/>
              </w:rPr>
            </w:pPr>
            <w:r>
              <w:rPr>
                <w:rFonts w:ascii="宋体" w:hAnsi="宋体" w:cs="宋体" w:eastAsia="宋体" w:hint="default"/>
                <w:sz w:val="18"/>
                <w:szCs w:val="18"/>
              </w:rPr>
              <w:t>四级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北京骆骆软件科技有限责任公司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四级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霍尔果斯小小橙软件开发有限责任公司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四级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sz w:val="18"/>
              </w:rPr>
              <w:t>CAMEL GAMES INC.</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五级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天津安纳西科技有限公司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四级</w:t>
            </w:r>
          </w:p>
        </w:tc>
      </w:tr>
      <w:tr>
        <w:trPr>
          <w:trHeight w:val="348"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北京安纳西科技有限公司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五级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2" w:right="0"/>
              <w:jc w:val="left"/>
              <w:rPr>
                <w:rFonts w:ascii="宋体" w:hAnsi="宋体" w:cs="宋体" w:eastAsia="宋体" w:hint="default"/>
                <w:sz w:val="18"/>
                <w:szCs w:val="18"/>
              </w:rPr>
            </w:pPr>
            <w:r>
              <w:rPr>
                <w:rFonts w:ascii="宋体" w:hAnsi="宋体" w:cs="宋体" w:eastAsia="宋体" w:hint="default"/>
                <w:sz w:val="18"/>
                <w:szCs w:val="18"/>
              </w:rPr>
              <w:t>北京安纳西互娱科技有限公司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2019" w:right="0"/>
              <w:jc w:val="left"/>
              <w:rPr>
                <w:rFonts w:ascii="宋体" w:hAnsi="宋体" w:cs="宋体" w:eastAsia="宋体" w:hint="default"/>
                <w:sz w:val="18"/>
                <w:szCs w:val="18"/>
              </w:rPr>
            </w:pPr>
            <w:r>
              <w:rPr>
                <w:rFonts w:ascii="宋体" w:hAnsi="宋体" w:cs="宋体" w:eastAsia="宋体" w:hint="default"/>
                <w:sz w:val="18"/>
                <w:szCs w:val="18"/>
              </w:rPr>
              <w:t>五级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霍尔果斯于艺网络科技有限公司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五级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天津泰岳小漫科技有限公司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北京小漫科技有限公司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泰岳小漫（香港）有限公司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三级</w:t>
            </w:r>
          </w:p>
        </w:tc>
      </w:tr>
      <w:tr>
        <w:trPr>
          <w:trHeight w:val="348"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北京广通神州网络技术有限公司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2" w:right="0"/>
              <w:jc w:val="left"/>
              <w:rPr>
                <w:rFonts w:ascii="宋体" w:hAnsi="宋体" w:cs="宋体" w:eastAsia="宋体" w:hint="default"/>
                <w:sz w:val="18"/>
                <w:szCs w:val="18"/>
              </w:rPr>
            </w:pPr>
            <w:r>
              <w:rPr>
                <w:rFonts w:ascii="宋体" w:hAnsi="宋体" w:cs="宋体" w:eastAsia="宋体" w:hint="default"/>
                <w:sz w:val="18"/>
                <w:szCs w:val="18"/>
              </w:rPr>
              <w:t>广州短讯神州网络技术有限公司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2019" w:right="0"/>
              <w:jc w:val="left"/>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苏州短讯神州网络技术有限公司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北京神州祥升软件有限公司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北京浩宇纵横科技有限公司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中科鼎富（北京）科技发展有限公司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r>
        <w:trPr>
          <w:trHeight w:val="348"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上海奔耀信息科技有限公司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2" w:right="0"/>
              <w:jc w:val="left"/>
              <w:rPr>
                <w:rFonts w:ascii="宋体" w:hAnsi="宋体" w:cs="宋体" w:eastAsia="宋体" w:hint="default"/>
                <w:sz w:val="18"/>
                <w:szCs w:val="18"/>
              </w:rPr>
            </w:pPr>
            <w:r>
              <w:rPr>
                <w:rFonts w:ascii="宋体" w:hAnsi="宋体" w:cs="宋体" w:eastAsia="宋体" w:hint="default"/>
                <w:sz w:val="18"/>
                <w:szCs w:val="18"/>
              </w:rPr>
              <w:t>广州市奔耀信息科技有限公司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2019" w:right="0"/>
              <w:jc w:val="left"/>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北京华泰德丰技术有限公司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深圳市前海泰岳梧桐投资基金管理有限公司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北京神州泰核物联网技术有限公司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北京泰岳睿安科技有限公司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r>
        <w:trPr>
          <w:trHeight w:val="348"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left"/>
              <w:rPr>
                <w:rFonts w:ascii="宋体" w:hAnsi="宋体" w:cs="宋体" w:eastAsia="宋体" w:hint="default"/>
                <w:sz w:val="18"/>
                <w:szCs w:val="18"/>
              </w:rPr>
            </w:pPr>
            <w:r>
              <w:rPr>
                <w:rFonts w:ascii="宋体" w:hAnsi="宋体" w:cs="宋体" w:eastAsia="宋体" w:hint="default"/>
                <w:sz w:val="18"/>
                <w:szCs w:val="18"/>
              </w:rPr>
              <w:t>北京慧联神州科技有限公司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2" w:right="0"/>
              <w:jc w:val="left"/>
              <w:rPr>
                <w:rFonts w:ascii="宋体" w:hAnsi="宋体" w:cs="宋体" w:eastAsia="宋体" w:hint="default"/>
                <w:sz w:val="18"/>
                <w:szCs w:val="18"/>
              </w:rPr>
            </w:pPr>
            <w:r>
              <w:rPr>
                <w:rFonts w:ascii="宋体" w:hAnsi="宋体" w:cs="宋体" w:eastAsia="宋体" w:hint="default"/>
                <w:sz w:val="18"/>
                <w:szCs w:val="18"/>
              </w:rPr>
              <w:t>北京神州智核信息技术有限公司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bl>
    <w:p>
      <w:pPr>
        <w:spacing w:after="0" w:line="240" w:lineRule="auto"/>
        <w:jc w:val="left"/>
        <w:rPr>
          <w:rFonts w:ascii="宋体" w:hAnsi="宋体" w:cs="宋体" w:eastAsia="宋体" w:hint="default"/>
          <w:sz w:val="18"/>
          <w:szCs w:val="18"/>
        </w:rPr>
        <w:sectPr>
          <w:pgSz w:w="11910" w:h="16840"/>
          <w:pgMar w:header="851" w:footer="979" w:top="1440" w:bottom="1160" w:left="1000" w:right="0"/>
        </w:sectPr>
      </w:pPr>
    </w:p>
    <w:p>
      <w:pPr>
        <w:spacing w:line="240" w:lineRule="auto" w:before="3"/>
        <w:rPr>
          <w:rFonts w:ascii="宋体" w:hAnsi="宋体" w:cs="宋体" w:eastAsia="宋体" w:hint="default"/>
          <w:sz w:val="2"/>
          <w:szCs w:val="2"/>
        </w:rPr>
      </w:pPr>
    </w:p>
    <w:tbl>
      <w:tblPr>
        <w:tblW w:w="0" w:type="auto"/>
        <w:jc w:val="left"/>
        <w:tblInd w:w="117" w:type="dxa"/>
        <w:tblLayout w:type="fixed"/>
        <w:tblCellMar>
          <w:top w:w="0" w:type="dxa"/>
          <w:left w:w="0" w:type="dxa"/>
          <w:bottom w:w="0" w:type="dxa"/>
          <w:right w:w="0" w:type="dxa"/>
        </w:tblCellMar>
        <w:tblLook w:val="01E0"/>
      </w:tblPr>
      <w:tblGrid>
        <w:gridCol w:w="5246"/>
        <w:gridCol w:w="4413"/>
      </w:tblGrid>
      <w:tr>
        <w:trPr>
          <w:trHeight w:val="361" w:hRule="exact"/>
        </w:trPr>
        <w:tc>
          <w:tcPr>
            <w:tcW w:w="524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8"/>
              <w:ind w:left="2" w:right="0"/>
              <w:jc w:val="left"/>
              <w:rPr>
                <w:rFonts w:ascii="宋体" w:hAnsi="宋体" w:cs="宋体" w:eastAsia="宋体" w:hint="default"/>
                <w:sz w:val="18"/>
                <w:szCs w:val="18"/>
              </w:rPr>
            </w:pPr>
            <w:r>
              <w:rPr>
                <w:rFonts w:ascii="宋体" w:hAnsi="宋体" w:cs="宋体" w:eastAsia="宋体" w:hint="default"/>
                <w:sz w:val="18"/>
                <w:szCs w:val="18"/>
              </w:rPr>
              <w:t>横琴神州泰奇互动科技有限公司</w:t>
            </w:r>
          </w:p>
        </w:tc>
        <w:tc>
          <w:tcPr>
            <w:tcW w:w="441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8"/>
              <w:ind w:left="2019" w:right="0"/>
              <w:jc w:val="left"/>
              <w:rPr>
                <w:rFonts w:ascii="宋体" w:hAnsi="宋体" w:cs="宋体" w:eastAsia="宋体" w:hint="default"/>
                <w:sz w:val="18"/>
                <w:szCs w:val="18"/>
              </w:rPr>
            </w:pPr>
            <w:r>
              <w:rPr>
                <w:rFonts w:ascii="宋体" w:hAnsi="宋体" w:cs="宋体" w:eastAsia="宋体" w:hint="default"/>
                <w:sz w:val="18"/>
                <w:szCs w:val="18"/>
              </w:rPr>
              <w:t>三级</w:t>
            </w:r>
          </w:p>
        </w:tc>
      </w:tr>
      <w:tr>
        <w:trPr>
          <w:trHeight w:val="348"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安徽省泰岳祥升软件有限公司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北京泰岳阳光科技有限公司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神州泰岳（香港）发展有限公司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019" w:right="0"/>
              <w:jc w:val="left"/>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新疆神州泰岳智能科技有限公司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019" w:right="0"/>
              <w:jc w:val="left"/>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北京泰岳宏光科技发展有限公司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r>
        <w:trPr>
          <w:trHeight w:val="348" w:hRule="exact"/>
        </w:trPr>
        <w:tc>
          <w:tcPr>
            <w:tcW w:w="5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西藏神州泰岳智能科技有限公司</w:t>
            </w:r>
          </w:p>
        </w:tc>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019" w:right="0"/>
              <w:jc w:val="left"/>
              <w:rPr>
                <w:rFonts w:ascii="宋体" w:hAnsi="宋体" w:cs="宋体" w:eastAsia="宋体" w:hint="default"/>
                <w:sz w:val="18"/>
                <w:szCs w:val="18"/>
              </w:rPr>
            </w:pPr>
            <w:r>
              <w:rPr>
                <w:rFonts w:ascii="宋体" w:hAnsi="宋体" w:cs="宋体" w:eastAsia="宋体" w:hint="default"/>
                <w:sz w:val="18"/>
                <w:szCs w:val="18"/>
              </w:rPr>
              <w:t>二级</w:t>
            </w:r>
          </w:p>
        </w:tc>
      </w:tr>
    </w:tbl>
    <w:p>
      <w:pPr>
        <w:spacing w:line="240" w:lineRule="auto" w:before="3"/>
        <w:rPr>
          <w:rFonts w:ascii="宋体" w:hAnsi="宋体" w:cs="宋体" w:eastAsia="宋体" w:hint="default"/>
          <w:sz w:val="27"/>
          <w:szCs w:val="27"/>
        </w:rPr>
      </w:pPr>
    </w:p>
    <w:p>
      <w:pPr>
        <w:pStyle w:val="BodyText"/>
        <w:spacing w:line="240" w:lineRule="auto" w:before="44"/>
        <w:ind w:left="331" w:right="1032"/>
        <w:jc w:val="left"/>
      </w:pPr>
      <w:r>
        <w:rPr/>
        <w:t>本期合并财务报表范围及其变化情况详见本附注</w:t>
      </w:r>
      <w:r>
        <w:rPr>
          <w:rFonts w:ascii="Times New Roman" w:hAnsi="Times New Roman" w:cs="Times New Roman" w:eastAsia="Times New Roman" w:hint="default"/>
        </w:rPr>
        <w:t>“</w:t>
      </w:r>
      <w:r>
        <w:rPr/>
        <w:t>八、合并范围的变更</w:t>
      </w:r>
      <w:r>
        <w:rPr>
          <w:rFonts w:ascii="Times New Roman" w:hAnsi="Times New Roman" w:cs="Times New Roman" w:eastAsia="Times New Roman" w:hint="default"/>
        </w:rPr>
        <w:t>”  </w:t>
      </w:r>
      <w:r>
        <w:rPr/>
        <w:t>和 </w:t>
      </w:r>
      <w:r>
        <w:rPr>
          <w:rFonts w:ascii="Times New Roman" w:hAnsi="Times New Roman" w:cs="Times New Roman" w:eastAsia="Times New Roman" w:hint="default"/>
        </w:rPr>
        <w:t>“</w:t>
      </w:r>
      <w:r>
        <w:rPr/>
        <w:t>九、在其他主体中的权益</w:t>
      </w:r>
      <w:r>
        <w:rPr>
          <w:rFonts w:ascii="Times New Roman" w:hAnsi="Times New Roman" w:cs="Times New Roman" w:eastAsia="Times New Roman" w:hint="default"/>
        </w:rPr>
        <w:t>”</w:t>
      </w:r>
      <w:r>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7"/>
          <w:szCs w:val="17"/>
        </w:rPr>
      </w:pPr>
    </w:p>
    <w:p>
      <w:pPr>
        <w:pStyle w:val="Heading2"/>
        <w:spacing w:line="240" w:lineRule="auto"/>
        <w:ind w:left="134" w:right="7680"/>
        <w:jc w:val="left"/>
        <w:rPr>
          <w:b w:val="0"/>
          <w:bCs w:val="0"/>
        </w:rPr>
      </w:pPr>
      <w:bookmarkStart w:name="四、财务报表的编制基础" w:id="174"/>
      <w:bookmarkEnd w:id="174"/>
      <w:r>
        <w:rPr>
          <w:b w:val="0"/>
          <w:bCs w:val="0"/>
        </w:rPr>
      </w:r>
      <w:r>
        <w:rPr/>
        <w:t>四、财务报表的编制基础</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34" w:right="7680"/>
        <w:jc w:val="left"/>
        <w:rPr>
          <w:b w:val="0"/>
          <w:bCs w:val="0"/>
        </w:rPr>
      </w:pPr>
      <w:bookmarkStart w:name="1、编制基础" w:id="175"/>
      <w:bookmarkEnd w:id="175"/>
      <w:r>
        <w:rPr>
          <w:b w:val="0"/>
          <w:bCs w:val="0"/>
        </w:rPr>
      </w:r>
      <w:r>
        <w:rPr>
          <w:rFonts w:ascii="Times New Roman" w:hAnsi="Times New Roman" w:cs="Times New Roman" w:eastAsia="Times New Roman" w:hint="default"/>
        </w:rPr>
        <w:t>1</w:t>
      </w:r>
      <w:r>
        <w:rPr/>
        <w:t>、编制基础</w:t>
      </w:r>
      <w:r>
        <w:rPr>
          <w:b w:val="0"/>
          <w:bCs w:val="0"/>
        </w:rPr>
      </w:r>
    </w:p>
    <w:p>
      <w:pPr>
        <w:spacing w:line="240" w:lineRule="auto" w:before="6"/>
        <w:rPr>
          <w:rFonts w:ascii="宋体" w:hAnsi="宋体" w:cs="宋体" w:eastAsia="宋体" w:hint="default"/>
          <w:b/>
          <w:bCs/>
          <w:sz w:val="32"/>
          <w:szCs w:val="32"/>
        </w:rPr>
      </w:pPr>
    </w:p>
    <w:p>
      <w:pPr>
        <w:pStyle w:val="BodyText"/>
        <w:spacing w:line="451" w:lineRule="auto"/>
        <w:ind w:left="134" w:right="1130" w:firstLine="360"/>
        <w:jc w:val="both"/>
      </w:pPr>
      <w:r>
        <w:rPr>
          <w:spacing w:val="-2"/>
        </w:rPr>
        <w:t>公司以持续经营为基础，根据实际发生的交易和事项，按照财政部颁布的《企业会计准则</w:t>
      </w:r>
      <w:r>
        <w:rPr>
          <w:rFonts w:ascii="Times New Roman" w:hAnsi="Times New Roman" w:cs="Times New Roman" w:eastAsia="Times New Roman" w:hint="default"/>
          <w:spacing w:val="-2"/>
        </w:rPr>
        <w:t>——</w:t>
      </w:r>
      <w:r>
        <w:rPr>
          <w:spacing w:val="-2"/>
        </w:rPr>
        <w:t>基本准则》和各项具体会</w:t>
      </w:r>
      <w:r>
        <w:rPr/>
        <w:t> </w:t>
      </w:r>
      <w:r>
        <w:rPr>
          <w:spacing w:val="-2"/>
        </w:rPr>
        <w:t>计准则、企业会计准则应用指南、企业会计准则解释及其他相关规定（以下合称</w:t>
      </w:r>
      <w:r>
        <w:rPr>
          <w:rFonts w:ascii="Times New Roman" w:hAnsi="Times New Roman" w:cs="Times New Roman" w:eastAsia="Times New Roman" w:hint="default"/>
          <w:spacing w:val="-2"/>
        </w:rPr>
        <w:t>“</w:t>
      </w:r>
      <w:r>
        <w:rPr>
          <w:spacing w:val="-2"/>
        </w:rPr>
        <w:t>企业会计准则</w:t>
      </w:r>
      <w:r>
        <w:rPr>
          <w:rFonts w:ascii="Times New Roman" w:hAnsi="Times New Roman" w:cs="Times New Roman" w:eastAsia="Times New Roman" w:hint="default"/>
          <w:spacing w:val="-2"/>
        </w:rPr>
        <w:t>”</w:t>
      </w:r>
      <w:r>
        <w:rPr>
          <w:spacing w:val="-2"/>
        </w:rPr>
        <w:t>），以及中国证券监督管理</w:t>
      </w:r>
      <w:r>
        <w:rPr>
          <w:spacing w:val="-47"/>
        </w:rPr>
        <w:t> </w:t>
      </w:r>
      <w:r>
        <w:rPr>
          <w:spacing w:val="-47"/>
        </w:rPr>
      </w:r>
      <w:r>
        <w:rPr/>
        <w:t>委员会《公开发行证券的公司信息披露编报规则第</w:t>
      </w:r>
      <w:r>
        <w:rPr>
          <w:rFonts w:ascii="Times New Roman" w:hAnsi="Times New Roman" w:cs="Times New Roman" w:eastAsia="Times New Roman" w:hint="default"/>
        </w:rPr>
        <w:t>15  </w:t>
      </w:r>
      <w:r>
        <w:rPr/>
        <w:t>号</w:t>
      </w:r>
      <w:r>
        <w:rPr>
          <w:rFonts w:ascii="Times New Roman" w:hAnsi="Times New Roman" w:cs="Times New Roman" w:eastAsia="Times New Roman" w:hint="default"/>
        </w:rPr>
        <w:t>——</w:t>
      </w:r>
      <w:r>
        <w:rPr/>
        <w:t>财务报告的一般规定》的披露规定编制财务报表。</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4"/>
          <w:szCs w:val="24"/>
        </w:rPr>
      </w:pPr>
    </w:p>
    <w:p>
      <w:pPr>
        <w:pStyle w:val="Heading3"/>
        <w:spacing w:line="240" w:lineRule="auto"/>
        <w:ind w:left="134" w:right="7680"/>
        <w:jc w:val="left"/>
        <w:rPr>
          <w:b w:val="0"/>
          <w:bCs w:val="0"/>
        </w:rPr>
      </w:pPr>
      <w:bookmarkStart w:name="2、持续经营" w:id="176"/>
      <w:bookmarkEnd w:id="176"/>
      <w:r>
        <w:rPr>
          <w:b w:val="0"/>
          <w:bCs w:val="0"/>
        </w:rPr>
      </w:r>
      <w:r>
        <w:rPr>
          <w:rFonts w:ascii="Times New Roman" w:hAnsi="Times New Roman" w:cs="Times New Roman" w:eastAsia="Times New Roman" w:hint="default"/>
        </w:rPr>
        <w:t>2</w:t>
      </w:r>
      <w:r>
        <w:rPr/>
        <w:t>、持续经营</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494" w:right="1032"/>
        <w:jc w:val="left"/>
      </w:pPr>
      <w:r>
        <w:rPr/>
        <w:t>公司自本报告期末至少</w:t>
      </w:r>
      <w:r>
        <w:rPr>
          <w:rFonts w:ascii="Times New Roman" w:hAnsi="Times New Roman" w:cs="Times New Roman" w:eastAsia="Times New Roman" w:hint="default"/>
        </w:rPr>
        <w:t>12</w:t>
      </w:r>
      <w:r>
        <w:rPr/>
        <w:t>个月内具备持续经营能力，无影响持续经营能力的重大事项。</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2"/>
        <w:spacing w:line="240" w:lineRule="auto" w:before="156"/>
        <w:ind w:left="134" w:right="1032"/>
        <w:jc w:val="left"/>
        <w:rPr>
          <w:b w:val="0"/>
          <w:bCs w:val="0"/>
        </w:rPr>
      </w:pPr>
      <w:bookmarkStart w:name="五、重要会计政策及会计估计" w:id="177"/>
      <w:bookmarkEnd w:id="177"/>
      <w:r>
        <w:rPr>
          <w:b w:val="0"/>
          <w:bCs w:val="0"/>
        </w:rPr>
      </w:r>
      <w:r>
        <w:rPr/>
        <w:t>五、重要会计政策及会计估计</w:t>
      </w:r>
      <w:r>
        <w:rPr>
          <w:b w:val="0"/>
          <w:bCs w:val="0"/>
        </w:rPr>
      </w:r>
    </w:p>
    <w:p>
      <w:pPr>
        <w:spacing w:line="240" w:lineRule="auto" w:before="6"/>
        <w:rPr>
          <w:rFonts w:ascii="宋体" w:hAnsi="宋体" w:cs="宋体" w:eastAsia="宋体" w:hint="default"/>
          <w:b/>
          <w:bCs/>
          <w:sz w:val="26"/>
          <w:szCs w:val="26"/>
        </w:rPr>
      </w:pPr>
    </w:p>
    <w:p>
      <w:pPr>
        <w:pStyle w:val="BodyText"/>
        <w:spacing w:line="398" w:lineRule="auto"/>
        <w:ind w:left="495" w:right="7333" w:hanging="2"/>
        <w:jc w:val="left"/>
        <w:rPr>
          <w:rFonts w:ascii="宋体" w:hAnsi="宋体" w:cs="宋体" w:eastAsia="宋体" w:hint="default"/>
        </w:rPr>
      </w:pPr>
      <w:r>
        <w:rPr/>
        <w:t>公司是否需要遵守特殊行业的披露要求 </w:t>
      </w:r>
      <w:r>
        <w:rPr>
          <w:rFonts w:ascii="宋体" w:hAnsi="宋体" w:cs="宋体" w:eastAsia="宋体" w:hint="default"/>
          <w:b/>
          <w:bCs/>
        </w:rPr>
        <w:t>是</w:t>
      </w:r>
      <w:r>
        <w:rPr>
          <w:rFonts w:ascii="宋体" w:hAnsi="宋体" w:cs="宋体" w:eastAsia="宋体" w:hint="default"/>
        </w:rPr>
      </w:r>
    </w:p>
    <w:p>
      <w:pPr>
        <w:spacing w:line="376" w:lineRule="auto" w:before="113"/>
        <w:ind w:left="494" w:right="7440" w:firstLine="1"/>
        <w:jc w:val="left"/>
        <w:rPr>
          <w:rFonts w:ascii="宋体" w:hAnsi="宋体" w:cs="宋体" w:eastAsia="宋体" w:hint="default"/>
          <w:sz w:val="18"/>
          <w:szCs w:val="18"/>
        </w:rPr>
      </w:pPr>
      <w:r>
        <w:rPr>
          <w:rFonts w:ascii="宋体" w:hAnsi="宋体" w:cs="宋体" w:eastAsia="宋体" w:hint="default"/>
          <w:b/>
          <w:bCs/>
          <w:sz w:val="18"/>
          <w:szCs w:val="18"/>
        </w:rPr>
        <w:t>软件与信息技术服务业</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互联网游戏业</w:t>
      </w:r>
      <w:r>
        <w:rPr>
          <w:rFonts w:ascii="宋体" w:hAnsi="宋体" w:cs="宋体" w:eastAsia="宋体" w:hint="default"/>
          <w:b/>
          <w:bCs/>
          <w:w w:val="99"/>
          <w:sz w:val="18"/>
          <w:szCs w:val="18"/>
        </w:rPr>
        <w:t> </w:t>
      </w:r>
      <w:r>
        <w:rPr>
          <w:rFonts w:ascii="宋体" w:hAnsi="宋体" w:cs="宋体" w:eastAsia="宋体" w:hint="default"/>
          <w:sz w:val="18"/>
          <w:szCs w:val="18"/>
        </w:rPr>
        <w:t>具体会计政策和会计估计提示：</w:t>
      </w:r>
    </w:p>
    <w:p>
      <w:pPr>
        <w:pStyle w:val="BodyText"/>
        <w:spacing w:line="240" w:lineRule="auto" w:before="52"/>
        <w:ind w:left="494" w:right="1032"/>
        <w:jc w:val="left"/>
      </w:pPr>
      <w:r>
        <w:rPr/>
        <w:t>以下披露内容已涵盖了本公司根据实际生产经营特点制定的具体会计政策和会计估计。</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0"/>
          <w:szCs w:val="20"/>
        </w:rPr>
      </w:pPr>
    </w:p>
    <w:p>
      <w:pPr>
        <w:pStyle w:val="Heading3"/>
        <w:spacing w:line="240" w:lineRule="auto"/>
        <w:ind w:left="134" w:right="7680"/>
        <w:jc w:val="left"/>
        <w:rPr>
          <w:b w:val="0"/>
          <w:bCs w:val="0"/>
        </w:rPr>
      </w:pPr>
      <w:bookmarkStart w:name="1、遵循企业会计准则的声明" w:id="178"/>
      <w:bookmarkEnd w:id="178"/>
      <w:r>
        <w:rPr>
          <w:b w:val="0"/>
          <w:bCs w:val="0"/>
        </w:rPr>
      </w:r>
      <w:r>
        <w:rPr>
          <w:rFonts w:ascii="Times New Roman" w:hAnsi="Times New Roman" w:cs="Times New Roman" w:eastAsia="Times New Roman" w:hint="default"/>
        </w:rPr>
        <w:t>1</w:t>
      </w:r>
      <w:r>
        <w:rPr/>
        <w:t>、遵循企业会计准则的声明</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left="134" w:right="1131" w:firstLine="360"/>
        <w:jc w:val="both"/>
      </w:pPr>
      <w:r>
        <w:rPr>
          <w:spacing w:val="-2"/>
        </w:rPr>
        <w:t>公司所编制的财务报表符合企业会计准则的要求，真实、完整地反映了报告期公司的财务状况、经营成果、现金流量等</w:t>
      </w:r>
      <w:r>
        <w:rPr/>
        <w:t> 有关信息。</w:t>
      </w:r>
    </w:p>
    <w:p>
      <w:pPr>
        <w:spacing w:after="0" w:line="316" w:lineRule="auto"/>
        <w:jc w:val="both"/>
        <w:sectPr>
          <w:pgSz w:w="11910" w:h="16840"/>
          <w:pgMar w:header="851" w:footer="979" w:top="1400" w:bottom="1160" w:left="100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2、会计期间" w:id="179"/>
      <w:bookmarkEnd w:id="179"/>
      <w:r>
        <w:rPr>
          <w:b w:val="0"/>
          <w:bCs w:val="0"/>
        </w:rPr>
      </w:r>
      <w:r>
        <w:rPr>
          <w:rFonts w:ascii="Times New Roman" w:hAnsi="Times New Roman" w:cs="Times New Roman" w:eastAsia="Times New Roman" w:hint="default"/>
        </w:rPr>
        <w:t>2</w:t>
      </w:r>
      <w:r>
        <w:rPr/>
        <w:t>、会计期间</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514" w:right="0"/>
        <w:jc w:val="left"/>
      </w:pPr>
      <w:r>
        <w:rPr/>
        <w:t>自公历</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日至</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日止为一个会计年度。</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3"/>
          <w:szCs w:val="13"/>
        </w:rPr>
      </w:pPr>
    </w:p>
    <w:p>
      <w:pPr>
        <w:pStyle w:val="Heading3"/>
        <w:spacing w:line="240" w:lineRule="auto"/>
        <w:ind w:right="0"/>
        <w:jc w:val="left"/>
        <w:rPr>
          <w:b w:val="0"/>
          <w:bCs w:val="0"/>
        </w:rPr>
      </w:pPr>
      <w:bookmarkStart w:name="3、营业周期" w:id="180"/>
      <w:bookmarkEnd w:id="180"/>
      <w:r>
        <w:rPr>
          <w:b w:val="0"/>
          <w:bCs w:val="0"/>
        </w:rPr>
      </w:r>
      <w:r>
        <w:rPr>
          <w:rFonts w:ascii="Times New Roman" w:hAnsi="Times New Roman" w:cs="Times New Roman" w:eastAsia="Times New Roman" w:hint="default"/>
        </w:rPr>
        <w:t>3</w:t>
      </w:r>
      <w:r>
        <w:rPr/>
        <w:t>、营业周期</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514" w:right="0"/>
        <w:jc w:val="left"/>
      </w:pPr>
      <w:r>
        <w:rPr/>
        <w:t>本公司营业周期为</w:t>
      </w:r>
      <w:r>
        <w:rPr>
          <w:rFonts w:ascii="Times New Roman" w:hAnsi="Times New Roman" w:cs="Times New Roman" w:eastAsia="Times New Roman" w:hint="default"/>
        </w:rPr>
        <w:t>12</w:t>
      </w:r>
      <w:r>
        <w:rPr/>
        <w:t>个月。</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3"/>
          <w:szCs w:val="13"/>
        </w:rPr>
      </w:pPr>
    </w:p>
    <w:p>
      <w:pPr>
        <w:pStyle w:val="Heading3"/>
        <w:spacing w:line="240" w:lineRule="auto"/>
        <w:ind w:right="0"/>
        <w:jc w:val="left"/>
        <w:rPr>
          <w:b w:val="0"/>
          <w:bCs w:val="0"/>
        </w:rPr>
      </w:pPr>
      <w:bookmarkStart w:name="4、记账本位币" w:id="181"/>
      <w:bookmarkEnd w:id="181"/>
      <w:r>
        <w:rPr>
          <w:b w:val="0"/>
          <w:bCs w:val="0"/>
        </w:rPr>
      </w:r>
      <w:r>
        <w:rPr>
          <w:rFonts w:ascii="Times New Roman" w:hAnsi="Times New Roman" w:cs="Times New Roman" w:eastAsia="Times New Roman" w:hint="default"/>
        </w:rPr>
        <w:t>4</w:t>
      </w:r>
      <w:r>
        <w:rPr/>
        <w:t>、记账本位币</w:t>
      </w:r>
      <w:r>
        <w:rPr>
          <w:b w:val="0"/>
          <w:bCs w:val="0"/>
        </w:rPr>
      </w:r>
    </w:p>
    <w:p>
      <w:pPr>
        <w:spacing w:line="240" w:lineRule="auto" w:before="6"/>
        <w:rPr>
          <w:rFonts w:ascii="宋体" w:hAnsi="宋体" w:cs="宋体" w:eastAsia="宋体" w:hint="default"/>
          <w:b/>
          <w:bCs/>
          <w:sz w:val="32"/>
          <w:szCs w:val="32"/>
        </w:rPr>
      </w:pPr>
    </w:p>
    <w:p>
      <w:pPr>
        <w:pStyle w:val="BodyText"/>
        <w:tabs>
          <w:tab w:pos="994" w:val="left" w:leader="none"/>
        </w:tabs>
        <w:spacing w:line="240" w:lineRule="auto"/>
        <w:ind w:left="514" w:right="0"/>
        <w:jc w:val="left"/>
      </w:pPr>
      <w:r>
        <w:rPr>
          <w:rFonts w:ascii="Times New Roman" w:hAnsi="Times New Roman" w:cs="Times New Roman" w:eastAsia="Times New Roman" w:hint="default"/>
        </w:rPr>
        <w:t>1</w:t>
      </w:r>
      <w:r>
        <w:rPr/>
        <w:t>、</w:t>
        <w:tab/>
        <w:t>母公司采用人民币为记账本位币。</w:t>
      </w:r>
    </w:p>
    <w:p>
      <w:pPr>
        <w:spacing w:line="240" w:lineRule="auto" w:before="9"/>
        <w:rPr>
          <w:rFonts w:ascii="宋体" w:hAnsi="宋体" w:cs="宋体" w:eastAsia="宋体" w:hint="default"/>
          <w:sz w:val="16"/>
          <w:szCs w:val="16"/>
        </w:rPr>
      </w:pPr>
    </w:p>
    <w:p>
      <w:pPr>
        <w:pStyle w:val="BodyText"/>
        <w:tabs>
          <w:tab w:pos="994" w:val="left" w:leader="none"/>
        </w:tabs>
        <w:spacing w:line="240" w:lineRule="auto"/>
        <w:ind w:left="514" w:right="0"/>
        <w:jc w:val="left"/>
      </w:pPr>
      <w:r>
        <w:rPr>
          <w:rFonts w:ascii="Times New Roman" w:hAnsi="Times New Roman" w:cs="Times New Roman" w:eastAsia="Times New Roman" w:hint="default"/>
        </w:rPr>
        <w:t>2</w:t>
      </w:r>
      <w:r>
        <w:rPr/>
        <w:t>、</w:t>
        <w:tab/>
        <w:t>以下公司记账本位币如下：</w:t>
      </w:r>
    </w:p>
    <w:p>
      <w:pPr>
        <w:spacing w:line="240" w:lineRule="auto" w:before="12"/>
        <w:rPr>
          <w:rFonts w:ascii="宋体" w:hAnsi="宋体" w:cs="宋体" w:eastAsia="宋体" w:hint="default"/>
          <w:sz w:val="9"/>
          <w:szCs w:val="9"/>
        </w:rPr>
      </w:pPr>
    </w:p>
    <w:tbl>
      <w:tblPr>
        <w:tblW w:w="0" w:type="auto"/>
        <w:jc w:val="left"/>
        <w:tblInd w:w="137" w:type="dxa"/>
        <w:tblLayout w:type="fixed"/>
        <w:tblCellMar>
          <w:top w:w="0" w:type="dxa"/>
          <w:left w:w="0" w:type="dxa"/>
          <w:bottom w:w="0" w:type="dxa"/>
          <w:right w:w="0" w:type="dxa"/>
        </w:tblCellMar>
        <w:tblLook w:val="01E0"/>
      </w:tblPr>
      <w:tblGrid>
        <w:gridCol w:w="4413"/>
        <w:gridCol w:w="2243"/>
        <w:gridCol w:w="3003"/>
      </w:tblGrid>
      <w:tr>
        <w:trPr>
          <w:trHeight w:val="347" w:hRule="exact"/>
        </w:trPr>
        <w:tc>
          <w:tcPr>
            <w:tcW w:w="4413" w:type="dxa"/>
            <w:tcBorders>
              <w:top w:val="single" w:sz="6" w:space="0" w:color="000000"/>
              <w:left w:val="single" w:sz="6" w:space="0" w:color="000000"/>
              <w:bottom w:val="single" w:sz="6" w:space="0" w:color="000000"/>
              <w:right w:val="single" w:sz="6" w:space="0" w:color="000000"/>
            </w:tcBorders>
            <w:shd w:val="clear" w:color="auto" w:fill="D0CECE"/>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2243" w:type="dxa"/>
            <w:tcBorders>
              <w:top w:val="single" w:sz="6" w:space="0" w:color="000000"/>
              <w:left w:val="single" w:sz="6" w:space="0" w:color="000000"/>
              <w:bottom w:val="single" w:sz="6" w:space="0" w:color="000000"/>
              <w:right w:val="single" w:sz="6" w:space="0" w:color="000000"/>
            </w:tcBorders>
            <w:shd w:val="clear" w:color="auto" w:fill="D0CECE"/>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注册地</w:t>
            </w:r>
          </w:p>
        </w:tc>
        <w:tc>
          <w:tcPr>
            <w:tcW w:w="3003" w:type="dxa"/>
            <w:tcBorders>
              <w:top w:val="single" w:sz="6" w:space="0" w:color="000000"/>
              <w:left w:val="single" w:sz="6" w:space="0" w:color="000000"/>
              <w:bottom w:val="single" w:sz="6" w:space="0" w:color="000000"/>
              <w:right w:val="single" w:sz="6" w:space="0" w:color="000000"/>
            </w:tcBorders>
            <w:shd w:val="clear" w:color="auto" w:fill="D0CECE"/>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记账本位币</w:t>
            </w:r>
          </w:p>
        </w:tc>
      </w:tr>
      <w:tr>
        <w:trPr>
          <w:trHeight w:val="347" w:hRule="exact"/>
        </w:trPr>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Times New Roman" w:hAnsi="Times New Roman" w:cs="Times New Roman" w:eastAsia="Times New Roman" w:hint="default"/>
                <w:sz w:val="18"/>
                <w:szCs w:val="18"/>
              </w:rPr>
            </w:pPr>
            <w:r>
              <w:rPr>
                <w:rFonts w:ascii="Times New Roman"/>
                <w:sz w:val="18"/>
              </w:rPr>
              <w:t>Bridge Minds Consulting Pte</w:t>
            </w:r>
            <w:r>
              <w:rPr>
                <w:rFonts w:ascii="Times New Roman"/>
                <w:spacing w:val="-5"/>
                <w:sz w:val="18"/>
              </w:rPr>
              <w:t> </w:t>
            </w:r>
            <w:r>
              <w:rPr>
                <w:rFonts w:ascii="Times New Roman"/>
                <w:sz w:val="18"/>
              </w:rPr>
              <w:t>Ltd</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新加坡</w:t>
            </w:r>
          </w:p>
        </w:tc>
        <w:tc>
          <w:tcPr>
            <w:tcW w:w="30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新加坡币</w:t>
            </w:r>
          </w:p>
        </w:tc>
      </w:tr>
      <w:tr>
        <w:trPr>
          <w:trHeight w:val="347" w:hRule="exact"/>
        </w:trPr>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Times New Roman" w:hAnsi="Times New Roman" w:cs="Times New Roman" w:eastAsia="Times New Roman" w:hint="default"/>
                <w:sz w:val="18"/>
                <w:szCs w:val="18"/>
              </w:rPr>
            </w:pPr>
            <w:r>
              <w:rPr>
                <w:rFonts w:ascii="Times New Roman"/>
                <w:sz w:val="18"/>
              </w:rPr>
              <w:t>CAMEL GAMES</w:t>
            </w:r>
            <w:r>
              <w:rPr>
                <w:rFonts w:ascii="Times New Roman"/>
                <w:spacing w:val="-2"/>
                <w:sz w:val="18"/>
              </w:rPr>
              <w:t> </w:t>
            </w:r>
            <w:r>
              <w:rPr>
                <w:rFonts w:ascii="Times New Roman"/>
                <w:sz w:val="18"/>
              </w:rPr>
              <w:t>INC.</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美国</w:t>
            </w:r>
          </w:p>
        </w:tc>
        <w:tc>
          <w:tcPr>
            <w:tcW w:w="30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美元</w:t>
            </w:r>
          </w:p>
        </w:tc>
      </w:tr>
      <w:tr>
        <w:trPr>
          <w:trHeight w:val="347" w:hRule="exact"/>
        </w:trPr>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Times New Roman" w:hAnsi="Times New Roman" w:cs="Times New Roman" w:eastAsia="Times New Roman" w:hint="default"/>
                <w:sz w:val="18"/>
                <w:szCs w:val="18"/>
              </w:rPr>
            </w:pPr>
            <w:r>
              <w:rPr>
                <w:rFonts w:ascii="Times New Roman"/>
                <w:sz w:val="18"/>
              </w:rPr>
              <w:t>CAMEL GAMES</w:t>
            </w:r>
            <w:r>
              <w:rPr>
                <w:rFonts w:ascii="Times New Roman"/>
                <w:spacing w:val="-2"/>
                <w:sz w:val="18"/>
              </w:rPr>
              <w:t> </w:t>
            </w:r>
            <w:r>
              <w:rPr>
                <w:rFonts w:ascii="Times New Roman"/>
                <w:sz w:val="18"/>
              </w:rPr>
              <w:t>LIMITED</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香港</w:t>
            </w:r>
          </w:p>
        </w:tc>
        <w:tc>
          <w:tcPr>
            <w:tcW w:w="30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美元</w:t>
            </w:r>
          </w:p>
        </w:tc>
      </w:tr>
      <w:tr>
        <w:trPr>
          <w:trHeight w:val="347" w:hRule="exact"/>
        </w:trPr>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神州泰岳（香港）有限公司</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香港</w:t>
            </w:r>
          </w:p>
        </w:tc>
        <w:tc>
          <w:tcPr>
            <w:tcW w:w="30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港币</w:t>
            </w:r>
          </w:p>
        </w:tc>
      </w:tr>
      <w:tr>
        <w:trPr>
          <w:trHeight w:val="347" w:hRule="exact"/>
        </w:trPr>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宁波普天通信技术（香港）有限公司</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香港</w:t>
            </w:r>
          </w:p>
        </w:tc>
        <w:tc>
          <w:tcPr>
            <w:tcW w:w="30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港币</w:t>
            </w:r>
          </w:p>
        </w:tc>
      </w:tr>
      <w:tr>
        <w:trPr>
          <w:trHeight w:val="348" w:hRule="exact"/>
        </w:trPr>
        <w:tc>
          <w:tcPr>
            <w:tcW w:w="4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泰岳小漫（香港）有限公司</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香港</w:t>
            </w:r>
          </w:p>
        </w:tc>
        <w:tc>
          <w:tcPr>
            <w:tcW w:w="30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港币</w:t>
            </w:r>
          </w:p>
        </w:tc>
      </w:tr>
    </w:tbl>
    <w:p>
      <w:pPr>
        <w:pStyle w:val="BodyText"/>
        <w:tabs>
          <w:tab w:pos="994" w:val="left" w:leader="none"/>
        </w:tabs>
        <w:spacing w:line="240" w:lineRule="auto" w:before="88"/>
        <w:ind w:left="514" w:right="0"/>
        <w:jc w:val="left"/>
      </w:pPr>
      <w:r>
        <w:rPr>
          <w:rFonts w:ascii="Times New Roman" w:hAnsi="Times New Roman" w:cs="Times New Roman" w:eastAsia="Times New Roman" w:hint="default"/>
        </w:rPr>
        <w:t>3</w:t>
      </w:r>
      <w:r>
        <w:rPr/>
        <w:t>、</w:t>
        <w:tab/>
        <w:t>除上述公司外，其余公司均采用人民币为记账本位币。</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9"/>
          <w:szCs w:val="19"/>
        </w:rPr>
      </w:pPr>
    </w:p>
    <w:p>
      <w:pPr>
        <w:pStyle w:val="Heading3"/>
        <w:spacing w:line="240" w:lineRule="auto"/>
        <w:ind w:right="0"/>
        <w:jc w:val="left"/>
        <w:rPr>
          <w:b w:val="0"/>
          <w:bCs w:val="0"/>
        </w:rPr>
      </w:pPr>
      <w:bookmarkStart w:name="5、同一控制下和非同一控制下企业合并的会计处理方法" w:id="182"/>
      <w:bookmarkEnd w:id="182"/>
      <w:r>
        <w:rPr>
          <w:b w:val="0"/>
          <w:bCs w:val="0"/>
        </w:rPr>
      </w:r>
      <w:r>
        <w:rPr>
          <w:rFonts w:ascii="Times New Roman" w:hAnsi="Times New Roman" w:cs="Times New Roman" w:eastAsia="Times New Roman" w:hint="default"/>
        </w:rPr>
        <w:t>5</w:t>
      </w:r>
      <w:r>
        <w:rPr/>
        <w:t>、同一控制下和非同一控制下企业合并的会计处理方法</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1131" w:firstLine="360"/>
        <w:jc w:val="right"/>
      </w:pPr>
      <w:r>
        <w:rPr>
          <w:spacing w:val="-2"/>
        </w:rPr>
        <w:t>同一控制下企业合并：本公司在企业合并中取得的资产和负债，按照合并日被合并方资产、负债（包括最终控制方收购</w:t>
      </w:r>
      <w:r>
        <w:rPr/>
        <w:t> </w:t>
      </w:r>
      <w:r>
        <w:rPr>
          <w:spacing w:val="-2"/>
        </w:rPr>
        <w:t>被合并方而形成的商誉）在最终控制方合并财务报表中的账面价值计量。在合并中取得的净资产账面价值与支付的合并对价</w:t>
      </w:r>
      <w:r>
        <w:rPr>
          <w:spacing w:val="-71"/>
        </w:rPr>
        <w:t> </w:t>
      </w:r>
      <w:r>
        <w:rPr>
          <w:spacing w:val="-71"/>
        </w:rPr>
      </w:r>
      <w:r>
        <w:rPr>
          <w:spacing w:val="-5"/>
        </w:rPr>
        <w:t>账面价值（或发行股份面值总额）的差额，调整资本公积中的股本溢价，资本公积中的股本溢价不足冲减的，调整留存收益。</w:t>
      </w:r>
      <w:r>
        <w:rPr>
          <w:spacing w:val="-88"/>
        </w:rPr>
        <w:t> </w:t>
      </w:r>
      <w:r>
        <w:rPr>
          <w:spacing w:val="-88"/>
        </w:rPr>
      </w:r>
      <w:r>
        <w:rPr>
          <w:spacing w:val="-2"/>
        </w:rPr>
        <w:t>非同一控制下企业合并：本公司在购买日对作为企业合并对价付出的资产、发生或承担的负债按照公允价值计量，公允</w:t>
      </w:r>
    </w:p>
    <w:p>
      <w:pPr>
        <w:pStyle w:val="BodyText"/>
        <w:spacing w:line="477" w:lineRule="auto" w:before="54"/>
        <w:ind w:right="0"/>
        <w:jc w:val="left"/>
      </w:pPr>
      <w:r>
        <w:rPr>
          <w:spacing w:val="-4"/>
        </w:rPr>
        <w:t>价值与其账面价值的差额，计入当期损益。本公司对合并成本大于合并中取得的被购买方可辨认净资产公允价值份额的差额，</w:t>
      </w:r>
      <w:r>
        <w:rPr>
          <w:spacing w:val="-43"/>
        </w:rPr>
        <w:t> </w:t>
      </w:r>
      <w:r>
        <w:rPr>
          <w:spacing w:val="-43"/>
        </w:rPr>
      </w:r>
      <w:r>
        <w:rPr/>
        <w:t>确认为商誉；合并成本小于合并中取得的被购买方可辨认净资产公允价值份额的差额，经复核后，计入当期损益。</w:t>
      </w:r>
    </w:p>
    <w:p>
      <w:pPr>
        <w:pStyle w:val="BodyText"/>
        <w:spacing w:line="477" w:lineRule="auto" w:before="54"/>
        <w:ind w:right="0" w:firstLine="360"/>
        <w:jc w:val="left"/>
      </w:pPr>
      <w:r>
        <w:rPr>
          <w:spacing w:val="-2"/>
        </w:rPr>
        <w:t>为企业合并发生的审计、法律服务、评估咨询等中介费用以及其他直接相关费用，于发生时计入当期损益；为企业合并</w:t>
      </w:r>
      <w:r>
        <w:rPr/>
        <w:t> 而发行权益性证券的交易费用，冲减权益。</w:t>
      </w:r>
    </w:p>
    <w:p>
      <w:pPr>
        <w:spacing w:line="240" w:lineRule="auto" w:before="4"/>
        <w:rPr>
          <w:rFonts w:ascii="宋体" w:hAnsi="宋体" w:cs="宋体" w:eastAsia="宋体" w:hint="default"/>
          <w:sz w:val="19"/>
          <w:szCs w:val="19"/>
        </w:rPr>
      </w:pPr>
    </w:p>
    <w:p>
      <w:pPr>
        <w:pStyle w:val="Heading3"/>
        <w:spacing w:line="240" w:lineRule="auto"/>
        <w:ind w:right="0"/>
        <w:jc w:val="left"/>
        <w:rPr>
          <w:b w:val="0"/>
          <w:bCs w:val="0"/>
        </w:rPr>
      </w:pPr>
      <w:bookmarkStart w:name="6、合并财务报表的编制方法" w:id="183"/>
      <w:bookmarkEnd w:id="183"/>
      <w:r>
        <w:rPr>
          <w:b w:val="0"/>
          <w:bCs w:val="0"/>
        </w:rPr>
      </w:r>
      <w:r>
        <w:rPr>
          <w:rFonts w:ascii="Times New Roman" w:hAnsi="Times New Roman" w:cs="Times New Roman" w:eastAsia="Times New Roman" w:hint="default"/>
        </w:rPr>
        <w:t>6</w:t>
      </w:r>
      <w:r>
        <w:rPr/>
        <w:t>、合并财务报表的编制方法</w:t>
      </w:r>
      <w:r>
        <w:rPr>
          <w:b w:val="0"/>
          <w:bCs w:val="0"/>
        </w:rPr>
      </w:r>
    </w:p>
    <w:p>
      <w:pPr>
        <w:spacing w:line="240" w:lineRule="auto" w:before="6"/>
        <w:rPr>
          <w:rFonts w:ascii="宋体" w:hAnsi="宋体" w:cs="宋体" w:eastAsia="宋体" w:hint="default"/>
          <w:b/>
          <w:bCs/>
          <w:sz w:val="32"/>
          <w:szCs w:val="32"/>
        </w:rPr>
      </w:pPr>
    </w:p>
    <w:p>
      <w:pPr>
        <w:pStyle w:val="Heading5"/>
        <w:spacing w:line="240" w:lineRule="auto"/>
        <w:ind w:left="515" w:right="0"/>
        <w:jc w:val="left"/>
        <w:rPr>
          <w:b w:val="0"/>
          <w:bCs w:val="0"/>
        </w:rPr>
      </w:pPr>
      <w:r>
        <w:rPr>
          <w:rFonts w:ascii="宋体" w:hAnsi="宋体" w:cs="宋体" w:eastAsia="宋体" w:hint="default"/>
        </w:rPr>
        <w:t>1.</w:t>
      </w:r>
      <w:r>
        <w:rPr/>
        <w:t>合并范围</w:t>
      </w:r>
      <w:r>
        <w:rPr>
          <w:b w:val="0"/>
          <w:bCs w:val="0"/>
        </w:rPr>
      </w:r>
    </w:p>
    <w:p>
      <w:pPr>
        <w:spacing w:after="0" w:line="240" w:lineRule="auto"/>
        <w:jc w:val="left"/>
        <w:sectPr>
          <w:pgSz w:w="11910" w:h="16840"/>
          <w:pgMar w:header="851" w:footer="979" w:top="1400" w:bottom="1160" w:left="980" w:right="0"/>
        </w:sectPr>
      </w:pPr>
    </w:p>
    <w:p>
      <w:pPr>
        <w:spacing w:line="240" w:lineRule="auto" w:before="11"/>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BodyText"/>
        <w:spacing w:line="477" w:lineRule="auto" w:before="83"/>
        <w:ind w:right="1133" w:firstLine="360"/>
        <w:jc w:val="both"/>
      </w:pPr>
      <w:r>
        <w:rPr>
          <w:spacing w:val="-2"/>
        </w:rPr>
        <w:t>本公司合并财务报表的合并范围以控制为基础确定，所有子公司（包括本公司所控制的被投资方可分割的部分）均纳入</w:t>
      </w:r>
      <w:r>
        <w:rPr/>
        <w:t> 合并财务报表。</w:t>
      </w:r>
    </w:p>
    <w:p>
      <w:pPr>
        <w:pStyle w:val="BodyText"/>
        <w:spacing w:line="477" w:lineRule="auto" w:before="54"/>
        <w:ind w:left="514" w:right="1115" w:firstLine="1"/>
        <w:jc w:val="left"/>
      </w:pPr>
      <w:r>
        <w:rPr>
          <w:rFonts w:ascii="宋体" w:hAnsi="宋体" w:cs="宋体" w:eastAsia="宋体" w:hint="default"/>
          <w:b/>
          <w:bCs/>
        </w:rPr>
        <w:t>2.</w:t>
      </w:r>
      <w:r>
        <w:rPr>
          <w:rFonts w:ascii="宋体" w:hAnsi="宋体" w:cs="宋体" w:eastAsia="宋体" w:hint="default"/>
          <w:b/>
          <w:bCs/>
        </w:rPr>
        <w:t>合并程序</w:t>
      </w:r>
      <w:r>
        <w:rPr>
          <w:rFonts w:ascii="宋体" w:hAnsi="宋体" w:cs="宋体" w:eastAsia="宋体" w:hint="default"/>
          <w:b/>
          <w:bCs/>
          <w:w w:val="99"/>
        </w:rPr>
        <w:t> </w:t>
      </w:r>
      <w:r>
        <w:rPr>
          <w:spacing w:val="-2"/>
        </w:rPr>
        <w:t>本公司以自身和各子公司的财务报表为基础，根据其他有关资料，编制合并财务报表。本公司编制合并财务报表，将整</w:t>
      </w:r>
    </w:p>
    <w:p>
      <w:pPr>
        <w:pStyle w:val="BodyText"/>
        <w:spacing w:line="477" w:lineRule="auto" w:before="54"/>
        <w:ind w:right="0"/>
        <w:jc w:val="left"/>
      </w:pPr>
      <w:r>
        <w:rPr>
          <w:spacing w:val="-2"/>
        </w:rPr>
        <w:t>个企业集团视为一个会计主体，依据相关企业会计准则的确认、计量和列报要求，按照统一的会计政策，反映本企业集团整</w:t>
      </w:r>
      <w:r>
        <w:rPr>
          <w:spacing w:val="-66"/>
        </w:rPr>
        <w:t> </w:t>
      </w:r>
      <w:r>
        <w:rPr>
          <w:spacing w:val="-66"/>
        </w:rPr>
      </w:r>
      <w:r>
        <w:rPr/>
        <w:t>体财务状况、经营成果和现金流量。</w:t>
      </w:r>
    </w:p>
    <w:p>
      <w:pPr>
        <w:pStyle w:val="BodyText"/>
        <w:spacing w:line="477" w:lineRule="auto" w:before="54"/>
        <w:ind w:right="1026" w:firstLine="360"/>
        <w:jc w:val="left"/>
      </w:pPr>
      <w:r>
        <w:rPr>
          <w:spacing w:val="-2"/>
        </w:rPr>
        <w:t>所有纳入合并财务报表合并范围的子公司所采用的会计政策、会计期间与本公司一致，如子公司采用的会计政策、会计</w:t>
      </w:r>
      <w:r>
        <w:rPr/>
        <w:t> </w:t>
      </w:r>
      <w:r>
        <w:rPr>
          <w:spacing w:val="-2"/>
        </w:rPr>
        <w:t>期间与本公司不一致的，在编制合并财务报表时，按本公司的会计政策、会计期间进行必要的调整。对于非同一控制下企业</w:t>
      </w:r>
      <w:r>
        <w:rPr>
          <w:spacing w:val="-66"/>
        </w:rPr>
        <w:t> </w:t>
      </w:r>
      <w:r>
        <w:rPr>
          <w:spacing w:val="-66"/>
        </w:rPr>
      </w:r>
      <w:r>
        <w:rPr>
          <w:spacing w:val="-4"/>
        </w:rPr>
        <w:t>合并取得的子公司，以购买日可辨认净资产公允价值为基础对其财务报表进行调整。对于同一控制下企业合并取得的子公司，</w:t>
      </w:r>
      <w:r>
        <w:rPr>
          <w:spacing w:val="-44"/>
        </w:rPr>
        <w:t> </w:t>
      </w:r>
      <w:r>
        <w:rPr>
          <w:spacing w:val="-44"/>
        </w:rPr>
      </w:r>
      <w:r>
        <w:rPr>
          <w:spacing w:val="-2"/>
        </w:rPr>
        <w:t>以其资产、负债（包括最终控制方收购该子公司而形成的商誉）在最终控制方财务报表中的账面价值为基础对其财务报表进</w:t>
      </w:r>
      <w:r>
        <w:rPr>
          <w:spacing w:val="-66"/>
        </w:rPr>
        <w:t> </w:t>
      </w:r>
      <w:r>
        <w:rPr>
          <w:spacing w:val="-66"/>
        </w:rPr>
      </w:r>
      <w:r>
        <w:rPr/>
        <w:t>行调整。</w:t>
      </w:r>
    </w:p>
    <w:p>
      <w:pPr>
        <w:pStyle w:val="BodyText"/>
        <w:spacing w:line="477" w:lineRule="auto" w:before="54"/>
        <w:ind w:right="1131" w:firstLine="360"/>
        <w:jc w:val="both"/>
      </w:pPr>
      <w:r>
        <w:rPr>
          <w:spacing w:val="-2"/>
        </w:rPr>
        <w:t>子公司所有者权益、当期净损益和当期综合收益中属于少数股东的份额分别在合并资产负债表中所有者权益项目下、合</w:t>
      </w:r>
      <w:r>
        <w:rPr/>
        <w:t> </w:t>
      </w:r>
      <w:r>
        <w:rPr>
          <w:spacing w:val="-2"/>
        </w:rPr>
        <w:t>并利润表中净利润项目下和综合收益总额项目下单独列示。子公司少数股东分担的当期亏损超过了少数股东在该子公司期初</w:t>
      </w:r>
      <w:r>
        <w:rPr>
          <w:spacing w:val="-64"/>
        </w:rPr>
        <w:t> </w:t>
      </w:r>
      <w:r>
        <w:rPr>
          <w:spacing w:val="-64"/>
        </w:rPr>
      </w:r>
      <w:r>
        <w:rPr/>
        <w:t>所有者权益中所享有份额而形成的余额，冲减少数股东权益。</w:t>
      </w:r>
    </w:p>
    <w:p>
      <w:pPr>
        <w:pStyle w:val="BodyText"/>
        <w:spacing w:line="451" w:lineRule="auto" w:before="54"/>
        <w:ind w:left="514" w:right="0"/>
        <w:jc w:val="left"/>
      </w:pPr>
      <w:r>
        <w:rPr/>
        <w:t>（</w:t>
      </w:r>
      <w:r>
        <w:rPr>
          <w:rFonts w:ascii="Times New Roman" w:hAnsi="Times New Roman" w:cs="Times New Roman" w:eastAsia="Times New Roman" w:hint="default"/>
        </w:rPr>
        <w:t>1</w:t>
      </w:r>
      <w:r>
        <w:rPr/>
        <w:t>）增加子公司或业务 </w:t>
      </w:r>
      <w:r>
        <w:rPr>
          <w:spacing w:val="-2"/>
        </w:rPr>
        <w:t>在报告期内，若因同一控制下企业合并增加子公司或业务的，则调整合并资产负债表的期初数；将子公司或业务合并当</w:t>
      </w:r>
    </w:p>
    <w:p>
      <w:pPr>
        <w:pStyle w:val="BodyText"/>
        <w:spacing w:line="477" w:lineRule="auto" w:before="74"/>
        <w:ind w:right="0"/>
        <w:jc w:val="left"/>
      </w:pPr>
      <w:r>
        <w:rPr>
          <w:spacing w:val="-2"/>
        </w:rPr>
        <w:t>期期初至报告期末的收入、费用、利润纳入合并利润表；将子公司或业务合并当期期初至报告期末的现金流量纳入合并现金</w:t>
      </w:r>
      <w:r>
        <w:rPr>
          <w:spacing w:val="-66"/>
        </w:rPr>
        <w:t> </w:t>
      </w:r>
      <w:r>
        <w:rPr>
          <w:spacing w:val="-66"/>
        </w:rPr>
      </w:r>
      <w:r>
        <w:rPr/>
        <w:t>流量表，同时对比较报表的相关项目进行调整，视同合并后的报告主体自最终控制方开始控制时点起一直存在。</w:t>
      </w:r>
    </w:p>
    <w:p>
      <w:pPr>
        <w:pStyle w:val="BodyText"/>
        <w:spacing w:line="477" w:lineRule="auto" w:before="54"/>
        <w:ind w:right="1131" w:firstLine="360"/>
        <w:jc w:val="both"/>
      </w:pPr>
      <w:r>
        <w:rPr>
          <w:spacing w:val="-2"/>
        </w:rPr>
        <w:t>因追加投资等原因能够对同一控制下的被投资方实施控制的，视同参与合并的各方在最终控制方开始控制时即以目前的</w:t>
      </w:r>
      <w:r>
        <w:rPr/>
        <w:t> </w:t>
      </w:r>
      <w:r>
        <w:rPr>
          <w:spacing w:val="-2"/>
        </w:rPr>
        <w:t>状态存在进行调整。在取得被合并方控制权之前持有的股权投资，在取得原股权之日与合并方和被合并方同处于同一控制之</w:t>
      </w:r>
      <w:r>
        <w:rPr>
          <w:spacing w:val="-64"/>
        </w:rPr>
        <w:t> </w:t>
      </w:r>
      <w:r>
        <w:rPr>
          <w:spacing w:val="-64"/>
        </w:rPr>
      </w:r>
      <w:r>
        <w:rPr>
          <w:spacing w:val="-2"/>
        </w:rPr>
        <w:t>日孰晚日起至合并日之间已确认有关损益、其他综合收益以及其他净资产变动，分别冲减比较报表期间的期初留存收益或当</w:t>
      </w:r>
      <w:r>
        <w:rPr>
          <w:spacing w:val="-64"/>
        </w:rPr>
        <w:t> </w:t>
      </w:r>
      <w:r>
        <w:rPr>
          <w:spacing w:val="-64"/>
        </w:rPr>
      </w:r>
      <w:r>
        <w:rPr/>
        <w:t>期损益。</w:t>
      </w:r>
    </w:p>
    <w:p>
      <w:pPr>
        <w:pStyle w:val="BodyText"/>
        <w:spacing w:line="477" w:lineRule="auto" w:before="54"/>
        <w:ind w:right="1133" w:firstLine="360"/>
        <w:jc w:val="both"/>
      </w:pPr>
      <w:r>
        <w:rPr>
          <w:spacing w:val="-2"/>
        </w:rPr>
        <w:t>在报告期内，若因非同一控制下企业合并增加子公司或业务的，则不调整合并资产负债表期初数；将该子公司或业务自</w:t>
      </w:r>
      <w:r>
        <w:rPr/>
        <w:t> </w:t>
      </w:r>
      <w:r>
        <w:rPr>
          <w:spacing w:val="-2"/>
        </w:rPr>
        <w:t>购买日至报告期末的收入、费用、利润纳入合并利润表；该子公司或业务自购买日至报告期末的现金流量纳入合并现金流量</w:t>
      </w:r>
      <w:r>
        <w:rPr>
          <w:spacing w:val="-66"/>
        </w:rPr>
        <w:t> </w:t>
      </w:r>
      <w:r>
        <w:rPr>
          <w:spacing w:val="-66"/>
        </w:rPr>
      </w:r>
      <w:r>
        <w:rPr/>
        <w:t>表。</w:t>
      </w:r>
    </w:p>
    <w:p>
      <w:pPr>
        <w:pStyle w:val="BodyText"/>
        <w:spacing w:line="477" w:lineRule="auto" w:before="54"/>
        <w:ind w:right="1130" w:firstLine="360"/>
        <w:jc w:val="both"/>
      </w:pPr>
      <w:r>
        <w:rPr>
          <w:spacing w:val="-2"/>
        </w:rPr>
        <w:t>因追加投资等原因能够对非同一控制下的被投资方实施控制的，对于购买日之前持有的被购买方的股权，本公司按照该</w:t>
      </w:r>
      <w:r>
        <w:rPr/>
        <w:t> </w:t>
      </w:r>
      <w:r>
        <w:rPr>
          <w:spacing w:val="-2"/>
        </w:rPr>
        <w:t>股权在购买日的公允价值进行重新计量，公允价值与其账面价值的差额计入当期投资收益。购买日之前持有的被购买方的股</w:t>
      </w:r>
      <w:r>
        <w:rPr>
          <w:spacing w:val="-63"/>
        </w:rPr>
        <w:t> </w:t>
      </w:r>
      <w:r>
        <w:rPr>
          <w:spacing w:val="-63"/>
        </w:rPr>
      </w:r>
      <w:r>
        <w:rPr>
          <w:spacing w:val="-2"/>
        </w:rPr>
        <w:t>权涉及权益法核算下的其他综合收益以及除净损益、其他综合收益和利润分配之外的其他所有者权益变动的，与其相关的其</w:t>
      </w:r>
      <w:r>
        <w:rPr>
          <w:spacing w:val="-64"/>
        </w:rPr>
        <w:t> </w:t>
      </w:r>
      <w:r>
        <w:rPr>
          <w:spacing w:val="-64"/>
        </w:rPr>
      </w:r>
      <w:r>
        <w:rPr>
          <w:spacing w:val="-2"/>
        </w:rPr>
        <w:t>他综合收益、其他所有者权益变动转为购买日所属当期投资收益，由于被投资方重新计量设定受益计划净负债或净资产变动</w:t>
      </w:r>
      <w:r>
        <w:rPr>
          <w:spacing w:val="-64"/>
        </w:rPr>
        <w:t> </w:t>
      </w:r>
      <w:r>
        <w:rPr>
          <w:spacing w:val="-64"/>
        </w:rPr>
      </w:r>
      <w:r>
        <w:rPr/>
        <w:t>而产生的其他综合收益除外。</w:t>
      </w:r>
    </w:p>
    <w:p>
      <w:pPr>
        <w:spacing w:after="0" w:line="477" w:lineRule="auto"/>
        <w:jc w:val="both"/>
        <w:sectPr>
          <w:pgSz w:w="11910" w:h="16840"/>
          <w:pgMar w:header="851" w:footer="979" w:top="1400" w:bottom="1160" w:left="980" w:right="0"/>
        </w:sectPr>
      </w:pPr>
    </w:p>
    <w:p>
      <w:pPr>
        <w:pStyle w:val="BodyText"/>
        <w:spacing w:line="240" w:lineRule="auto" w:before="140"/>
        <w:ind w:left="514" w:right="0"/>
        <w:jc w:val="left"/>
      </w:pPr>
      <w:r>
        <w:rPr/>
        <w:t>（</w:t>
      </w:r>
      <w:r>
        <w:rPr>
          <w:rFonts w:ascii="Times New Roman" w:hAnsi="Times New Roman" w:cs="Times New Roman" w:eastAsia="Times New Roman" w:hint="default"/>
        </w:rPr>
        <w:t>2</w:t>
      </w:r>
      <w:r>
        <w:rPr/>
        <w:t>）处置子公司或业务</w:t>
      </w:r>
    </w:p>
    <w:p>
      <w:pPr>
        <w:spacing w:line="240" w:lineRule="auto" w:before="9"/>
        <w:rPr>
          <w:rFonts w:ascii="宋体" w:hAnsi="宋体" w:cs="宋体" w:eastAsia="宋体" w:hint="default"/>
          <w:sz w:val="16"/>
          <w:szCs w:val="16"/>
        </w:rPr>
      </w:pPr>
    </w:p>
    <w:p>
      <w:pPr>
        <w:pStyle w:val="BodyText"/>
        <w:spacing w:line="477" w:lineRule="auto"/>
        <w:ind w:left="514" w:right="0"/>
        <w:jc w:val="left"/>
      </w:pPr>
      <w:r>
        <w:rPr/>
        <w:t>①一般处理方法 </w:t>
      </w:r>
      <w:r>
        <w:rPr>
          <w:spacing w:val="-2"/>
        </w:rPr>
        <w:t>在报告期内，本公司处置子公司或业务，则该子公司或业务期初至处置日的收入、费用、利润纳入合并利润表；该子公</w:t>
      </w:r>
    </w:p>
    <w:p>
      <w:pPr>
        <w:pStyle w:val="BodyText"/>
        <w:spacing w:line="477" w:lineRule="auto" w:before="54"/>
        <w:ind w:left="514" w:right="0" w:hanging="360"/>
        <w:jc w:val="left"/>
      </w:pPr>
      <w:r>
        <w:rPr/>
        <w:t>司或业务期初至处置日的现金流量纳入合并现金流量表。 </w:t>
      </w:r>
      <w:r>
        <w:rPr>
          <w:spacing w:val="-2"/>
        </w:rPr>
        <w:t>因处置部分股权投资或其他原因丧失了对被投资方控制权时，对于处置后的剩余股权投资，本公司按照其在丧失控制权</w:t>
      </w:r>
    </w:p>
    <w:p>
      <w:pPr>
        <w:pStyle w:val="BodyText"/>
        <w:spacing w:line="477" w:lineRule="auto" w:before="54"/>
        <w:ind w:right="1032"/>
        <w:jc w:val="left"/>
      </w:pPr>
      <w:r>
        <w:rPr>
          <w:spacing w:val="-2"/>
        </w:rPr>
        <w:t>日的公允价值进行重新计量。处置股权取得的对价与剩余股权公允价值之和，减去按原持股比例计算应享有原有子公司自购</w:t>
      </w:r>
      <w:r>
        <w:rPr>
          <w:spacing w:val="-64"/>
        </w:rPr>
        <w:t> </w:t>
      </w:r>
      <w:r>
        <w:rPr>
          <w:spacing w:val="-64"/>
        </w:rPr>
      </w:r>
      <w:r>
        <w:rPr>
          <w:spacing w:val="-2"/>
        </w:rPr>
        <w:t>买日或合并日开始持续计算的净资产的份额与商誉之和的差额，计入丧失控制权当期的投资收益。与原有子公司股权投资相</w:t>
      </w:r>
      <w:r>
        <w:rPr>
          <w:spacing w:val="-64"/>
        </w:rPr>
        <w:t> </w:t>
      </w:r>
      <w:r>
        <w:rPr>
          <w:spacing w:val="-64"/>
        </w:rPr>
      </w:r>
      <w:r>
        <w:rPr/>
        <w:t>关的其他综合收益或除净损益、其他综合收益及利润分配之外的其他所有者权益变动，在丧失控制权时转为当期投资收益，</w:t>
      </w:r>
      <w:r>
        <w:rPr>
          <w:spacing w:val="-85"/>
        </w:rPr>
        <w:t> </w:t>
      </w:r>
      <w:r>
        <w:rPr>
          <w:spacing w:val="-85"/>
        </w:rPr>
      </w:r>
      <w:r>
        <w:rPr/>
        <w:t>由于被投资方重新计量设定受益计划净负债或净资产变动而产生的其他综合收益除外。</w:t>
      </w:r>
    </w:p>
    <w:p>
      <w:pPr>
        <w:pStyle w:val="BodyText"/>
        <w:spacing w:line="240" w:lineRule="auto" w:before="54"/>
        <w:ind w:left="514" w:right="0"/>
        <w:jc w:val="left"/>
      </w:pPr>
      <w:r>
        <w:rPr/>
        <w:t>因其他投资方对子公司增资而导致本公司持股比例下降从而丧失控制权的，按照上述原则进行会计处理。</w:t>
      </w:r>
    </w:p>
    <w:p>
      <w:pPr>
        <w:spacing w:line="240" w:lineRule="auto" w:before="10"/>
        <w:rPr>
          <w:rFonts w:ascii="宋体" w:hAnsi="宋体" w:cs="宋体" w:eastAsia="宋体" w:hint="default"/>
          <w:sz w:val="17"/>
          <w:szCs w:val="17"/>
        </w:rPr>
      </w:pPr>
    </w:p>
    <w:p>
      <w:pPr>
        <w:pStyle w:val="BodyText"/>
        <w:spacing w:line="477" w:lineRule="auto"/>
        <w:ind w:left="514" w:right="0"/>
        <w:jc w:val="left"/>
      </w:pPr>
      <w:r>
        <w:rPr/>
        <w:t>②分步处置子公司 </w:t>
      </w:r>
      <w:r>
        <w:rPr>
          <w:spacing w:val="-2"/>
        </w:rPr>
        <w:t>通过多次交易分步处置对子公司股权投资直至丧失控制权的，处置对子公司股权投资的各项交易的条款、条件以及经济</w:t>
      </w:r>
    </w:p>
    <w:p>
      <w:pPr>
        <w:pStyle w:val="BodyText"/>
        <w:spacing w:line="477" w:lineRule="auto" w:before="54"/>
        <w:ind w:left="514" w:right="3552" w:hanging="360"/>
        <w:jc w:val="left"/>
      </w:pPr>
      <w:r>
        <w:rPr/>
        <w:t>影响符合以下一种或多种情况，通常表明应将多次交易事项作为一揽子交易进行会计处理： ⅰ．这些交易是同时或者在考虑了彼此影响的情况下订立的； ⅱ．这些交易整体才能达成一项完整的商业结果； ⅲ．一项交易的发生取决于其他至少一项交易的发生； ⅳ．一项交易单独看是不经济的，但是和其他交易一并考虑时是经济的。</w:t>
      </w:r>
    </w:p>
    <w:p>
      <w:pPr>
        <w:pStyle w:val="BodyText"/>
        <w:spacing w:line="477" w:lineRule="auto" w:before="54"/>
        <w:ind w:right="1131" w:firstLine="360"/>
        <w:jc w:val="both"/>
      </w:pPr>
      <w:r>
        <w:rPr>
          <w:spacing w:val="-2"/>
        </w:rPr>
        <w:t>处置对子公司股权投资直至丧失控制权的各项交易属于一揽子交易的，本公司将各项交易作为一项处置子公司并丧失控</w:t>
      </w:r>
      <w:r>
        <w:rPr/>
        <w:t> </w:t>
      </w:r>
      <w:r>
        <w:rPr>
          <w:spacing w:val="-2"/>
        </w:rPr>
        <w:t>制权的交易进行会计处理；但是，在丧失控制权之前每一次处置价款与处置投资对应的享有该子公司净资产份额的差额，在</w:t>
      </w:r>
      <w:r>
        <w:rPr>
          <w:spacing w:val="-66"/>
        </w:rPr>
        <w:t> </w:t>
      </w:r>
      <w:r>
        <w:rPr>
          <w:spacing w:val="-66"/>
        </w:rPr>
      </w:r>
      <w:r>
        <w:rPr/>
        <w:t>合并财务报表中确认为其他综合收益，在丧失控制权时一并转入丧失控制权当期的损益。</w:t>
      </w:r>
    </w:p>
    <w:p>
      <w:pPr>
        <w:pStyle w:val="BodyText"/>
        <w:spacing w:line="477" w:lineRule="auto" w:before="54"/>
        <w:ind w:right="1132" w:firstLine="360"/>
        <w:jc w:val="both"/>
      </w:pPr>
      <w:r>
        <w:rPr>
          <w:spacing w:val="-2"/>
        </w:rPr>
        <w:t>处置对子公司股权投资直至丧失控制权的各项交易不属于一揽子交易的，在丧失控制权之前，按不丧失控制权的情况下</w:t>
      </w:r>
      <w:r>
        <w:rPr/>
        <w:t> 部分处置对子公司的股权投资的相关政策进行会计处理；在丧失控制权时，按处置子公司一般处理方法进行会计处理。</w:t>
      </w:r>
    </w:p>
    <w:p>
      <w:pPr>
        <w:pStyle w:val="BodyText"/>
        <w:spacing w:line="451" w:lineRule="auto" w:before="54"/>
        <w:ind w:left="514" w:right="0"/>
        <w:jc w:val="left"/>
      </w:pPr>
      <w:r>
        <w:rPr/>
        <w:t>（</w:t>
      </w:r>
      <w:r>
        <w:rPr>
          <w:rFonts w:ascii="Times New Roman" w:hAnsi="Times New Roman" w:cs="Times New Roman" w:eastAsia="Times New Roman" w:hint="default"/>
        </w:rPr>
        <w:t>3</w:t>
      </w:r>
      <w:r>
        <w:rPr/>
        <w:t>）购买子公司少数股权 </w:t>
      </w:r>
      <w:r>
        <w:rPr>
          <w:spacing w:val="-2"/>
        </w:rPr>
        <w:t>本公司因购买少数股权新取得的长期股权投资与按照新增持股比例计算应享有子公司自购买日（或合并日）开始持续计</w:t>
      </w:r>
    </w:p>
    <w:p>
      <w:pPr>
        <w:pStyle w:val="BodyText"/>
        <w:spacing w:line="477" w:lineRule="auto" w:before="74"/>
        <w:ind w:right="1115"/>
        <w:jc w:val="left"/>
      </w:pPr>
      <w:r>
        <w:rPr>
          <w:spacing w:val="-2"/>
        </w:rPr>
        <w:t>算的净资产份额之间的差额，调整合并资产负债表中的资本公积中的股本溢价，资本公积中的股本溢价不足冲减的，调整留</w:t>
      </w:r>
      <w:r>
        <w:rPr>
          <w:spacing w:val="-66"/>
        </w:rPr>
        <w:t> </w:t>
      </w:r>
      <w:r>
        <w:rPr>
          <w:spacing w:val="-66"/>
        </w:rPr>
      </w:r>
      <w:r>
        <w:rPr/>
        <w:t>存收益。</w:t>
      </w:r>
    </w:p>
    <w:p>
      <w:pPr>
        <w:pStyle w:val="BodyText"/>
        <w:spacing w:line="451" w:lineRule="auto" w:before="54"/>
        <w:ind w:left="604" w:right="1122" w:hanging="90"/>
        <w:jc w:val="left"/>
      </w:pPr>
      <w:r>
        <w:rPr/>
        <w:t>（</w:t>
      </w:r>
      <w:r>
        <w:rPr>
          <w:rFonts w:ascii="Times New Roman" w:hAnsi="Times New Roman" w:cs="Times New Roman" w:eastAsia="Times New Roman" w:hint="default"/>
        </w:rPr>
        <w:t>4</w:t>
      </w:r>
      <w:r>
        <w:rPr/>
        <w:t>）不丧失控制权的情况下部分处置对子公司的股权投资 在不丧失控制权的情况下因部分处置对子公司的长期股权投资而取得的处置价款与处置长期股权投资相对应享有子公</w:t>
      </w:r>
    </w:p>
    <w:p>
      <w:pPr>
        <w:pStyle w:val="BodyText"/>
        <w:spacing w:line="477" w:lineRule="auto" w:before="74"/>
        <w:ind w:right="0"/>
        <w:jc w:val="left"/>
      </w:pPr>
      <w:r>
        <w:rPr>
          <w:spacing w:val="-2"/>
        </w:rPr>
        <w:t>司自购买日或合并日开始持续计算的净资产份额之间的差额，调整合并资产负债表中的资本公积中的股本溢价，资本公积中</w:t>
      </w:r>
      <w:r>
        <w:rPr>
          <w:spacing w:val="-64"/>
        </w:rPr>
        <w:t> </w:t>
      </w:r>
      <w:r>
        <w:rPr>
          <w:spacing w:val="-64"/>
        </w:rPr>
      </w:r>
      <w:r>
        <w:rPr/>
        <w:t>的股本溢价不足冲减的，调整留存收益。</w:t>
      </w:r>
    </w:p>
    <w:p>
      <w:pPr>
        <w:spacing w:after="0" w:line="477" w:lineRule="auto"/>
        <w:jc w:val="left"/>
        <w:sectPr>
          <w:pgSz w:w="11910" w:h="16840"/>
          <w:pgMar w:header="851" w:footer="979" w:top="1400" w:bottom="1160" w:left="980" w:right="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6"/>
          <w:szCs w:val="26"/>
        </w:rPr>
      </w:pPr>
    </w:p>
    <w:p>
      <w:pPr>
        <w:pStyle w:val="Heading3"/>
        <w:spacing w:line="240" w:lineRule="auto" w:before="35"/>
        <w:ind w:right="0"/>
        <w:jc w:val="left"/>
        <w:rPr>
          <w:b w:val="0"/>
          <w:bCs w:val="0"/>
        </w:rPr>
      </w:pPr>
      <w:bookmarkStart w:name="7、合营安排分类及共同经营会计处理方法" w:id="184"/>
      <w:bookmarkEnd w:id="184"/>
      <w:r>
        <w:rPr>
          <w:b w:val="0"/>
          <w:bCs w:val="0"/>
        </w:rPr>
      </w:r>
      <w:r>
        <w:rPr>
          <w:rFonts w:ascii="Times New Roman" w:hAnsi="Times New Roman" w:cs="Times New Roman" w:eastAsia="Times New Roman" w:hint="default"/>
        </w:rPr>
        <w:t>7</w:t>
      </w:r>
      <w:r>
        <w:rPr/>
        <w:t>、合营安排分类及共同经营会计处理方法</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left="514" w:right="2472"/>
        <w:jc w:val="left"/>
      </w:pPr>
      <w:r>
        <w:rPr/>
        <w:t>合营安排分为共同经营和合营企业。 当本公司是合营安排的合营方，享有该安排相关资产且承担该安排相关负债时，为共同经营。 本公司确认与共同经营中利益份额相关的下列项目，并按照相关企业会计准则的规定进行会计处理：</w:t>
      </w:r>
    </w:p>
    <w:p>
      <w:pPr>
        <w:pStyle w:val="BodyText"/>
        <w:spacing w:line="240" w:lineRule="auto" w:before="54"/>
        <w:ind w:left="514" w:right="0"/>
        <w:jc w:val="left"/>
      </w:pPr>
      <w:r>
        <w:rPr/>
        <w:t>（</w:t>
      </w:r>
      <w:r>
        <w:rPr>
          <w:rFonts w:ascii="Times New Roman" w:hAnsi="Times New Roman" w:cs="Times New Roman" w:eastAsia="Times New Roman" w:hint="default"/>
        </w:rPr>
        <w:t>1</w:t>
      </w:r>
      <w:r>
        <w:rPr/>
        <w:t>）确认本公司单独所持有的资产，以及按本公司份额确认共同持有的资产；</w:t>
      </w:r>
    </w:p>
    <w:p>
      <w:pPr>
        <w:spacing w:line="240" w:lineRule="auto" w:before="9"/>
        <w:rPr>
          <w:rFonts w:ascii="宋体" w:hAnsi="宋体" w:cs="宋体" w:eastAsia="宋体" w:hint="default"/>
          <w:sz w:val="16"/>
          <w:szCs w:val="16"/>
        </w:rPr>
      </w:pPr>
    </w:p>
    <w:p>
      <w:pPr>
        <w:pStyle w:val="BodyText"/>
        <w:spacing w:line="240" w:lineRule="auto"/>
        <w:ind w:left="514" w:right="0"/>
        <w:jc w:val="left"/>
      </w:pPr>
      <w:r>
        <w:rPr/>
        <w:t>（</w:t>
      </w:r>
      <w:r>
        <w:rPr>
          <w:rFonts w:ascii="Times New Roman" w:hAnsi="Times New Roman" w:cs="Times New Roman" w:eastAsia="Times New Roman" w:hint="default"/>
        </w:rPr>
        <w:t>2</w:t>
      </w:r>
      <w:r>
        <w:rPr/>
        <w:t>）确认本公司单独所承担的负债，以及按本公司份额确认共同承担的负债；</w:t>
      </w:r>
    </w:p>
    <w:p>
      <w:pPr>
        <w:spacing w:line="240" w:lineRule="auto" w:before="9"/>
        <w:rPr>
          <w:rFonts w:ascii="宋体" w:hAnsi="宋体" w:cs="宋体" w:eastAsia="宋体" w:hint="default"/>
          <w:sz w:val="16"/>
          <w:szCs w:val="16"/>
        </w:rPr>
      </w:pPr>
    </w:p>
    <w:p>
      <w:pPr>
        <w:pStyle w:val="BodyText"/>
        <w:spacing w:line="240" w:lineRule="auto"/>
        <w:ind w:left="514" w:right="0"/>
        <w:jc w:val="left"/>
      </w:pPr>
      <w:r>
        <w:rPr/>
        <w:t>（</w:t>
      </w:r>
      <w:r>
        <w:rPr>
          <w:rFonts w:ascii="Times New Roman" w:hAnsi="Times New Roman" w:cs="Times New Roman" w:eastAsia="Times New Roman" w:hint="default"/>
        </w:rPr>
        <w:t>3</w:t>
      </w:r>
      <w:r>
        <w:rPr/>
        <w:t>）确认出售本公司享有的共同经营产出份额所产生的收入；</w:t>
      </w:r>
    </w:p>
    <w:p>
      <w:pPr>
        <w:spacing w:line="240" w:lineRule="auto" w:before="9"/>
        <w:rPr>
          <w:rFonts w:ascii="宋体" w:hAnsi="宋体" w:cs="宋体" w:eastAsia="宋体" w:hint="default"/>
          <w:sz w:val="16"/>
          <w:szCs w:val="16"/>
        </w:rPr>
      </w:pPr>
    </w:p>
    <w:p>
      <w:pPr>
        <w:pStyle w:val="BodyText"/>
        <w:spacing w:line="240" w:lineRule="auto"/>
        <w:ind w:left="514" w:right="0"/>
        <w:jc w:val="left"/>
      </w:pPr>
      <w:r>
        <w:rPr/>
        <w:t>（</w:t>
      </w:r>
      <w:r>
        <w:rPr>
          <w:rFonts w:ascii="Times New Roman" w:hAnsi="Times New Roman" w:cs="Times New Roman" w:eastAsia="Times New Roman" w:hint="default"/>
        </w:rPr>
        <w:t>4</w:t>
      </w:r>
      <w:r>
        <w:rPr/>
        <w:t>）按本公司份额确认共同经营因出售产出所产生的收入；</w:t>
      </w:r>
    </w:p>
    <w:p>
      <w:pPr>
        <w:spacing w:line="240" w:lineRule="auto" w:before="9"/>
        <w:rPr>
          <w:rFonts w:ascii="宋体" w:hAnsi="宋体" w:cs="宋体" w:eastAsia="宋体" w:hint="default"/>
          <w:sz w:val="16"/>
          <w:szCs w:val="16"/>
        </w:rPr>
      </w:pPr>
    </w:p>
    <w:p>
      <w:pPr>
        <w:pStyle w:val="BodyText"/>
        <w:spacing w:line="451" w:lineRule="auto"/>
        <w:ind w:left="514" w:right="4362"/>
        <w:jc w:val="left"/>
      </w:pPr>
      <w:r>
        <w:rPr/>
        <w:t>（</w:t>
      </w:r>
      <w:r>
        <w:rPr>
          <w:rFonts w:ascii="Times New Roman" w:hAnsi="Times New Roman" w:cs="Times New Roman" w:eastAsia="Times New Roman" w:hint="default"/>
        </w:rPr>
        <w:t>5</w:t>
      </w:r>
      <w:r>
        <w:rPr/>
        <w:t>）确认单独所发生的费用，以及按本公司份额确认共同经营发生的费用。 本公司对合营企业投资的会计政策见本附注</w:t>
      </w:r>
      <w:r>
        <w:rPr>
          <w:rFonts w:ascii="Times New Roman" w:hAnsi="Times New Roman" w:cs="Times New Roman" w:eastAsia="Times New Roman" w:hint="default"/>
        </w:rPr>
        <w:t>“</w:t>
      </w:r>
      <w:r>
        <w:rPr/>
        <w:t>七、（十四）长期股权投资</w:t>
      </w:r>
      <w:r>
        <w:rPr>
          <w:rFonts w:ascii="Times New Roman" w:hAnsi="Times New Roman" w:cs="Times New Roman" w:eastAsia="Times New Roman" w:hint="default"/>
        </w:rPr>
        <w:t>”</w:t>
      </w:r>
      <w:r>
        <w:rPr/>
        <w:t>。</w:t>
      </w:r>
    </w:p>
    <w:p>
      <w:pPr>
        <w:spacing w:line="240" w:lineRule="auto" w:before="6"/>
        <w:rPr>
          <w:rFonts w:ascii="宋体" w:hAnsi="宋体" w:cs="宋体" w:eastAsia="宋体" w:hint="default"/>
          <w:sz w:val="18"/>
          <w:szCs w:val="18"/>
        </w:rPr>
      </w:pPr>
    </w:p>
    <w:p>
      <w:pPr>
        <w:pStyle w:val="Heading3"/>
        <w:spacing w:line="240" w:lineRule="auto"/>
        <w:ind w:right="0"/>
        <w:jc w:val="left"/>
        <w:rPr>
          <w:b w:val="0"/>
          <w:bCs w:val="0"/>
        </w:rPr>
      </w:pPr>
      <w:bookmarkStart w:name="8、现金及现金等价物的确定标准" w:id="185"/>
      <w:bookmarkEnd w:id="185"/>
      <w:r>
        <w:rPr>
          <w:b w:val="0"/>
          <w:bCs w:val="0"/>
        </w:rPr>
      </w:r>
      <w:r>
        <w:rPr>
          <w:rFonts w:ascii="Times New Roman" w:hAnsi="Times New Roman" w:cs="Times New Roman" w:eastAsia="Times New Roman" w:hint="default"/>
        </w:rPr>
        <w:t>8</w:t>
      </w:r>
      <w:r>
        <w:rPr/>
        <w:t>、现金及现金等价物的确定标准</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0" w:firstLine="360"/>
        <w:jc w:val="left"/>
      </w:pPr>
      <w:r>
        <w:rPr>
          <w:spacing w:val="-2"/>
        </w:rPr>
        <w:t>在编制现金流量表时，将本公司库存现金以及可以随时用于支付的存款确认为现金。将同时具备期限短（从购买日起三</w:t>
      </w:r>
      <w:r>
        <w:rPr/>
        <w:t> 个月内到期）、流动性强、易于转换为已知现金、价值变动风险很小四个条件的投资，确定为现金等价物。</w:t>
      </w:r>
    </w:p>
    <w:p>
      <w:pPr>
        <w:spacing w:line="240" w:lineRule="auto" w:before="3"/>
        <w:rPr>
          <w:rFonts w:ascii="宋体" w:hAnsi="宋体" w:cs="宋体" w:eastAsia="宋体" w:hint="default"/>
          <w:sz w:val="19"/>
          <w:szCs w:val="19"/>
        </w:rPr>
      </w:pPr>
    </w:p>
    <w:p>
      <w:pPr>
        <w:pStyle w:val="Heading3"/>
        <w:spacing w:line="240" w:lineRule="auto"/>
        <w:ind w:right="0"/>
        <w:jc w:val="left"/>
        <w:rPr>
          <w:b w:val="0"/>
          <w:bCs w:val="0"/>
        </w:rPr>
      </w:pPr>
      <w:bookmarkStart w:name="9、外币业务和外币报表折算" w:id="186"/>
      <w:bookmarkEnd w:id="186"/>
      <w:r>
        <w:rPr>
          <w:b w:val="0"/>
          <w:bCs w:val="0"/>
        </w:rPr>
      </w:r>
      <w:r>
        <w:rPr>
          <w:rFonts w:ascii="Times New Roman" w:hAnsi="Times New Roman" w:cs="Times New Roman" w:eastAsia="Times New Roman" w:hint="default"/>
        </w:rPr>
        <w:t>9</w:t>
      </w:r>
      <w:r>
        <w:rPr/>
        <w:t>、外币业务和外币报表折算</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left="514" w:right="3912" w:firstLine="1"/>
        <w:jc w:val="left"/>
      </w:pPr>
      <w:r>
        <w:rPr>
          <w:rFonts w:ascii="宋体" w:hAnsi="宋体" w:cs="宋体" w:eastAsia="宋体" w:hint="default"/>
          <w:b/>
          <w:bCs/>
        </w:rPr>
        <w:t>1.</w:t>
      </w:r>
      <w:r>
        <w:rPr>
          <w:rFonts w:ascii="宋体" w:hAnsi="宋体" w:cs="宋体" w:eastAsia="宋体" w:hint="default"/>
          <w:b/>
          <w:bCs/>
        </w:rPr>
        <w:t>外币业务</w:t>
      </w:r>
      <w:r>
        <w:rPr>
          <w:rFonts w:ascii="宋体" w:hAnsi="宋体" w:cs="宋体" w:eastAsia="宋体" w:hint="default"/>
          <w:b/>
          <w:bCs/>
          <w:w w:val="99"/>
        </w:rPr>
        <w:t> </w:t>
      </w:r>
      <w:r>
        <w:rPr/>
        <w:t>外币业务采用交易发生日的即期汇率作为折算汇率将外币金额折合成人民币记账。</w:t>
      </w:r>
    </w:p>
    <w:p>
      <w:pPr>
        <w:pStyle w:val="BodyText"/>
        <w:spacing w:line="477" w:lineRule="auto" w:before="54"/>
        <w:ind w:right="0" w:firstLine="360"/>
        <w:jc w:val="left"/>
      </w:pPr>
      <w:r>
        <w:rPr>
          <w:spacing w:val="-2"/>
        </w:rPr>
        <w:t>资产负债表日外币货币性项目余额按资产负债表日即期汇率折算，由此产生的汇兑差额，除属于与购建符合资本化条件</w:t>
      </w:r>
      <w:r>
        <w:rPr/>
        <w:t> 的资产相关的外币专门借款产生的汇兑差额按照借款费用资本化的原则处理外，均计入当期损益。</w:t>
      </w:r>
    </w:p>
    <w:p>
      <w:pPr>
        <w:pStyle w:val="BodyText"/>
        <w:spacing w:line="477" w:lineRule="auto" w:before="54"/>
        <w:ind w:left="514" w:right="0" w:firstLine="1"/>
        <w:jc w:val="left"/>
      </w:pPr>
      <w:r>
        <w:rPr>
          <w:rFonts w:ascii="宋体" w:hAnsi="宋体" w:cs="宋体" w:eastAsia="宋体" w:hint="default"/>
          <w:b/>
          <w:bCs/>
        </w:rPr>
        <w:t>2.</w:t>
      </w:r>
      <w:r>
        <w:rPr>
          <w:rFonts w:ascii="宋体" w:hAnsi="宋体" w:cs="宋体" w:eastAsia="宋体" w:hint="default"/>
          <w:b/>
          <w:bCs/>
        </w:rPr>
        <w:t>外币财务报表的折算</w:t>
      </w:r>
      <w:r>
        <w:rPr>
          <w:rFonts w:ascii="宋体" w:hAnsi="宋体" w:cs="宋体" w:eastAsia="宋体" w:hint="default"/>
          <w:b/>
          <w:bCs/>
          <w:w w:val="99"/>
        </w:rPr>
        <w:t> </w:t>
      </w:r>
      <w:r>
        <w:rPr>
          <w:spacing w:val="-2"/>
        </w:rPr>
        <w:t>资产负债表中的资产和负债项目，采用资产负债表日的即期汇率折算；所有者权益项目除</w:t>
      </w:r>
      <w:r>
        <w:rPr>
          <w:rFonts w:ascii="Times New Roman" w:hAnsi="Times New Roman" w:cs="Times New Roman" w:eastAsia="Times New Roman" w:hint="default"/>
          <w:spacing w:val="-2"/>
        </w:rPr>
        <w:t>“</w:t>
      </w:r>
      <w:r>
        <w:rPr>
          <w:spacing w:val="-2"/>
        </w:rPr>
        <w:t>未分配利润</w:t>
      </w:r>
      <w:r>
        <w:rPr>
          <w:rFonts w:ascii="Times New Roman" w:hAnsi="Times New Roman" w:cs="Times New Roman" w:eastAsia="Times New Roman" w:hint="default"/>
          <w:spacing w:val="-2"/>
        </w:rPr>
        <w:t>”</w:t>
      </w:r>
      <w:r>
        <w:rPr>
          <w:spacing w:val="-2"/>
        </w:rPr>
        <w:t>项目外，其他项</w:t>
      </w:r>
    </w:p>
    <w:p>
      <w:pPr>
        <w:pStyle w:val="BodyText"/>
        <w:spacing w:line="477" w:lineRule="auto" w:before="21"/>
        <w:ind w:right="1115"/>
        <w:jc w:val="left"/>
      </w:pPr>
      <w:r>
        <w:rPr>
          <w:spacing w:val="-2"/>
        </w:rPr>
        <w:t>目采用发生时的即期汇率折算。利润表中的收入和费用项目，采用交易发生日即期汇率近似的汇率（一般采用报告期平均汇</w:t>
      </w:r>
      <w:r>
        <w:rPr>
          <w:spacing w:val="-66"/>
        </w:rPr>
        <w:t> </w:t>
      </w:r>
      <w:r>
        <w:rPr>
          <w:spacing w:val="-66"/>
        </w:rPr>
      </w:r>
      <w:r>
        <w:rPr/>
        <w:t>率）折算。</w:t>
      </w:r>
    </w:p>
    <w:p>
      <w:pPr>
        <w:pStyle w:val="BodyText"/>
        <w:spacing w:line="240" w:lineRule="auto" w:before="54"/>
        <w:ind w:left="514" w:right="0"/>
        <w:jc w:val="left"/>
      </w:pPr>
      <w:r>
        <w:rPr/>
        <w:t>处置境外经营时，将与该境外经营相关的外币财务报表折算差额，自所有者权益项目转入处置当期损益。</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3"/>
        <w:spacing w:line="240" w:lineRule="auto"/>
        <w:ind w:right="0"/>
        <w:jc w:val="left"/>
        <w:rPr>
          <w:b w:val="0"/>
          <w:bCs w:val="0"/>
        </w:rPr>
      </w:pPr>
      <w:bookmarkStart w:name="10、金融工具" w:id="187"/>
      <w:bookmarkEnd w:id="187"/>
      <w:r>
        <w:rPr>
          <w:b w:val="0"/>
          <w:bCs w:val="0"/>
        </w:rPr>
      </w:r>
      <w:r>
        <w:rPr>
          <w:rFonts w:ascii="Times New Roman" w:hAnsi="Times New Roman" w:cs="Times New Roman" w:eastAsia="Times New Roman" w:hint="default"/>
        </w:rPr>
        <w:t>10</w:t>
      </w:r>
      <w:r>
        <w:rPr/>
        <w:t>、金融工具</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514" w:right="0"/>
        <w:jc w:val="left"/>
      </w:pPr>
      <w:r>
        <w:rPr/>
        <w:t>金融工具包括金融资产、金融负债和权益工具。</w:t>
      </w:r>
    </w:p>
    <w:p>
      <w:pPr>
        <w:spacing w:after="0" w:line="240" w:lineRule="auto"/>
        <w:jc w:val="left"/>
        <w:sectPr>
          <w:pgSz w:w="11910" w:h="16840"/>
          <w:pgMar w:header="851" w:footer="979" w:top="1400" w:bottom="1160" w:left="980" w:right="0"/>
        </w:sectPr>
      </w:pPr>
    </w:p>
    <w:p>
      <w:pPr>
        <w:pStyle w:val="BodyText"/>
        <w:spacing w:line="477" w:lineRule="auto" w:before="140"/>
        <w:ind w:left="514" w:right="0" w:firstLine="1"/>
        <w:jc w:val="left"/>
      </w:pPr>
      <w:r>
        <w:rPr>
          <w:rFonts w:ascii="宋体" w:hAnsi="宋体" w:cs="宋体" w:eastAsia="宋体" w:hint="default"/>
          <w:b/>
          <w:bCs/>
        </w:rPr>
        <w:t>1.</w:t>
      </w:r>
      <w:r>
        <w:rPr>
          <w:rFonts w:ascii="宋体" w:hAnsi="宋体" w:cs="宋体" w:eastAsia="宋体" w:hint="default"/>
          <w:b/>
          <w:bCs/>
        </w:rPr>
        <w:t>金融工具的分类</w:t>
      </w:r>
      <w:r>
        <w:rPr>
          <w:rFonts w:ascii="宋体" w:hAnsi="宋体" w:cs="宋体" w:eastAsia="宋体" w:hint="default"/>
          <w:b/>
          <w:bCs/>
          <w:w w:val="99"/>
        </w:rPr>
        <w:t> </w:t>
      </w:r>
      <w:r>
        <w:rPr>
          <w:spacing w:val="-2"/>
        </w:rPr>
        <w:t>金融资产和金融负债于初始确认时分类为：以公允价值计量且其变动计入当期损益的金融资产或金融负债，包括交易性</w:t>
      </w:r>
    </w:p>
    <w:p>
      <w:pPr>
        <w:pStyle w:val="BodyText"/>
        <w:spacing w:line="477" w:lineRule="auto" w:before="54"/>
        <w:ind w:right="0"/>
        <w:jc w:val="left"/>
      </w:pPr>
      <w:r>
        <w:rPr>
          <w:spacing w:val="-2"/>
        </w:rPr>
        <w:t>金融资产或金融负债和直接指定为以公允价值计量且其变动计入当期损益的金融资产或金融负债；持有至到期投资；应收款</w:t>
      </w:r>
      <w:r>
        <w:rPr>
          <w:spacing w:val="-64"/>
        </w:rPr>
        <w:t> </w:t>
      </w:r>
      <w:r>
        <w:rPr>
          <w:spacing w:val="-64"/>
        </w:rPr>
      </w:r>
      <w:r>
        <w:rPr/>
        <w:t>项；可供出售金融资产；其他金融负债等。</w:t>
      </w:r>
    </w:p>
    <w:p>
      <w:pPr>
        <w:pStyle w:val="Heading5"/>
        <w:spacing w:line="240" w:lineRule="auto" w:before="54"/>
        <w:ind w:left="515" w:right="0"/>
        <w:jc w:val="left"/>
        <w:rPr>
          <w:b w:val="0"/>
          <w:bCs w:val="0"/>
        </w:rPr>
      </w:pPr>
      <w:r>
        <w:rPr>
          <w:rFonts w:ascii="宋体" w:hAnsi="宋体" w:cs="宋体" w:eastAsia="宋体" w:hint="default"/>
        </w:rPr>
        <w:t>2.</w:t>
      </w:r>
      <w:r>
        <w:rPr/>
        <w:t>金融工具的确认依据和计量方法</w:t>
      </w:r>
      <w:r>
        <w:rPr>
          <w:b w:val="0"/>
          <w:bCs w:val="0"/>
        </w:rPr>
      </w:r>
    </w:p>
    <w:p>
      <w:pPr>
        <w:spacing w:line="240" w:lineRule="auto" w:before="10"/>
        <w:rPr>
          <w:rFonts w:ascii="宋体" w:hAnsi="宋体" w:cs="宋体" w:eastAsia="宋体" w:hint="default"/>
          <w:b/>
          <w:bCs/>
          <w:sz w:val="17"/>
          <w:szCs w:val="17"/>
        </w:rPr>
      </w:pPr>
    </w:p>
    <w:p>
      <w:pPr>
        <w:pStyle w:val="BodyText"/>
        <w:spacing w:line="451" w:lineRule="auto"/>
        <w:ind w:left="514" w:right="0"/>
        <w:jc w:val="left"/>
      </w:pPr>
      <w:r>
        <w:rPr/>
        <w:t>（</w:t>
      </w:r>
      <w:r>
        <w:rPr>
          <w:rFonts w:ascii="Times New Roman" w:hAnsi="Times New Roman" w:cs="Times New Roman" w:eastAsia="Times New Roman" w:hint="default"/>
        </w:rPr>
        <w:t>1</w:t>
      </w:r>
      <w:r>
        <w:rPr/>
        <w:t>）以公允价值计量且其变动计入当期损益的金融资产（金融负债） </w:t>
      </w:r>
      <w:r>
        <w:rPr>
          <w:spacing w:val="-2"/>
        </w:rPr>
        <w:t>取得时以公允价值（扣除已宣告但尚未发放的现金股利或已到付息期但尚未领取的债券利息）作为初始确认金额，相关</w:t>
      </w:r>
    </w:p>
    <w:p>
      <w:pPr>
        <w:pStyle w:val="BodyText"/>
        <w:spacing w:line="477" w:lineRule="auto" w:before="74"/>
        <w:ind w:left="514" w:right="2832" w:hanging="360"/>
        <w:jc w:val="left"/>
      </w:pPr>
      <w:r>
        <w:rPr/>
        <w:t>的交易费用计入当期损益。 持有期间将取得的利息或现金股利确认为投资收益，期末将公允价值变动计入当期损益。 处置时，其公允价值与初始入账金额之间的差额确认为投资收益，同时调整公允价值变动损益。</w:t>
      </w:r>
    </w:p>
    <w:p>
      <w:pPr>
        <w:pStyle w:val="BodyText"/>
        <w:spacing w:line="463" w:lineRule="auto" w:before="54"/>
        <w:ind w:left="514" w:right="1115"/>
        <w:jc w:val="left"/>
      </w:pPr>
      <w:r>
        <w:rPr/>
        <w:t>（</w:t>
      </w:r>
      <w:r>
        <w:rPr>
          <w:rFonts w:ascii="Times New Roman" w:hAnsi="Times New Roman" w:cs="Times New Roman" w:eastAsia="Times New Roman" w:hint="default"/>
        </w:rPr>
        <w:t>2</w:t>
      </w:r>
      <w:r>
        <w:rPr/>
        <w:t>）持有至到期投资 取得时按公允价值（扣除已到付息期但尚未领取的债券利息）和相关交易费用之和作为初始确认金额。 </w:t>
      </w:r>
      <w:r>
        <w:rPr>
          <w:spacing w:val="-2"/>
        </w:rPr>
        <w:t>持有期间按照摊余成本和实际利率计算确认利息收入，计入投资收益。实际利率在取得时确定，在该预期存续期间或适</w:t>
      </w:r>
    </w:p>
    <w:p>
      <w:pPr>
        <w:pStyle w:val="BodyText"/>
        <w:spacing w:line="477" w:lineRule="auto" w:before="65"/>
        <w:ind w:left="514" w:right="4992" w:hanging="360"/>
        <w:jc w:val="left"/>
      </w:pPr>
      <w:r>
        <w:rPr/>
        <w:t>用的更短期间内保持不变。 处置时，将所取得价款与该投资账面价值之间的差额计入投资收益。</w:t>
      </w:r>
    </w:p>
    <w:p>
      <w:pPr>
        <w:pStyle w:val="BodyText"/>
        <w:spacing w:line="451" w:lineRule="auto" w:before="54"/>
        <w:ind w:left="514" w:right="1115"/>
        <w:jc w:val="left"/>
      </w:pPr>
      <w:r>
        <w:rPr/>
        <w:t>（</w:t>
      </w:r>
      <w:r>
        <w:rPr>
          <w:rFonts w:ascii="Times New Roman" w:hAnsi="Times New Roman" w:cs="Times New Roman" w:eastAsia="Times New Roman" w:hint="default"/>
        </w:rPr>
        <w:t>3</w:t>
      </w:r>
      <w:r>
        <w:rPr/>
        <w:t>）应收款项 </w:t>
      </w:r>
      <w:r>
        <w:rPr>
          <w:spacing w:val="-2"/>
        </w:rPr>
        <w:t>公司对外销售商品或提供劳务形成的应收债权，以及公司持有的其他企业的不包括在活跃市场上有报价的债务工具的债</w:t>
      </w:r>
    </w:p>
    <w:p>
      <w:pPr>
        <w:pStyle w:val="BodyText"/>
        <w:spacing w:line="477" w:lineRule="auto" w:before="74"/>
        <w:ind w:right="1115"/>
        <w:jc w:val="left"/>
      </w:pPr>
      <w:r>
        <w:rPr>
          <w:spacing w:val="-2"/>
        </w:rPr>
        <w:t>权，包括应收账款、其他应收款等，以向购货方应收的合同或协议价款作为初始确认金额；具有融资性质的，按其现值进行</w:t>
      </w:r>
      <w:r>
        <w:rPr>
          <w:spacing w:val="-66"/>
        </w:rPr>
        <w:t> </w:t>
      </w:r>
      <w:r>
        <w:rPr>
          <w:spacing w:val="-66"/>
        </w:rPr>
      </w:r>
      <w:r>
        <w:rPr/>
        <w:t>初始确认。</w:t>
      </w:r>
    </w:p>
    <w:p>
      <w:pPr>
        <w:pStyle w:val="BodyText"/>
        <w:spacing w:line="240" w:lineRule="auto" w:before="54"/>
        <w:ind w:left="514" w:right="0"/>
        <w:jc w:val="left"/>
      </w:pPr>
      <w:r>
        <w:rPr/>
        <w:t>收回或处置时，将取得的价款与该应收款项账面价值之间的差额计入当期损益。</w:t>
      </w:r>
    </w:p>
    <w:p>
      <w:pPr>
        <w:spacing w:line="240" w:lineRule="auto" w:before="10"/>
        <w:rPr>
          <w:rFonts w:ascii="宋体" w:hAnsi="宋体" w:cs="宋体" w:eastAsia="宋体" w:hint="default"/>
          <w:sz w:val="17"/>
          <w:szCs w:val="17"/>
        </w:rPr>
      </w:pPr>
    </w:p>
    <w:p>
      <w:pPr>
        <w:pStyle w:val="BodyText"/>
        <w:spacing w:line="451" w:lineRule="auto"/>
        <w:ind w:left="514" w:right="0"/>
        <w:jc w:val="left"/>
      </w:pPr>
      <w:r>
        <w:rPr/>
        <w:t>（</w:t>
      </w:r>
      <w:r>
        <w:rPr>
          <w:rFonts w:ascii="Times New Roman" w:hAnsi="Times New Roman" w:cs="Times New Roman" w:eastAsia="Times New Roman" w:hint="default"/>
        </w:rPr>
        <w:t>4</w:t>
      </w:r>
      <w:r>
        <w:rPr/>
        <w:t>）可供出售金融资产 </w:t>
      </w:r>
      <w:r>
        <w:rPr>
          <w:spacing w:val="-2"/>
        </w:rPr>
        <w:t>取得时按公允价值（扣除已宣告但尚未发放的现金股利或已到付息期但尚未领取的债券利息）和相关交易费用之和作为</w:t>
      </w:r>
    </w:p>
    <w:p>
      <w:pPr>
        <w:pStyle w:val="BodyText"/>
        <w:spacing w:line="477" w:lineRule="auto" w:before="74"/>
        <w:ind w:left="514" w:right="1032" w:hanging="360"/>
        <w:jc w:val="left"/>
      </w:pPr>
      <w:r>
        <w:rPr/>
        <w:t>初始确认金额。 持有期间将取得的利息或现金股利确认为投资收益。期末以公允价值计量且将公允价值变动计入其他综合收益。但是，</w:t>
      </w:r>
    </w:p>
    <w:p>
      <w:pPr>
        <w:pStyle w:val="BodyText"/>
        <w:spacing w:line="477" w:lineRule="auto" w:before="54"/>
        <w:ind w:right="0"/>
        <w:jc w:val="left"/>
      </w:pPr>
      <w:r>
        <w:rPr>
          <w:spacing w:val="-2"/>
        </w:rPr>
        <w:t>在活跃市场中没有报价且其公允价值不能可靠计量的权益工具投资，以及与该权益工具挂钩并须通过交付该权益工具结算的</w:t>
      </w:r>
      <w:r>
        <w:rPr>
          <w:spacing w:val="-64"/>
        </w:rPr>
        <w:t> </w:t>
      </w:r>
      <w:r>
        <w:rPr>
          <w:spacing w:val="-64"/>
        </w:rPr>
      </w:r>
      <w:r>
        <w:rPr/>
        <w:t>衍生金融资产，按照成本计量。</w:t>
      </w:r>
    </w:p>
    <w:p>
      <w:pPr>
        <w:pStyle w:val="BodyText"/>
        <w:spacing w:line="477" w:lineRule="auto" w:before="54"/>
        <w:ind w:right="0" w:firstLine="360"/>
        <w:jc w:val="left"/>
      </w:pPr>
      <w:r>
        <w:rPr>
          <w:spacing w:val="-2"/>
        </w:rPr>
        <w:t>处置时，将取得的价款与该金融资产账面价值之间的差额，计入投资损益；同时，将原直接计入其他综合收益的公允价</w:t>
      </w:r>
      <w:r>
        <w:rPr/>
        <w:t> 值变动累计额对应处置部分的金额转出，计入当期损益。</w:t>
      </w:r>
    </w:p>
    <w:p>
      <w:pPr>
        <w:pStyle w:val="BodyText"/>
        <w:spacing w:line="451" w:lineRule="auto" w:before="54"/>
        <w:ind w:left="514" w:right="3732"/>
        <w:jc w:val="left"/>
      </w:pPr>
      <w:r>
        <w:rPr/>
        <w:t>（</w:t>
      </w:r>
      <w:r>
        <w:rPr>
          <w:rFonts w:ascii="Times New Roman" w:hAnsi="Times New Roman" w:cs="Times New Roman" w:eastAsia="Times New Roman" w:hint="default"/>
        </w:rPr>
        <w:t>5</w:t>
      </w:r>
      <w:r>
        <w:rPr/>
        <w:t>）其他金融负债 按其公允价值和相关交易费用之和作为初始确认金额。采用摊余成本进行后续计量。</w:t>
      </w:r>
    </w:p>
    <w:p>
      <w:pPr>
        <w:spacing w:after="0" w:line="451" w:lineRule="auto"/>
        <w:jc w:val="left"/>
        <w:sectPr>
          <w:pgSz w:w="11910" w:h="16840"/>
          <w:pgMar w:header="851" w:footer="979" w:top="1400" w:bottom="1160" w:left="980" w:right="0"/>
        </w:sectPr>
      </w:pPr>
    </w:p>
    <w:p>
      <w:pPr>
        <w:spacing w:line="477" w:lineRule="auto" w:before="140"/>
        <w:ind w:left="514" w:right="0" w:firstLine="1"/>
        <w:jc w:val="left"/>
        <w:rPr>
          <w:rFonts w:ascii="宋体" w:hAnsi="宋体" w:cs="宋体" w:eastAsia="宋体" w:hint="default"/>
          <w:sz w:val="18"/>
          <w:szCs w:val="18"/>
        </w:rPr>
      </w:pPr>
      <w:r>
        <w:rPr>
          <w:rFonts w:ascii="宋体" w:hAnsi="宋体" w:cs="宋体" w:eastAsia="宋体" w:hint="default"/>
          <w:b/>
          <w:bCs/>
          <w:sz w:val="18"/>
          <w:szCs w:val="18"/>
        </w:rPr>
        <w:t>3.</w:t>
      </w:r>
      <w:r>
        <w:rPr>
          <w:rFonts w:ascii="宋体" w:hAnsi="宋体" w:cs="宋体" w:eastAsia="宋体" w:hint="default"/>
          <w:b/>
          <w:bCs/>
          <w:sz w:val="18"/>
          <w:szCs w:val="18"/>
        </w:rPr>
        <w:t>金融资产转移的确认依据和计量方法</w:t>
      </w:r>
      <w:r>
        <w:rPr>
          <w:rFonts w:ascii="宋体" w:hAnsi="宋体" w:cs="宋体" w:eastAsia="宋体" w:hint="default"/>
          <w:b/>
          <w:bCs/>
          <w:w w:val="99"/>
          <w:sz w:val="18"/>
          <w:szCs w:val="18"/>
        </w:rPr>
        <w:t> </w:t>
      </w:r>
      <w:r>
        <w:rPr>
          <w:rFonts w:ascii="宋体" w:hAnsi="宋体" w:cs="宋体" w:eastAsia="宋体" w:hint="default"/>
          <w:spacing w:val="-2"/>
          <w:sz w:val="18"/>
          <w:szCs w:val="18"/>
        </w:rPr>
        <w:t>公司发生金融资产转移时，如已将金融资产所有权上几乎所有的风险和报酬转移给转入方，则终止确认该金融资产；如</w:t>
      </w:r>
    </w:p>
    <w:p>
      <w:pPr>
        <w:pStyle w:val="BodyText"/>
        <w:spacing w:line="477" w:lineRule="auto" w:before="54"/>
        <w:ind w:left="514" w:right="0" w:hanging="360"/>
        <w:jc w:val="left"/>
      </w:pPr>
      <w:r>
        <w:rPr/>
        <w:t>保留了金融资产所有权上几乎所有的风险和报酬的，则不终止确认该金融资产。 </w:t>
      </w:r>
      <w:r>
        <w:rPr>
          <w:spacing w:val="-2"/>
        </w:rPr>
        <w:t>在判断金融资产转移是否满足上述金融资产终止确认条件时，采用实质重于形式的原则。公司将金融资产转移区分为金</w:t>
      </w:r>
    </w:p>
    <w:p>
      <w:pPr>
        <w:pStyle w:val="BodyText"/>
        <w:spacing w:line="240" w:lineRule="auto" w:before="54"/>
        <w:ind w:right="0"/>
        <w:jc w:val="left"/>
      </w:pPr>
      <w:r>
        <w:rPr/>
        <w:t>融资产整体转移和部分转移。金融资产整体转移满足终止确认条件的，将下列两项金额的差额计入当期损益：</w:t>
      </w:r>
    </w:p>
    <w:p>
      <w:pPr>
        <w:spacing w:line="240" w:lineRule="auto" w:before="10"/>
        <w:rPr>
          <w:rFonts w:ascii="宋体" w:hAnsi="宋体" w:cs="宋体" w:eastAsia="宋体" w:hint="default"/>
          <w:sz w:val="17"/>
          <w:szCs w:val="17"/>
        </w:rPr>
      </w:pPr>
    </w:p>
    <w:p>
      <w:pPr>
        <w:pStyle w:val="BodyText"/>
        <w:spacing w:line="240" w:lineRule="auto"/>
        <w:ind w:left="514" w:right="0"/>
        <w:jc w:val="left"/>
      </w:pPr>
      <w:r>
        <w:rPr/>
        <w:t>（</w:t>
      </w:r>
      <w:r>
        <w:rPr>
          <w:rFonts w:ascii="Times New Roman" w:hAnsi="Times New Roman" w:cs="Times New Roman" w:eastAsia="Times New Roman" w:hint="default"/>
        </w:rPr>
        <w:t>1</w:t>
      </w:r>
      <w:r>
        <w:rPr/>
        <w:t>）所转移金融资产的账面价值；</w:t>
      </w:r>
    </w:p>
    <w:p>
      <w:pPr>
        <w:spacing w:line="240" w:lineRule="auto" w:before="9"/>
        <w:rPr>
          <w:rFonts w:ascii="宋体" w:hAnsi="宋体" w:cs="宋体" w:eastAsia="宋体" w:hint="default"/>
          <w:sz w:val="16"/>
          <w:szCs w:val="16"/>
        </w:rPr>
      </w:pPr>
    </w:p>
    <w:p>
      <w:pPr>
        <w:pStyle w:val="BodyText"/>
        <w:spacing w:line="451" w:lineRule="auto"/>
        <w:ind w:right="1122" w:firstLine="360"/>
        <w:jc w:val="left"/>
      </w:pPr>
      <w:r>
        <w:rPr/>
        <w:t>（</w:t>
      </w:r>
      <w:r>
        <w:rPr>
          <w:rFonts w:ascii="Times New Roman" w:hAnsi="Times New Roman" w:cs="Times New Roman" w:eastAsia="Times New Roman" w:hint="default"/>
        </w:rPr>
        <w:t>2</w:t>
      </w:r>
      <w:r>
        <w:rPr/>
        <w:t>）因转移而收到的对价，与原直接计入所有者权益的公允价值变动累计额（涉及转移的金融资产为可供出售金融资 产的情形）之和。</w:t>
      </w:r>
    </w:p>
    <w:p>
      <w:pPr>
        <w:pStyle w:val="BodyText"/>
        <w:spacing w:line="477" w:lineRule="auto" w:before="74"/>
        <w:ind w:right="1032" w:firstLine="360"/>
        <w:jc w:val="left"/>
      </w:pPr>
      <w:r>
        <w:rPr/>
        <w:t>金融资产部分转移满足终止确认条件的，将所转移金融资产整体的账面价值，在终止确认部分和未终止确认部分之间， 按照各自的相对公允价值进行分摊，并将下列两项金额的差额计入当期损益：</w:t>
      </w:r>
    </w:p>
    <w:p>
      <w:pPr>
        <w:pStyle w:val="BodyText"/>
        <w:spacing w:line="240" w:lineRule="auto" w:before="54"/>
        <w:ind w:left="514" w:right="0"/>
        <w:jc w:val="left"/>
      </w:pPr>
      <w:r>
        <w:rPr/>
        <w:t>（</w:t>
      </w:r>
      <w:r>
        <w:rPr>
          <w:rFonts w:ascii="Times New Roman" w:hAnsi="Times New Roman" w:cs="Times New Roman" w:eastAsia="Times New Roman" w:hint="default"/>
        </w:rPr>
        <w:t>1</w:t>
      </w:r>
      <w:r>
        <w:rPr/>
        <w:t>）终止确认部分的账面价值；</w:t>
      </w:r>
    </w:p>
    <w:p>
      <w:pPr>
        <w:spacing w:line="240" w:lineRule="auto" w:before="9"/>
        <w:rPr>
          <w:rFonts w:ascii="宋体" w:hAnsi="宋体" w:cs="宋体" w:eastAsia="宋体" w:hint="default"/>
          <w:sz w:val="16"/>
          <w:szCs w:val="16"/>
        </w:rPr>
      </w:pPr>
    </w:p>
    <w:p>
      <w:pPr>
        <w:pStyle w:val="BodyText"/>
        <w:spacing w:line="451" w:lineRule="auto"/>
        <w:ind w:right="1122" w:firstLine="360"/>
        <w:jc w:val="left"/>
      </w:pPr>
      <w:r>
        <w:rPr/>
        <w:t>（</w:t>
      </w:r>
      <w:r>
        <w:rPr>
          <w:rFonts w:ascii="Times New Roman" w:hAnsi="Times New Roman" w:cs="Times New Roman" w:eastAsia="Times New Roman" w:hint="default"/>
        </w:rPr>
        <w:t>2</w:t>
      </w:r>
      <w:r>
        <w:rPr/>
        <w:t>）终止确认部分的对价，与原直接计入所有者权益的公允价值变动累计额中对应终止确认部分的金额（涉及转移的 金融资产为可供出售金融资产的情形）之和。</w:t>
      </w:r>
    </w:p>
    <w:p>
      <w:pPr>
        <w:pStyle w:val="BodyText"/>
        <w:spacing w:line="477" w:lineRule="auto" w:before="74"/>
        <w:ind w:left="514" w:right="1115"/>
        <w:jc w:val="left"/>
      </w:pPr>
      <w:r>
        <w:rPr/>
        <w:t>金融资产转移不满足终止确认条件的，继续确认该金融资产，所收到的对价确认为一项金融负债。 </w:t>
      </w:r>
      <w:r>
        <w:rPr>
          <w:rFonts w:ascii="宋体" w:hAnsi="宋体" w:cs="宋体" w:eastAsia="宋体" w:hint="default"/>
          <w:b/>
          <w:bCs/>
        </w:rPr>
        <w:t>4.</w:t>
      </w:r>
      <w:r>
        <w:rPr>
          <w:rFonts w:ascii="宋体" w:hAnsi="宋体" w:cs="宋体" w:eastAsia="宋体" w:hint="default"/>
          <w:b/>
          <w:bCs/>
        </w:rPr>
        <w:t>金融负债终止确认条件</w:t>
      </w:r>
      <w:r>
        <w:rPr>
          <w:rFonts w:ascii="宋体" w:hAnsi="宋体" w:cs="宋体" w:eastAsia="宋体" w:hint="default"/>
          <w:b/>
          <w:bCs/>
          <w:w w:val="99"/>
        </w:rPr>
        <w:t> </w:t>
      </w:r>
      <w:r>
        <w:rPr>
          <w:spacing w:val="-2"/>
        </w:rPr>
        <w:t>金融负债的现时义务全部或部分已经解除的，则终止确认该金融负债或其一部分；本公司若与债权人签定协议，以承担</w:t>
      </w:r>
    </w:p>
    <w:p>
      <w:pPr>
        <w:pStyle w:val="BodyText"/>
        <w:spacing w:line="477" w:lineRule="auto" w:before="54"/>
        <w:ind w:right="0"/>
        <w:jc w:val="left"/>
      </w:pPr>
      <w:r>
        <w:rPr>
          <w:spacing w:val="-2"/>
        </w:rPr>
        <w:t>新金融负债方式替换现存金融负债，且新金融负债与现存金融负债的合同条款实质上不同的，则终止确认现存金融负债，并</w:t>
      </w:r>
      <w:r>
        <w:rPr>
          <w:spacing w:val="-66"/>
        </w:rPr>
        <w:t> </w:t>
      </w:r>
      <w:r>
        <w:rPr>
          <w:spacing w:val="-66"/>
        </w:rPr>
      </w:r>
      <w:r>
        <w:rPr/>
        <w:t>同时确认新金融负债。</w:t>
      </w:r>
    </w:p>
    <w:p>
      <w:pPr>
        <w:pStyle w:val="BodyText"/>
        <w:spacing w:line="477" w:lineRule="auto" w:before="54"/>
        <w:ind w:right="0" w:firstLine="360"/>
        <w:jc w:val="left"/>
      </w:pPr>
      <w:r>
        <w:rPr>
          <w:spacing w:val="-2"/>
        </w:rPr>
        <w:t>对现存金融负债全部或部分合同条款作出实质性修改的，则终止确认现存金融负债或其一部分，同时将修改条款后的金</w:t>
      </w:r>
      <w:r>
        <w:rPr/>
        <w:t> 融负债确认为一项新金融负债。</w:t>
      </w:r>
    </w:p>
    <w:p>
      <w:pPr>
        <w:pStyle w:val="BodyText"/>
        <w:spacing w:line="477" w:lineRule="auto" w:before="54"/>
        <w:ind w:right="0" w:firstLine="360"/>
        <w:jc w:val="left"/>
      </w:pPr>
      <w:r>
        <w:rPr>
          <w:spacing w:val="-2"/>
        </w:rPr>
        <w:t>金融负债全部或部分终止确认时，终止确认的金融负债账面价值与支付对价（包括转出的非现金资产或承担的新金融负</w:t>
      </w:r>
      <w:r>
        <w:rPr/>
        <w:t> 债）之间的差额，计入当期损益。</w:t>
      </w:r>
    </w:p>
    <w:p>
      <w:pPr>
        <w:pStyle w:val="BodyText"/>
        <w:spacing w:line="477" w:lineRule="auto" w:before="54"/>
        <w:ind w:right="1032" w:firstLine="360"/>
        <w:jc w:val="left"/>
      </w:pPr>
      <w:r>
        <w:rPr>
          <w:spacing w:val="-2"/>
        </w:rPr>
        <w:t>本公司若回购部分金融负债的，在回购日按照继续确认部分与终止确认部分的相对公允价值，将该金融负债整体的账面</w:t>
      </w:r>
      <w:r>
        <w:rPr/>
        <w:t> 价值进行分配。分配给终止确认部分的账面价值与支付的对价（包括转出的非现金资产或承担的新金融负债）之间的差额，</w:t>
      </w:r>
      <w:r>
        <w:rPr>
          <w:spacing w:val="-85"/>
        </w:rPr>
        <w:t> </w:t>
      </w:r>
      <w:r>
        <w:rPr>
          <w:spacing w:val="-85"/>
        </w:rPr>
      </w:r>
      <w:r>
        <w:rPr/>
        <w:t>计入当期损益。</w:t>
      </w:r>
    </w:p>
    <w:p>
      <w:pPr>
        <w:spacing w:line="240" w:lineRule="auto" w:before="0"/>
        <w:rPr>
          <w:rFonts w:ascii="宋体" w:hAnsi="宋体" w:cs="宋体" w:eastAsia="宋体" w:hint="default"/>
          <w:sz w:val="18"/>
          <w:szCs w:val="18"/>
        </w:rPr>
      </w:pPr>
    </w:p>
    <w:p>
      <w:pPr>
        <w:spacing w:line="477" w:lineRule="auto" w:before="130"/>
        <w:ind w:left="514" w:right="0" w:firstLine="1"/>
        <w:jc w:val="left"/>
        <w:rPr>
          <w:rFonts w:ascii="宋体" w:hAnsi="宋体" w:cs="宋体" w:eastAsia="宋体" w:hint="default"/>
          <w:sz w:val="18"/>
          <w:szCs w:val="18"/>
        </w:rPr>
      </w:pPr>
      <w:r>
        <w:rPr>
          <w:rFonts w:ascii="宋体" w:hAnsi="宋体" w:cs="宋体" w:eastAsia="宋体" w:hint="default"/>
          <w:b/>
          <w:bCs/>
          <w:sz w:val="18"/>
          <w:szCs w:val="18"/>
        </w:rPr>
        <w:t>5.</w:t>
      </w:r>
      <w:r>
        <w:rPr>
          <w:rFonts w:ascii="宋体" w:hAnsi="宋体" w:cs="宋体" w:eastAsia="宋体" w:hint="default"/>
          <w:b/>
          <w:bCs/>
          <w:sz w:val="18"/>
          <w:szCs w:val="18"/>
        </w:rPr>
        <w:t>金融资产和金融负债的公允价值的确定方法</w:t>
      </w:r>
      <w:r>
        <w:rPr>
          <w:rFonts w:ascii="宋体" w:hAnsi="宋体" w:cs="宋体" w:eastAsia="宋体" w:hint="default"/>
          <w:b/>
          <w:bCs/>
          <w:w w:val="99"/>
          <w:sz w:val="18"/>
          <w:szCs w:val="18"/>
        </w:rPr>
        <w:t> </w:t>
      </w:r>
      <w:r>
        <w:rPr>
          <w:rFonts w:ascii="宋体" w:hAnsi="宋体" w:cs="宋体" w:eastAsia="宋体" w:hint="default"/>
          <w:spacing w:val="-2"/>
          <w:sz w:val="18"/>
          <w:szCs w:val="18"/>
        </w:rPr>
        <w:t>存在活跃市场的金融工具，以活跃市场中的报价确定其公允价值。不存在活跃市场的金融工具，采用估值技术确定其公</w:t>
      </w:r>
    </w:p>
    <w:p>
      <w:pPr>
        <w:pStyle w:val="BodyText"/>
        <w:spacing w:line="477" w:lineRule="auto" w:before="54"/>
        <w:ind w:right="0"/>
        <w:jc w:val="left"/>
      </w:pPr>
      <w:r>
        <w:rPr>
          <w:spacing w:val="-2"/>
        </w:rPr>
        <w:t>允价值。在估值时，本公司采用在当前情况下适用并且有足够可利用数据和其他信息支持的估值技术，选择与市场参与者在</w:t>
      </w:r>
      <w:r>
        <w:rPr>
          <w:spacing w:val="-66"/>
        </w:rPr>
        <w:t> </w:t>
      </w:r>
      <w:r>
        <w:rPr>
          <w:spacing w:val="-66"/>
        </w:rPr>
      </w:r>
      <w:r>
        <w:rPr>
          <w:spacing w:val="-2"/>
        </w:rPr>
        <w:t>相关资产或负债的交易中所考虑的资产或负债特征相一致的输入值，并优先使用相关可观察输入值。只有在相关可观察输入</w:t>
      </w:r>
    </w:p>
    <w:p>
      <w:pPr>
        <w:spacing w:after="0" w:line="477" w:lineRule="auto"/>
        <w:jc w:val="left"/>
        <w:sectPr>
          <w:pgSz w:w="11910" w:h="16840"/>
          <w:pgMar w:header="851" w:footer="979" w:top="1400" w:bottom="1160" w:left="980" w:right="0"/>
        </w:sectPr>
      </w:pPr>
    </w:p>
    <w:p>
      <w:pPr>
        <w:spacing w:line="477" w:lineRule="auto" w:before="140"/>
        <w:ind w:left="514" w:right="1115" w:hanging="360"/>
        <w:jc w:val="left"/>
        <w:rPr>
          <w:rFonts w:ascii="宋体" w:hAnsi="宋体" w:cs="宋体" w:eastAsia="宋体" w:hint="default"/>
          <w:sz w:val="18"/>
          <w:szCs w:val="18"/>
        </w:rPr>
      </w:pPr>
      <w:r>
        <w:rPr>
          <w:rFonts w:ascii="宋体" w:hAnsi="宋体" w:cs="宋体" w:eastAsia="宋体" w:hint="default"/>
          <w:sz w:val="18"/>
          <w:szCs w:val="18"/>
        </w:rPr>
        <w:t>值无法取得或取得不切实可行的情况下，才使用不可观察输入值。 </w:t>
      </w:r>
      <w:r>
        <w:rPr>
          <w:rFonts w:ascii="宋体" w:hAnsi="宋体" w:cs="宋体" w:eastAsia="宋体" w:hint="default"/>
          <w:b/>
          <w:bCs/>
          <w:sz w:val="18"/>
          <w:szCs w:val="18"/>
        </w:rPr>
        <w:t>6.</w:t>
      </w:r>
      <w:r>
        <w:rPr>
          <w:rFonts w:ascii="宋体" w:hAnsi="宋体" w:cs="宋体" w:eastAsia="宋体" w:hint="default"/>
          <w:b/>
          <w:bCs/>
          <w:sz w:val="18"/>
          <w:szCs w:val="18"/>
        </w:rPr>
        <w:t>金融资产（不含应收款项）减值的测试方法及会计处理方法</w:t>
      </w:r>
      <w:r>
        <w:rPr>
          <w:rFonts w:ascii="宋体" w:hAnsi="宋体" w:cs="宋体" w:eastAsia="宋体" w:hint="default"/>
          <w:b/>
          <w:bCs/>
          <w:w w:val="99"/>
          <w:sz w:val="18"/>
          <w:szCs w:val="18"/>
        </w:rPr>
        <w:t> </w:t>
      </w:r>
      <w:r>
        <w:rPr>
          <w:rFonts w:ascii="宋体" w:hAnsi="宋体" w:cs="宋体" w:eastAsia="宋体" w:hint="default"/>
          <w:spacing w:val="-2"/>
          <w:sz w:val="18"/>
          <w:szCs w:val="18"/>
        </w:rPr>
        <w:t>除以公允价值计量且其变动计入当期损益的金融资产外，本公司于资产负债表日对金融资产的账面价值进行检查，如果</w:t>
      </w:r>
    </w:p>
    <w:p>
      <w:pPr>
        <w:pStyle w:val="BodyText"/>
        <w:spacing w:line="240" w:lineRule="auto" w:before="54"/>
        <w:ind w:right="0"/>
        <w:jc w:val="left"/>
      </w:pPr>
      <w:r>
        <w:rPr/>
        <w:t>有客观证据表明某项金融资产发生减值的，计提减值准备。</w:t>
      </w:r>
    </w:p>
    <w:p>
      <w:pPr>
        <w:spacing w:line="240" w:lineRule="auto" w:before="10"/>
        <w:rPr>
          <w:rFonts w:ascii="宋体" w:hAnsi="宋体" w:cs="宋体" w:eastAsia="宋体" w:hint="default"/>
          <w:sz w:val="17"/>
          <w:szCs w:val="17"/>
        </w:rPr>
      </w:pPr>
    </w:p>
    <w:p>
      <w:pPr>
        <w:pStyle w:val="BodyText"/>
        <w:spacing w:line="451" w:lineRule="auto"/>
        <w:ind w:left="514" w:right="0"/>
        <w:jc w:val="left"/>
      </w:pPr>
      <w:r>
        <w:rPr/>
        <w:t>（</w:t>
      </w:r>
      <w:r>
        <w:rPr>
          <w:rFonts w:ascii="Times New Roman" w:hAnsi="Times New Roman" w:cs="Times New Roman" w:eastAsia="Times New Roman" w:hint="default"/>
        </w:rPr>
        <w:t>1</w:t>
      </w:r>
      <w:r>
        <w:rPr/>
        <w:t>）可供出售金融资产的减值准备 </w:t>
      </w:r>
      <w:r>
        <w:rPr>
          <w:spacing w:val="-2"/>
        </w:rPr>
        <w:t>期末如果可供出售金融资产的公允价值发生严重下降，或在综合考虑各种相关因素后，预期这种下降趋势属于非暂时性</w:t>
      </w:r>
    </w:p>
    <w:p>
      <w:pPr>
        <w:pStyle w:val="BodyText"/>
        <w:spacing w:line="477" w:lineRule="auto" w:before="74"/>
        <w:ind w:left="514" w:right="0" w:hanging="360"/>
        <w:jc w:val="left"/>
      </w:pPr>
      <w:r>
        <w:rPr/>
        <w:t>的，就认定其已发生减值，将原直接计入所有者权益的公允价值下降形成的累计损失一并转出，确认减值损失。 </w:t>
      </w:r>
      <w:r>
        <w:rPr>
          <w:spacing w:val="-2"/>
        </w:rPr>
        <w:t>对于已确认减值损失的可供出售债务工具，在随后的会计期间公允价值已上升且客观上与确认原减值损失确认后发生的</w:t>
      </w:r>
    </w:p>
    <w:p>
      <w:pPr>
        <w:pStyle w:val="BodyText"/>
        <w:spacing w:line="477" w:lineRule="auto" w:before="54"/>
        <w:ind w:left="514" w:right="5712" w:hanging="360"/>
        <w:jc w:val="left"/>
      </w:pPr>
      <w:r>
        <w:rPr/>
        <w:t>事项有关的，原确认的减值损失予以转回，计入当期损益。 可供出售权益工具投资发生的减值损失，不通过损益转回。</w:t>
      </w:r>
    </w:p>
    <w:p>
      <w:pPr>
        <w:pStyle w:val="BodyText"/>
        <w:spacing w:line="451" w:lineRule="auto" w:before="54"/>
        <w:ind w:left="514" w:right="4812"/>
        <w:jc w:val="left"/>
      </w:pPr>
      <w:r>
        <w:rPr/>
        <w:t>（</w:t>
      </w:r>
      <w:r>
        <w:rPr>
          <w:rFonts w:ascii="Times New Roman" w:hAnsi="Times New Roman" w:cs="Times New Roman" w:eastAsia="Times New Roman" w:hint="default"/>
        </w:rPr>
        <w:t>2</w:t>
      </w:r>
      <w:r>
        <w:rPr/>
        <w:t>）持有至到期投资的减值准备 持有至到期投资减值损失的计量比照应收款项减值损失计量方法处理。</w:t>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6"/>
          <w:szCs w:val="26"/>
        </w:rPr>
      </w:pPr>
    </w:p>
    <w:p>
      <w:pPr>
        <w:pStyle w:val="Heading3"/>
        <w:spacing w:line="240" w:lineRule="auto"/>
        <w:ind w:right="0"/>
        <w:jc w:val="left"/>
        <w:rPr>
          <w:b w:val="0"/>
          <w:bCs w:val="0"/>
        </w:rPr>
      </w:pPr>
      <w:bookmarkStart w:name="11、应收票据及应收账款" w:id="188"/>
      <w:bookmarkEnd w:id="188"/>
      <w:r>
        <w:rPr>
          <w:b w:val="0"/>
          <w:bCs w:val="0"/>
        </w:rPr>
      </w:r>
      <w:r>
        <w:rPr>
          <w:rFonts w:ascii="Times New Roman" w:hAnsi="Times New Roman" w:cs="Times New Roman" w:eastAsia="Times New Roman" w:hint="default"/>
        </w:rPr>
        <w:t>11</w:t>
      </w:r>
      <w:r>
        <w:rPr/>
        <w:t>、应收票据及应收账款</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单项金额重大并单独计提坏账准备的应收款项" w:id="189"/>
      <w:bookmarkEnd w:id="189"/>
      <w:r>
        <w:rPr>
          <w:b w:val="0"/>
          <w:bCs w:val="0"/>
        </w:rPr>
      </w:r>
      <w:r>
        <w:rPr/>
        <w:t>（</w:t>
      </w:r>
      <w:r>
        <w:rPr>
          <w:rFonts w:ascii="Times New Roman" w:hAnsi="Times New Roman" w:cs="Times New Roman" w:eastAsia="Times New Roman" w:hint="default"/>
        </w:rPr>
        <w:t>1</w:t>
      </w:r>
      <w:r>
        <w:rPr/>
        <w:t>）单项金额重大并单独计提坏账准备的应收款项</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544"/>
        <w:gridCol w:w="6025"/>
      </w:tblGrid>
      <w:tr>
        <w:trPr>
          <w:trHeight w:val="714" w:hRule="exact"/>
        </w:trPr>
        <w:tc>
          <w:tcPr>
            <w:tcW w:w="3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单项金额重大的判断依据或金额标准</w:t>
            </w:r>
          </w:p>
        </w:tc>
        <w:tc>
          <w:tcPr>
            <w:tcW w:w="6025"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3" w:right="35"/>
              <w:jc w:val="left"/>
              <w:rPr>
                <w:rFonts w:ascii="宋体" w:hAnsi="宋体" w:cs="宋体" w:eastAsia="宋体" w:hint="default"/>
                <w:sz w:val="18"/>
                <w:szCs w:val="18"/>
              </w:rPr>
            </w:pPr>
            <w:r>
              <w:rPr>
                <w:rFonts w:ascii="宋体" w:hAnsi="宋体" w:cs="宋体" w:eastAsia="宋体" w:hint="default"/>
                <w:sz w:val="18"/>
                <w:szCs w:val="18"/>
              </w:rPr>
              <w:t>单项金额重大的应收账款是指：余额前五名或占余额</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以上的明细之和。 单项金额重大的其他应收款是指：余额大于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万元的款项。</w:t>
            </w:r>
          </w:p>
        </w:tc>
      </w:tr>
      <w:tr>
        <w:trPr>
          <w:trHeight w:val="1027" w:hRule="exact"/>
        </w:trPr>
        <w:tc>
          <w:tcPr>
            <w:tcW w:w="3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2" w:right="89"/>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单项金额重大并单项计提坏账准备的计提方 法</w:t>
            </w:r>
          </w:p>
        </w:tc>
        <w:tc>
          <w:tcPr>
            <w:tcW w:w="60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3" w:right="49"/>
              <w:jc w:val="both"/>
              <w:rPr>
                <w:rFonts w:ascii="宋体" w:hAnsi="宋体" w:cs="宋体" w:eastAsia="宋体" w:hint="default"/>
                <w:sz w:val="18"/>
                <w:szCs w:val="18"/>
              </w:rPr>
            </w:pPr>
            <w:r>
              <w:rPr>
                <w:rFonts w:ascii="宋体" w:hAnsi="宋体" w:cs="宋体" w:eastAsia="宋体" w:hint="default"/>
                <w:sz w:val="18"/>
                <w:szCs w:val="18"/>
              </w:rPr>
              <w:t>单独进行减值测试，如有客观证据表明其已发生减值，按预计未来现金流量 现值低于其账面价值的差额计提坏账准备，计入当期损益。单独测试未发生 减值的应收款项，将其归入相应组合计提坏账准备。</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2）按信用风险特征组合计提坏账准备的应收款项" w:id="190"/>
      <w:bookmarkEnd w:id="190"/>
      <w:r>
        <w:rPr>
          <w:b w:val="0"/>
          <w:bCs w:val="0"/>
        </w:rPr>
      </w:r>
      <w:r>
        <w:rPr/>
        <w:t>（</w:t>
      </w:r>
      <w:r>
        <w:rPr>
          <w:rFonts w:ascii="Times New Roman" w:hAnsi="Times New Roman" w:cs="Times New Roman" w:eastAsia="Times New Roman" w:hint="default"/>
        </w:rPr>
        <w:t>2</w:t>
      </w:r>
      <w:r>
        <w:rPr/>
        <w:t>）按信用风险特征组合计提坏账准备的应收款项</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坏账准备计提方法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一般应收账款及其他应收款</w:t>
            </w:r>
            <w:r>
              <w:rPr>
                <w:rFonts w:ascii="Times New Roman" w:hAnsi="Times New Roman" w:cs="Times New Roman" w:eastAsia="Times New Roman" w:hint="default"/>
                <w:sz w:val="18"/>
                <w:szCs w:val="18"/>
              </w:rPr>
              <w:t>)</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移动端游戏业务应收账款</w:t>
            </w:r>
            <w:r>
              <w:rPr>
                <w:rFonts w:ascii="Times New Roman" w:hAnsi="Times New Roman" w:cs="Times New Roman" w:eastAsia="Times New Roman" w:hint="default"/>
                <w:sz w:val="18"/>
                <w:szCs w:val="18"/>
              </w:rPr>
              <w:t>)</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bl>
    <w:p>
      <w:pPr>
        <w:pStyle w:val="BodyText"/>
        <w:spacing w:line="240" w:lineRule="auto" w:before="51"/>
        <w:ind w:right="0"/>
        <w:jc w:val="left"/>
      </w:pPr>
      <w:r>
        <w:rPr/>
        <w:t>组合中，采用账龄分析法计提坏账准备的：</w:t>
      </w:r>
    </w:p>
    <w:p>
      <w:pPr>
        <w:pStyle w:val="BodyText"/>
        <w:spacing w:line="240" w:lineRule="auto" w:before="117"/>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70"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80"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一般应收账款及其他应收款</w:t>
            </w:r>
            <w:r>
              <w:rPr>
                <w:rFonts w:ascii="Times New Roman" w:hAnsi="Times New Roman" w:cs="Times New Roman" w:eastAsia="Times New Roman" w:hint="default"/>
                <w:sz w:val="18"/>
                <w:szCs w:val="18"/>
              </w:rPr>
              <w:t>)</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980" w:right="0"/>
        </w:sectPr>
      </w:pPr>
    </w:p>
    <w:p>
      <w:pPr>
        <w:spacing w:line="240" w:lineRule="auto" w:before="6"/>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14" w:hRule="exact"/>
        </w:trPr>
        <w:tc>
          <w:tcPr>
            <w:tcW w:w="319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19"/>
              <w:jc w:val="right"/>
              <w:rPr>
                <w:rFonts w:ascii="Times New Roman" w:hAnsi="Times New Roman" w:cs="Times New Roman" w:eastAsia="Times New Roman" w:hint="default"/>
                <w:sz w:val="18"/>
                <w:szCs w:val="18"/>
              </w:rPr>
            </w:pPr>
            <w:r>
              <w:rPr>
                <w:rFonts w:ascii="Times New Roman"/>
                <w:sz w:val="18"/>
              </w:rPr>
              <w:t>30.00%</w:t>
            </w:r>
          </w:p>
        </w:tc>
        <w:tc>
          <w:tcPr>
            <w:tcW w:w="319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19"/>
              <w:jc w:val="right"/>
              <w:rPr>
                <w:rFonts w:ascii="Times New Roman" w:hAnsi="Times New Roman" w:cs="Times New Roman" w:eastAsia="Times New Roman" w:hint="default"/>
                <w:sz w:val="18"/>
                <w:szCs w:val="18"/>
              </w:rPr>
            </w:pPr>
            <w:r>
              <w:rPr>
                <w:rFonts w:ascii="Times New Roman"/>
                <w:sz w:val="18"/>
              </w:rPr>
              <w:t>30.00%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移动端游戏业务应收账款</w:t>
            </w:r>
            <w:r>
              <w:rPr>
                <w:rFonts w:ascii="Times New Roman" w:hAnsi="Times New Roman" w:cs="Times New Roman" w:eastAsia="Times New Roman" w:hint="default"/>
                <w:sz w:val="18"/>
                <w:szCs w:val="18"/>
              </w:rPr>
              <w:t>)</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r>
    </w:tbl>
    <w:p>
      <w:pPr>
        <w:pStyle w:val="BodyText"/>
        <w:spacing w:line="240" w:lineRule="auto" w:before="51"/>
        <w:ind w:left="114" w:right="1276"/>
        <w:jc w:val="left"/>
      </w:pPr>
      <w:r>
        <w:rPr/>
        <w:t>组合中，采用余额百分比法计提坏账准备的：</w:t>
      </w:r>
    </w:p>
    <w:p>
      <w:pPr>
        <w:pStyle w:val="BodyText"/>
        <w:spacing w:line="338" w:lineRule="auto" w:before="116"/>
        <w:ind w:left="114" w:right="75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组合中，采用其他方法计提坏账准备的：</w:t>
      </w:r>
    </w:p>
    <w:p>
      <w:pPr>
        <w:pStyle w:val="BodyText"/>
        <w:spacing w:line="530" w:lineRule="auto" w:before="43"/>
        <w:ind w:left="474" w:right="3552" w:hanging="36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应收票据（商业承兑汇票）的坏账计提比例比照一般应收账款及其他应收款计提比例。</w:t>
      </w:r>
    </w:p>
    <w:p>
      <w:pPr>
        <w:pStyle w:val="Heading3"/>
        <w:spacing w:line="240" w:lineRule="auto" w:before="133"/>
        <w:ind w:left="114" w:right="1276"/>
        <w:jc w:val="left"/>
        <w:rPr>
          <w:b w:val="0"/>
          <w:bCs w:val="0"/>
        </w:rPr>
      </w:pPr>
      <w:bookmarkStart w:name="（3）单项金额不重大但单独计提坏账准备的应收款项" w:id="191"/>
      <w:bookmarkEnd w:id="191"/>
      <w:r>
        <w:rPr>
          <w:b w:val="0"/>
          <w:bCs w:val="0"/>
        </w:rPr>
      </w:r>
      <w:r>
        <w:rPr/>
        <w:t>（</w:t>
      </w:r>
      <w:r>
        <w:rPr>
          <w:rFonts w:ascii="Times New Roman" w:hAnsi="Times New Roman" w:cs="Times New Roman" w:eastAsia="Times New Roman" w:hint="default"/>
        </w:rPr>
        <w:t>3</w:t>
      </w:r>
      <w:r>
        <w:rPr/>
        <w:t>）单项金额不重大但单独计提坏账准备的应收款项</w:t>
      </w:r>
      <w:r>
        <w:rPr>
          <w:b w:val="0"/>
          <w:bCs w:val="0"/>
        </w:rPr>
      </w:r>
    </w:p>
    <w:p>
      <w:pPr>
        <w:spacing w:line="240" w:lineRule="auto" w:before="11"/>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119"/>
        <w:gridCol w:w="6450"/>
      </w:tblGrid>
      <w:tr>
        <w:trPr>
          <w:trHeight w:val="1026" w:hRule="exact"/>
        </w:trPr>
        <w:tc>
          <w:tcPr>
            <w:tcW w:w="31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单项计提坏账准备的理由</w:t>
            </w:r>
          </w:p>
        </w:tc>
        <w:tc>
          <w:tcPr>
            <w:tcW w:w="645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3"/>
                <w:sz w:val="18"/>
                <w:szCs w:val="18"/>
              </w:rPr>
              <w:t>除单项金额重大已单独计提坏账准备的应收款项外，公司根据以往经验结合实际情</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况判断，以上述组合方式计提的坏账准备不足以完全覆盖其预计损失额的应收款 项，将单独计提坏账准备。</w:t>
            </w:r>
          </w:p>
        </w:tc>
      </w:tr>
      <w:tr>
        <w:trPr>
          <w:trHeight w:val="402" w:hRule="exact"/>
        </w:trPr>
        <w:tc>
          <w:tcPr>
            <w:tcW w:w="31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坏账准备的计提方法</w:t>
            </w:r>
          </w:p>
        </w:tc>
        <w:tc>
          <w:tcPr>
            <w:tcW w:w="6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根据预计的损失情况足额计提。</w:t>
            </w:r>
          </w:p>
        </w:tc>
      </w:tr>
    </w:tbl>
    <w:p>
      <w:pPr>
        <w:spacing w:line="240" w:lineRule="auto" w:before="2"/>
        <w:rPr>
          <w:rFonts w:ascii="宋体" w:hAnsi="宋体" w:cs="宋体" w:eastAsia="宋体" w:hint="default"/>
          <w:b/>
          <w:bCs/>
          <w:sz w:val="19"/>
          <w:szCs w:val="19"/>
        </w:rPr>
      </w:pPr>
    </w:p>
    <w:p>
      <w:pPr>
        <w:pStyle w:val="Heading3"/>
        <w:spacing w:line="240" w:lineRule="auto" w:before="35"/>
        <w:ind w:left="114" w:right="1276"/>
        <w:jc w:val="left"/>
        <w:rPr>
          <w:b w:val="0"/>
          <w:bCs w:val="0"/>
        </w:rPr>
      </w:pPr>
      <w:bookmarkStart w:name="12、存货" w:id="192"/>
      <w:bookmarkEnd w:id="192"/>
      <w:r>
        <w:rPr>
          <w:b w:val="0"/>
          <w:bCs w:val="0"/>
        </w:rPr>
      </w:r>
      <w:r>
        <w:rPr>
          <w:rFonts w:ascii="Times New Roman" w:hAnsi="Times New Roman" w:cs="Times New Roman" w:eastAsia="Times New Roman" w:hint="default"/>
        </w:rPr>
        <w:t>12</w:t>
      </w:r>
      <w:r>
        <w:rPr/>
        <w:t>、存货</w:t>
      </w:r>
      <w:r>
        <w:rPr>
          <w:b w:val="0"/>
          <w:bCs w:val="0"/>
        </w:rPr>
      </w:r>
    </w:p>
    <w:p>
      <w:pPr>
        <w:spacing w:line="240" w:lineRule="auto" w:before="6"/>
        <w:rPr>
          <w:rFonts w:ascii="宋体" w:hAnsi="宋体" w:cs="宋体" w:eastAsia="宋体" w:hint="default"/>
          <w:b/>
          <w:bCs/>
          <w:sz w:val="32"/>
          <w:szCs w:val="32"/>
        </w:rPr>
      </w:pPr>
    </w:p>
    <w:p>
      <w:pPr>
        <w:spacing w:line="468" w:lineRule="auto" w:before="0"/>
        <w:ind w:left="475" w:right="7333" w:hanging="2"/>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w:t>
      </w:r>
      <w:r>
        <w:rPr>
          <w:rFonts w:ascii="宋体" w:hAnsi="宋体" w:cs="宋体" w:eastAsia="宋体" w:hint="default"/>
          <w:b/>
          <w:bCs/>
          <w:sz w:val="18"/>
          <w:szCs w:val="18"/>
        </w:rPr>
        <w:t>是</w:t>
      </w:r>
      <w:r>
        <w:rPr>
          <w:rFonts w:ascii="宋体" w:hAnsi="宋体" w:cs="宋体" w:eastAsia="宋体" w:hint="default"/>
          <w:b/>
          <w:bCs/>
          <w:w w:val="99"/>
          <w:sz w:val="18"/>
          <w:szCs w:val="18"/>
        </w:rPr>
        <w:t> </w:t>
      </w:r>
      <w:r>
        <w:rPr>
          <w:rFonts w:ascii="宋体" w:hAnsi="宋体" w:cs="宋体" w:eastAsia="宋体" w:hint="default"/>
          <w:b/>
          <w:bCs/>
          <w:sz w:val="18"/>
          <w:szCs w:val="18"/>
        </w:rPr>
        <w:t>软件与信息技术服务业</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互联网游戏业</w:t>
      </w:r>
      <w:r>
        <w:rPr>
          <w:rFonts w:ascii="宋体" w:hAnsi="宋体" w:cs="宋体" w:eastAsia="宋体" w:hint="default"/>
          <w:b/>
          <w:bCs/>
          <w:w w:val="99"/>
          <w:sz w:val="18"/>
          <w:szCs w:val="18"/>
        </w:rPr>
        <w:t> </w:t>
      </w:r>
      <w:r>
        <w:rPr>
          <w:rFonts w:ascii="宋体" w:hAnsi="宋体" w:cs="宋体" w:eastAsia="宋体" w:hint="default"/>
          <w:b/>
          <w:bCs/>
          <w:sz w:val="18"/>
          <w:szCs w:val="18"/>
        </w:rPr>
        <w:t>1.</w:t>
      </w:r>
      <w:r>
        <w:rPr>
          <w:rFonts w:ascii="宋体" w:hAnsi="宋体" w:cs="宋体" w:eastAsia="宋体" w:hint="default"/>
          <w:b/>
          <w:bCs/>
          <w:sz w:val="18"/>
          <w:szCs w:val="18"/>
        </w:rPr>
        <w:t>存货的分类</w:t>
      </w:r>
      <w:r>
        <w:rPr>
          <w:rFonts w:ascii="宋体" w:hAnsi="宋体" w:cs="宋体" w:eastAsia="宋体" w:hint="default"/>
          <w:sz w:val="18"/>
          <w:szCs w:val="18"/>
        </w:rPr>
      </w:r>
    </w:p>
    <w:p>
      <w:pPr>
        <w:spacing w:line="477" w:lineRule="auto" w:before="61"/>
        <w:ind w:left="475" w:right="3553" w:hanging="2"/>
        <w:jc w:val="left"/>
        <w:rPr>
          <w:rFonts w:ascii="宋体" w:hAnsi="宋体" w:cs="宋体" w:eastAsia="宋体" w:hint="default"/>
          <w:sz w:val="18"/>
          <w:szCs w:val="18"/>
        </w:rPr>
      </w:pPr>
      <w:r>
        <w:rPr>
          <w:rFonts w:ascii="宋体" w:hAnsi="宋体" w:cs="宋体" w:eastAsia="宋体" w:hint="default"/>
          <w:sz w:val="18"/>
          <w:szCs w:val="18"/>
        </w:rPr>
        <w:t>存货分类为：原材料、库存商品、外购软硬件及服务、委托加工物资、低值易耗品等。 </w:t>
      </w:r>
      <w:r>
        <w:rPr>
          <w:rFonts w:ascii="宋体" w:hAnsi="宋体" w:cs="宋体" w:eastAsia="宋体" w:hint="default"/>
          <w:b/>
          <w:bCs/>
          <w:sz w:val="18"/>
          <w:szCs w:val="18"/>
        </w:rPr>
        <w:t>2.</w:t>
      </w:r>
      <w:r>
        <w:rPr>
          <w:rFonts w:ascii="宋体" w:hAnsi="宋体" w:cs="宋体" w:eastAsia="宋体" w:hint="default"/>
          <w:b/>
          <w:bCs/>
          <w:sz w:val="18"/>
          <w:szCs w:val="18"/>
        </w:rPr>
        <w:t>发出存货的计价方法</w:t>
      </w:r>
      <w:r>
        <w:rPr>
          <w:rFonts w:ascii="宋体" w:hAnsi="宋体" w:cs="宋体" w:eastAsia="宋体" w:hint="default"/>
          <w:sz w:val="18"/>
          <w:szCs w:val="18"/>
        </w:rPr>
      </w:r>
    </w:p>
    <w:p>
      <w:pPr>
        <w:pStyle w:val="BodyText"/>
        <w:spacing w:line="477" w:lineRule="auto" w:before="54"/>
        <w:ind w:left="474" w:right="7332"/>
        <w:jc w:val="left"/>
      </w:pPr>
      <w:r>
        <w:rPr/>
        <w:t>日常核算存货取得时按实际成本计价。 发出时按以下方式确认：</w:t>
      </w:r>
    </w:p>
    <w:p>
      <w:pPr>
        <w:pStyle w:val="BodyText"/>
        <w:spacing w:line="240" w:lineRule="auto" w:before="54"/>
        <w:ind w:left="474" w:right="1276"/>
        <w:jc w:val="left"/>
      </w:pPr>
      <w:r>
        <w:rPr/>
        <w:t>（</w:t>
      </w:r>
      <w:r>
        <w:rPr>
          <w:rFonts w:ascii="Times New Roman" w:hAnsi="Times New Roman" w:cs="Times New Roman" w:eastAsia="Times New Roman" w:hint="default"/>
        </w:rPr>
        <w:t>1</w:t>
      </w:r>
      <w:r>
        <w:rPr/>
        <w:t>）采购存货专门用于单项业务时，按个别计价法确认；</w:t>
      </w:r>
    </w:p>
    <w:p>
      <w:pPr>
        <w:spacing w:after="0" w:line="240" w:lineRule="auto"/>
        <w:jc w:val="left"/>
        <w:sectPr>
          <w:pgSz w:w="11910" w:h="16840"/>
          <w:pgMar w:header="851" w:footer="979" w:top="1400" w:bottom="1160" w:left="102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451" w:lineRule="auto" w:before="83"/>
        <w:ind w:left="515" w:right="5263" w:hanging="2"/>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）非为单项业务单独采购的存货，按加权平均价格计价确认。 </w:t>
      </w:r>
      <w:r>
        <w:rPr>
          <w:rFonts w:ascii="宋体" w:hAnsi="宋体" w:cs="宋体" w:eastAsia="宋体" w:hint="default"/>
          <w:b/>
          <w:bCs/>
          <w:sz w:val="18"/>
          <w:szCs w:val="18"/>
        </w:rPr>
        <w:t>3.</w:t>
      </w:r>
      <w:r>
        <w:rPr>
          <w:rFonts w:ascii="宋体" w:hAnsi="宋体" w:cs="宋体" w:eastAsia="宋体" w:hint="default"/>
          <w:b/>
          <w:bCs/>
          <w:sz w:val="18"/>
          <w:szCs w:val="18"/>
        </w:rPr>
        <w:t>不同类别存货可变现净值的确定依据</w:t>
      </w:r>
      <w:r>
        <w:rPr>
          <w:rFonts w:ascii="宋体" w:hAnsi="宋体" w:cs="宋体" w:eastAsia="宋体" w:hint="default"/>
          <w:sz w:val="18"/>
          <w:szCs w:val="18"/>
        </w:rPr>
      </w:r>
    </w:p>
    <w:p>
      <w:pPr>
        <w:pStyle w:val="BodyText"/>
        <w:spacing w:line="477" w:lineRule="auto" w:before="74"/>
        <w:ind w:right="1131" w:firstLine="360"/>
        <w:jc w:val="both"/>
      </w:pPr>
      <w:r>
        <w:rPr>
          <w:spacing w:val="-2"/>
        </w:rPr>
        <w:t>产成品、库存商品和用于出售的材料等直接用于出售的商品存货，在正常生产经营过程中，以该存货的估计售价减去估</w:t>
      </w:r>
      <w:r>
        <w:rPr/>
        <w:t> </w:t>
      </w:r>
      <w:r>
        <w:rPr>
          <w:spacing w:val="-2"/>
        </w:rPr>
        <w:t>计的销售费用和相关税费后的金额，确定其可变现净值；需要经过加工的材料存货，在正常生产经营过程中，以所生产的产</w:t>
      </w:r>
      <w:r>
        <w:rPr>
          <w:spacing w:val="-66"/>
        </w:rPr>
        <w:t> </w:t>
      </w:r>
      <w:r>
        <w:rPr>
          <w:spacing w:val="-66"/>
        </w:rPr>
      </w:r>
      <w:r>
        <w:rPr>
          <w:spacing w:val="-2"/>
        </w:rPr>
        <w:t>成品的估计售价减去至完工时估计将要发生的成本、估计的销售费用和相关税费后的金额，确定其可变现净值；为执行销售</w:t>
      </w:r>
      <w:r>
        <w:rPr>
          <w:spacing w:val="-66"/>
        </w:rPr>
        <w:t> </w:t>
      </w:r>
      <w:r>
        <w:rPr>
          <w:spacing w:val="-66"/>
        </w:rPr>
      </w:r>
      <w:r>
        <w:rPr>
          <w:spacing w:val="-2"/>
        </w:rPr>
        <w:t>合同或者劳务合同而持有的存货，其可变现净值以合同价格为基础计算，若持有存货的数量多于销售合同订购数量的，超出</w:t>
      </w:r>
      <w:r>
        <w:rPr>
          <w:spacing w:val="-66"/>
        </w:rPr>
        <w:t> </w:t>
      </w:r>
      <w:r>
        <w:rPr>
          <w:spacing w:val="-66"/>
        </w:rPr>
      </w:r>
      <w:r>
        <w:rPr/>
        <w:t>部分的存货的可变现净值以一般销售价格为基础计算。</w:t>
      </w:r>
    </w:p>
    <w:p>
      <w:pPr>
        <w:pStyle w:val="BodyText"/>
        <w:spacing w:line="477" w:lineRule="auto" w:before="54"/>
        <w:ind w:right="1131" w:firstLine="360"/>
        <w:jc w:val="both"/>
      </w:pPr>
      <w:r>
        <w:rPr>
          <w:spacing w:val="-2"/>
        </w:rPr>
        <w:t>期末按照单个存货项目计提存货跌价准备；但对于数量繁多、单价较低的存货，按照存货类别计提存货跌价准备；与在</w:t>
      </w:r>
      <w:r>
        <w:rPr/>
        <w:t> </w:t>
      </w:r>
      <w:r>
        <w:rPr>
          <w:spacing w:val="-2"/>
        </w:rPr>
        <w:t>同一地区生产和销售的产品系列相关、具有相同或类似最终用途或目的，且难以与其他项目分开计量的存货，则合并计提存</w:t>
      </w:r>
      <w:r>
        <w:rPr>
          <w:spacing w:val="-66"/>
        </w:rPr>
        <w:t> </w:t>
      </w:r>
      <w:r>
        <w:rPr>
          <w:spacing w:val="-66"/>
        </w:rPr>
      </w:r>
      <w:r>
        <w:rPr/>
        <w:t>货跌价准备。</w:t>
      </w:r>
    </w:p>
    <w:p>
      <w:pPr>
        <w:pStyle w:val="BodyText"/>
        <w:spacing w:line="477" w:lineRule="auto" w:before="54"/>
        <w:ind w:left="514" w:right="1572"/>
        <w:jc w:val="left"/>
      </w:pPr>
      <w:r>
        <w:rPr/>
        <w:t>除有明确证据表明资产负债表日市场价格异常外，存货项目的可变现净值以资产负债表日市场价格为基础确定。 本期期末存货项目的可变现净值以资产负债表日市场价格为基础确定。</w:t>
      </w:r>
    </w:p>
    <w:p>
      <w:pPr>
        <w:spacing w:line="477" w:lineRule="auto" w:before="54"/>
        <w:ind w:left="514" w:right="7681" w:firstLine="1"/>
        <w:jc w:val="left"/>
        <w:rPr>
          <w:rFonts w:ascii="宋体" w:hAnsi="宋体" w:cs="宋体" w:eastAsia="宋体" w:hint="default"/>
          <w:sz w:val="18"/>
          <w:szCs w:val="18"/>
        </w:rPr>
      </w:pPr>
      <w:r>
        <w:rPr>
          <w:rFonts w:ascii="宋体" w:hAnsi="宋体" w:cs="宋体" w:eastAsia="宋体" w:hint="default"/>
          <w:b/>
          <w:bCs/>
          <w:sz w:val="18"/>
          <w:szCs w:val="18"/>
        </w:rPr>
        <w:t>4.</w:t>
      </w:r>
      <w:r>
        <w:rPr>
          <w:rFonts w:ascii="宋体" w:hAnsi="宋体" w:cs="宋体" w:eastAsia="宋体" w:hint="default"/>
          <w:b/>
          <w:bCs/>
          <w:sz w:val="18"/>
          <w:szCs w:val="18"/>
        </w:rPr>
        <w:t>存货的盘存制度</w:t>
      </w:r>
      <w:r>
        <w:rPr>
          <w:rFonts w:ascii="宋体" w:hAnsi="宋体" w:cs="宋体" w:eastAsia="宋体" w:hint="default"/>
          <w:b/>
          <w:bCs/>
          <w:w w:val="99"/>
          <w:sz w:val="18"/>
          <w:szCs w:val="18"/>
        </w:rPr>
        <w:t> </w:t>
      </w:r>
      <w:r>
        <w:rPr>
          <w:rFonts w:ascii="宋体" w:hAnsi="宋体" w:cs="宋体" w:eastAsia="宋体" w:hint="default"/>
          <w:sz w:val="18"/>
          <w:szCs w:val="18"/>
        </w:rPr>
        <w:t>采用永续盘存制。 </w:t>
      </w:r>
      <w:r>
        <w:rPr>
          <w:rFonts w:ascii="宋体" w:hAnsi="宋体" w:cs="宋体" w:eastAsia="宋体" w:hint="default"/>
          <w:b/>
          <w:bCs/>
          <w:sz w:val="18"/>
          <w:szCs w:val="18"/>
        </w:rPr>
        <w:t>5.</w:t>
      </w:r>
      <w:r>
        <w:rPr>
          <w:rFonts w:ascii="宋体" w:hAnsi="宋体" w:cs="宋体" w:eastAsia="宋体" w:hint="default"/>
          <w:b/>
          <w:bCs/>
          <w:sz w:val="18"/>
          <w:szCs w:val="18"/>
        </w:rPr>
        <w:t>低值易耗品和包装物的摊销方法</w:t>
      </w:r>
      <w:r>
        <w:rPr>
          <w:rFonts w:ascii="宋体" w:hAnsi="宋体" w:cs="宋体" w:eastAsia="宋体" w:hint="default"/>
          <w:sz w:val="18"/>
          <w:szCs w:val="18"/>
        </w:rPr>
      </w:r>
    </w:p>
    <w:p>
      <w:pPr>
        <w:pStyle w:val="BodyText"/>
        <w:spacing w:line="240" w:lineRule="auto" w:before="54"/>
        <w:ind w:left="514" w:right="0"/>
        <w:jc w:val="left"/>
      </w:pPr>
      <w:r>
        <w:rPr/>
        <w:t>（</w:t>
      </w:r>
      <w:r>
        <w:rPr>
          <w:rFonts w:ascii="Times New Roman" w:hAnsi="Times New Roman" w:cs="Times New Roman" w:eastAsia="Times New Roman" w:hint="default"/>
        </w:rPr>
        <w:t>1</w:t>
      </w:r>
      <w:r>
        <w:rPr/>
        <w:t>）低值易耗品采用一次转销法；</w:t>
      </w:r>
    </w:p>
    <w:p>
      <w:pPr>
        <w:spacing w:line="240" w:lineRule="auto" w:before="9"/>
        <w:rPr>
          <w:rFonts w:ascii="宋体" w:hAnsi="宋体" w:cs="宋体" w:eastAsia="宋体" w:hint="default"/>
          <w:sz w:val="16"/>
          <w:szCs w:val="16"/>
        </w:rPr>
      </w:pPr>
    </w:p>
    <w:p>
      <w:pPr>
        <w:pStyle w:val="BodyText"/>
        <w:spacing w:line="240" w:lineRule="auto"/>
        <w:ind w:left="514" w:right="0"/>
        <w:jc w:val="left"/>
      </w:pPr>
      <w:r>
        <w:rPr/>
        <w:t>（</w:t>
      </w:r>
      <w:r>
        <w:rPr>
          <w:rFonts w:ascii="Times New Roman" w:hAnsi="Times New Roman" w:cs="Times New Roman" w:eastAsia="Times New Roman" w:hint="default"/>
        </w:rPr>
        <w:t>2</w:t>
      </w:r>
      <w:r>
        <w:rPr/>
        <w:t>）包装物采用一次转销法。</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3"/>
          <w:szCs w:val="13"/>
        </w:rPr>
      </w:pPr>
    </w:p>
    <w:p>
      <w:pPr>
        <w:pStyle w:val="Heading3"/>
        <w:spacing w:line="240" w:lineRule="auto"/>
        <w:ind w:right="0"/>
        <w:jc w:val="left"/>
        <w:rPr>
          <w:b w:val="0"/>
          <w:bCs w:val="0"/>
        </w:rPr>
      </w:pPr>
      <w:bookmarkStart w:name="13、持有待售资产" w:id="193"/>
      <w:bookmarkEnd w:id="193"/>
      <w:r>
        <w:rPr>
          <w:b w:val="0"/>
          <w:bCs w:val="0"/>
        </w:rPr>
      </w:r>
      <w:r>
        <w:rPr>
          <w:rFonts w:ascii="Times New Roman" w:hAnsi="Times New Roman" w:cs="Times New Roman" w:eastAsia="Times New Roman" w:hint="default"/>
        </w:rPr>
        <w:t>13</w:t>
      </w:r>
      <w:r>
        <w:rPr/>
        <w:t>、持有待售资产</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514"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14、长期股权投资" w:id="194"/>
      <w:bookmarkEnd w:id="194"/>
      <w:r>
        <w:rPr>
          <w:b w:val="0"/>
          <w:bCs w:val="0"/>
        </w:rPr>
      </w:r>
      <w:r>
        <w:rPr>
          <w:rFonts w:ascii="Times New Roman" w:hAnsi="Times New Roman" w:cs="Times New Roman" w:eastAsia="Times New Roman" w:hint="default"/>
        </w:rPr>
        <w:t>14</w:t>
      </w:r>
      <w:r>
        <w:rPr/>
        <w:t>、长期股权投资</w:t>
      </w:r>
      <w:r>
        <w:rPr>
          <w:b w:val="0"/>
          <w:bCs w:val="0"/>
        </w:rPr>
      </w:r>
    </w:p>
    <w:p>
      <w:pPr>
        <w:spacing w:line="240" w:lineRule="auto" w:before="6"/>
        <w:rPr>
          <w:rFonts w:ascii="宋体" w:hAnsi="宋体" w:cs="宋体" w:eastAsia="宋体" w:hint="default"/>
          <w:b/>
          <w:bCs/>
          <w:sz w:val="32"/>
          <w:szCs w:val="32"/>
        </w:rPr>
      </w:pPr>
    </w:p>
    <w:p>
      <w:pPr>
        <w:spacing w:line="477" w:lineRule="auto" w:before="0"/>
        <w:ind w:left="514" w:right="0" w:firstLine="1"/>
        <w:jc w:val="left"/>
        <w:rPr>
          <w:rFonts w:ascii="宋体" w:hAnsi="宋体" w:cs="宋体" w:eastAsia="宋体" w:hint="default"/>
          <w:sz w:val="18"/>
          <w:szCs w:val="18"/>
        </w:rPr>
      </w:pPr>
      <w:r>
        <w:rPr>
          <w:rFonts w:ascii="宋体" w:hAnsi="宋体" w:cs="宋体" w:eastAsia="宋体" w:hint="default"/>
          <w:b/>
          <w:bCs/>
          <w:sz w:val="18"/>
          <w:szCs w:val="18"/>
        </w:rPr>
        <w:t>1.</w:t>
      </w:r>
      <w:r>
        <w:rPr>
          <w:rFonts w:ascii="宋体" w:hAnsi="宋体" w:cs="宋体" w:eastAsia="宋体" w:hint="default"/>
          <w:b/>
          <w:bCs/>
          <w:sz w:val="18"/>
          <w:szCs w:val="18"/>
        </w:rPr>
        <w:t>共同控制、重大影响的判断标准</w:t>
      </w:r>
      <w:r>
        <w:rPr>
          <w:rFonts w:ascii="宋体" w:hAnsi="宋体" w:cs="宋体" w:eastAsia="宋体" w:hint="default"/>
          <w:b/>
          <w:bCs/>
          <w:w w:val="99"/>
          <w:sz w:val="18"/>
          <w:szCs w:val="18"/>
        </w:rPr>
        <w:t> </w:t>
      </w:r>
      <w:r>
        <w:rPr>
          <w:rFonts w:ascii="宋体" w:hAnsi="宋体" w:cs="宋体" w:eastAsia="宋体" w:hint="default"/>
          <w:spacing w:val="-2"/>
          <w:sz w:val="18"/>
          <w:szCs w:val="18"/>
        </w:rPr>
        <w:t>共同控制，是指按照相关约定对某项安排所共有的控制，并且该安排的相关活动必须经过分享控制权的参与方一致同意</w:t>
      </w:r>
    </w:p>
    <w:p>
      <w:pPr>
        <w:pStyle w:val="BodyText"/>
        <w:spacing w:line="477" w:lineRule="auto" w:before="54"/>
        <w:ind w:right="1115"/>
        <w:jc w:val="left"/>
      </w:pPr>
      <w:r>
        <w:rPr>
          <w:spacing w:val="-2"/>
        </w:rPr>
        <w:t>后才能决策。本公司与其他合营方一同对被投资单位实施共同控制且对被投资单位净资产享有权利的，被投资单位为本公司</w:t>
      </w:r>
      <w:r>
        <w:rPr>
          <w:spacing w:val="-64"/>
        </w:rPr>
        <w:t> </w:t>
      </w:r>
      <w:r>
        <w:rPr>
          <w:spacing w:val="-64"/>
        </w:rPr>
      </w:r>
      <w:r>
        <w:rPr/>
        <w:t>的合营企业。</w:t>
      </w:r>
    </w:p>
    <w:p>
      <w:pPr>
        <w:pStyle w:val="BodyText"/>
        <w:spacing w:line="477" w:lineRule="auto" w:before="54"/>
        <w:ind w:right="1132" w:firstLine="360"/>
        <w:jc w:val="both"/>
      </w:pPr>
      <w:r>
        <w:rPr>
          <w:spacing w:val="-2"/>
        </w:rPr>
        <w:t>重大影响，是指对一个企业的财务和经营决策有参与决策的权力，但并不能够控制或者与其他方一起共同控制这些政策</w:t>
      </w:r>
      <w:r>
        <w:rPr/>
        <w:t> 的制定。本公司能够对被投资单位施加重大影响的，被投资单位为本公司联营企业。</w:t>
      </w:r>
    </w:p>
    <w:p>
      <w:pPr>
        <w:pStyle w:val="Heading5"/>
        <w:spacing w:line="240" w:lineRule="auto" w:before="54"/>
        <w:ind w:left="515" w:right="0"/>
        <w:jc w:val="left"/>
        <w:rPr>
          <w:b w:val="0"/>
          <w:bCs w:val="0"/>
        </w:rPr>
      </w:pPr>
      <w:r>
        <w:rPr>
          <w:rFonts w:ascii="宋体" w:hAnsi="宋体" w:cs="宋体" w:eastAsia="宋体" w:hint="default"/>
        </w:rPr>
        <w:t>2.</w:t>
      </w:r>
      <w:r>
        <w:rPr/>
        <w:t>初始投资成本的确定</w:t>
      </w:r>
      <w:r>
        <w:rPr>
          <w:b w:val="0"/>
          <w:bCs w:val="0"/>
        </w:rPr>
      </w:r>
    </w:p>
    <w:p>
      <w:pPr>
        <w:spacing w:line="240" w:lineRule="auto" w:before="10"/>
        <w:rPr>
          <w:rFonts w:ascii="宋体" w:hAnsi="宋体" w:cs="宋体" w:eastAsia="宋体" w:hint="default"/>
          <w:b/>
          <w:bCs/>
          <w:sz w:val="17"/>
          <w:szCs w:val="17"/>
        </w:rPr>
      </w:pPr>
    </w:p>
    <w:p>
      <w:pPr>
        <w:pStyle w:val="BodyText"/>
        <w:spacing w:line="240" w:lineRule="auto"/>
        <w:ind w:left="514" w:right="0"/>
        <w:jc w:val="left"/>
      </w:pPr>
      <w:r>
        <w:rPr/>
        <w:t>（</w:t>
      </w:r>
      <w:r>
        <w:rPr>
          <w:rFonts w:ascii="Times New Roman" w:hAnsi="Times New Roman" w:cs="Times New Roman" w:eastAsia="Times New Roman" w:hint="default"/>
        </w:rPr>
        <w:t>1</w:t>
      </w:r>
      <w:r>
        <w:rPr/>
        <w:t>）企业合并形成的长期股权投资</w:t>
      </w:r>
    </w:p>
    <w:p>
      <w:pPr>
        <w:spacing w:after="0" w:line="240" w:lineRule="auto"/>
        <w:jc w:val="left"/>
        <w:sectPr>
          <w:pgSz w:w="11910" w:h="16840"/>
          <w:pgMar w:header="851" w:footer="979" w:top="1400" w:bottom="1160" w:left="980" w:right="0"/>
        </w:sectPr>
      </w:pPr>
    </w:p>
    <w:p>
      <w:pPr>
        <w:pStyle w:val="BodyText"/>
        <w:spacing w:line="477" w:lineRule="auto" w:before="140"/>
        <w:ind w:right="0" w:firstLine="360"/>
        <w:jc w:val="left"/>
      </w:pPr>
      <w:r>
        <w:rPr>
          <w:spacing w:val="-2"/>
        </w:rPr>
        <w:t>同一控制下的企业合并：公司以支付现金、转让非现金资产或承担债务方式以及以发行权益性证券作为合并对价的，在</w:t>
      </w:r>
      <w:r>
        <w:rPr/>
        <w:t> </w:t>
      </w:r>
      <w:r>
        <w:rPr>
          <w:spacing w:val="-2"/>
        </w:rPr>
        <w:t>合并日按照取得被合并方所有者权益在最终控制方合并财务报表中的账面价值的份额作为长期股权投资的初始投资成本。因</w:t>
      </w:r>
      <w:r>
        <w:rPr>
          <w:spacing w:val="-64"/>
        </w:rPr>
        <w:t> </w:t>
      </w:r>
      <w:r>
        <w:rPr>
          <w:spacing w:val="-64"/>
        </w:rPr>
      </w:r>
      <w:r>
        <w:rPr>
          <w:spacing w:val="-2"/>
        </w:rPr>
        <w:t>追加投资等原因能够对同一控制下的被投资单位实施控制的，在合并日根据合并后应享有被合并方净资产在最终控制方合并</w:t>
      </w:r>
      <w:r>
        <w:rPr>
          <w:spacing w:val="-64"/>
        </w:rPr>
        <w:t> </w:t>
      </w:r>
      <w:r>
        <w:rPr>
          <w:spacing w:val="-64"/>
        </w:rPr>
      </w:r>
      <w:r>
        <w:rPr>
          <w:spacing w:val="-2"/>
        </w:rPr>
        <w:t>财务报表中的账面价值的份额，确定长期股权投资的初始投资成本。合并日长期股权投资的初始投资成本，与达到合并前的</w:t>
      </w:r>
      <w:r>
        <w:rPr>
          <w:spacing w:val="-66"/>
        </w:rPr>
        <w:t> </w:t>
      </w:r>
      <w:r>
        <w:rPr>
          <w:spacing w:val="-66"/>
        </w:rPr>
      </w:r>
      <w:r>
        <w:rPr>
          <w:spacing w:val="-4"/>
        </w:rPr>
        <w:t>长期股权投资账面价值加上合并日进一步取得股份新支付对价的账面价值之和的差额，调整股本溢价，股本溢价不足冲减的，</w:t>
      </w:r>
      <w:r>
        <w:rPr>
          <w:spacing w:val="-44"/>
        </w:rPr>
        <w:t> </w:t>
      </w:r>
      <w:r>
        <w:rPr>
          <w:spacing w:val="-44"/>
        </w:rPr>
      </w:r>
      <w:r>
        <w:rPr/>
        <w:t>冲减留存收益。</w:t>
      </w:r>
    </w:p>
    <w:p>
      <w:pPr>
        <w:pStyle w:val="BodyText"/>
        <w:spacing w:line="477" w:lineRule="auto" w:before="54"/>
        <w:ind w:right="1132" w:firstLine="360"/>
        <w:jc w:val="both"/>
      </w:pPr>
      <w:r>
        <w:rPr>
          <w:spacing w:val="-2"/>
        </w:rPr>
        <w:t>非同一控制下的企业合并：公司按照购买日确定的合并成本作为长期股权投资的初始投资成本。因追加投资等原因能够</w:t>
      </w:r>
      <w:r>
        <w:rPr/>
        <w:t> </w:t>
      </w:r>
      <w:r>
        <w:rPr>
          <w:spacing w:val="-2"/>
        </w:rPr>
        <w:t>对非同一控制下的被投资单位实施控制的，按照原持有的股权投资账面价值加上新增投资成本之和，作为改按成本法核算的</w:t>
      </w:r>
      <w:r>
        <w:rPr>
          <w:spacing w:val="-64"/>
        </w:rPr>
        <w:t> </w:t>
      </w:r>
      <w:r>
        <w:rPr>
          <w:spacing w:val="-64"/>
        </w:rPr>
      </w:r>
      <w:r>
        <w:rPr/>
        <w:t>初始投资成本。</w:t>
      </w:r>
    </w:p>
    <w:p>
      <w:pPr>
        <w:pStyle w:val="BodyText"/>
        <w:spacing w:line="468" w:lineRule="auto" w:before="54"/>
        <w:ind w:left="514" w:right="1115"/>
        <w:jc w:val="left"/>
      </w:pPr>
      <w:r>
        <w:rPr/>
        <w:t>（</w:t>
      </w:r>
      <w:r>
        <w:rPr>
          <w:rFonts w:ascii="Times New Roman" w:hAnsi="Times New Roman" w:cs="Times New Roman" w:eastAsia="Times New Roman" w:hint="default"/>
        </w:rPr>
        <w:t>2</w:t>
      </w:r>
      <w:r>
        <w:rPr/>
        <w:t>）其他方式取得的长期股权投资 以支付现金方式取得的长期股权投资，按照实际支付的购买价款作为初始投资成本。 以发行权益性证券取得的长期股权投资，按照发行权益性证券的公允价值作为初始投资成本。 </w:t>
      </w:r>
      <w:r>
        <w:rPr>
          <w:spacing w:val="-2"/>
        </w:rPr>
        <w:t>在非货币性资产交换具备商业实质和换入资产或换出资产的公允价值能够可靠计量的前提下，非货币性资产交换换入的</w:t>
      </w:r>
    </w:p>
    <w:p>
      <w:pPr>
        <w:pStyle w:val="BodyText"/>
        <w:spacing w:line="477" w:lineRule="auto" w:before="61"/>
        <w:ind w:right="1131"/>
        <w:jc w:val="both"/>
      </w:pPr>
      <w:r>
        <w:rPr>
          <w:spacing w:val="-2"/>
        </w:rPr>
        <w:t>长期股权投资以换出资产的公允价值和应支付的相关税费确定其初始投资成本，除非有确凿证据表明换入资产的公允价值更</w:t>
      </w:r>
      <w:r>
        <w:rPr>
          <w:spacing w:val="-64"/>
        </w:rPr>
        <w:t> </w:t>
      </w:r>
      <w:r>
        <w:rPr>
          <w:spacing w:val="-64"/>
        </w:rPr>
      </w:r>
      <w:r>
        <w:rPr>
          <w:spacing w:val="-2"/>
        </w:rPr>
        <w:t>加可靠；不满足上述前提的非货币性资产交换，以换出资产的账面价值和应支付的相关税费作为换入长期股权投资的初始投</w:t>
      </w:r>
      <w:r>
        <w:rPr>
          <w:spacing w:val="-64"/>
        </w:rPr>
        <w:t> </w:t>
      </w:r>
      <w:r>
        <w:rPr>
          <w:spacing w:val="-64"/>
        </w:rPr>
      </w:r>
      <w:r>
        <w:rPr/>
        <w:t>资成本。</w:t>
      </w:r>
    </w:p>
    <w:p>
      <w:pPr>
        <w:spacing w:line="477" w:lineRule="auto" w:before="54"/>
        <w:ind w:left="515" w:right="4093" w:hanging="2"/>
        <w:jc w:val="left"/>
        <w:rPr>
          <w:rFonts w:ascii="宋体" w:hAnsi="宋体" w:cs="宋体" w:eastAsia="宋体" w:hint="default"/>
          <w:sz w:val="18"/>
          <w:szCs w:val="18"/>
        </w:rPr>
      </w:pPr>
      <w:r>
        <w:rPr>
          <w:rFonts w:ascii="宋体" w:hAnsi="宋体" w:cs="宋体" w:eastAsia="宋体" w:hint="default"/>
          <w:sz w:val="18"/>
          <w:szCs w:val="18"/>
        </w:rPr>
        <w:t>通过债务重组取得的长期股权投资，其初始投资成本按照公允价值为基础确定。 </w:t>
      </w:r>
      <w:r>
        <w:rPr>
          <w:rFonts w:ascii="宋体" w:hAnsi="宋体" w:cs="宋体" w:eastAsia="宋体" w:hint="default"/>
          <w:b/>
          <w:bCs/>
          <w:sz w:val="18"/>
          <w:szCs w:val="18"/>
        </w:rPr>
        <w:t>3.</w:t>
      </w:r>
      <w:r>
        <w:rPr>
          <w:rFonts w:ascii="宋体" w:hAnsi="宋体" w:cs="宋体" w:eastAsia="宋体" w:hint="default"/>
          <w:b/>
          <w:bCs/>
          <w:sz w:val="18"/>
          <w:szCs w:val="18"/>
        </w:rPr>
        <w:t>后续计量及损益确认方法</w:t>
      </w:r>
      <w:r>
        <w:rPr>
          <w:rFonts w:ascii="宋体" w:hAnsi="宋体" w:cs="宋体" w:eastAsia="宋体" w:hint="default"/>
          <w:sz w:val="18"/>
          <w:szCs w:val="18"/>
        </w:rPr>
      </w:r>
    </w:p>
    <w:p>
      <w:pPr>
        <w:pStyle w:val="BodyText"/>
        <w:spacing w:line="451" w:lineRule="auto" w:before="54"/>
        <w:ind w:left="514" w:right="0"/>
        <w:jc w:val="left"/>
      </w:pPr>
      <w:r>
        <w:rPr/>
        <w:t>（</w:t>
      </w:r>
      <w:r>
        <w:rPr>
          <w:rFonts w:ascii="Times New Roman" w:hAnsi="Times New Roman" w:cs="Times New Roman" w:eastAsia="Times New Roman" w:hint="default"/>
        </w:rPr>
        <w:t>1</w:t>
      </w:r>
      <w:r>
        <w:rPr/>
        <w:t>）成本法核算的长期股权投资 </w:t>
      </w:r>
      <w:r>
        <w:rPr>
          <w:spacing w:val="-2"/>
        </w:rPr>
        <w:t>公司对子公司的长期股权投资，采用成本法核算。除取得投资时实际支付的价款或对价中包含的已宣告但尚未发放的现</w:t>
      </w:r>
    </w:p>
    <w:p>
      <w:pPr>
        <w:pStyle w:val="BodyText"/>
        <w:spacing w:line="240" w:lineRule="auto" w:before="74"/>
        <w:ind w:right="0"/>
        <w:jc w:val="both"/>
      </w:pPr>
      <w:r>
        <w:rPr/>
        <w:t>金股利或利润外，公司按照享有被投资单位宣告发放的现金股利或利润确认当期投资收益。</w:t>
      </w:r>
    </w:p>
    <w:p>
      <w:pPr>
        <w:spacing w:line="240" w:lineRule="auto" w:before="10"/>
        <w:rPr>
          <w:rFonts w:ascii="宋体" w:hAnsi="宋体" w:cs="宋体" w:eastAsia="宋体" w:hint="default"/>
          <w:sz w:val="17"/>
          <w:szCs w:val="17"/>
        </w:rPr>
      </w:pPr>
    </w:p>
    <w:p>
      <w:pPr>
        <w:pStyle w:val="BodyText"/>
        <w:spacing w:line="451" w:lineRule="auto"/>
        <w:ind w:left="514" w:right="0"/>
        <w:jc w:val="left"/>
      </w:pPr>
      <w:r>
        <w:rPr/>
        <w:t>（</w:t>
      </w:r>
      <w:r>
        <w:rPr>
          <w:rFonts w:ascii="Times New Roman" w:hAnsi="Times New Roman" w:cs="Times New Roman" w:eastAsia="Times New Roman" w:hint="default"/>
        </w:rPr>
        <w:t>2</w:t>
      </w:r>
      <w:r>
        <w:rPr/>
        <w:t>）权益法核算的长期股权投资 </w:t>
      </w:r>
      <w:r>
        <w:rPr>
          <w:spacing w:val="-2"/>
        </w:rPr>
        <w:t>对联营企业和合营企业的长期股权投资，采用权益法核算。初始投资成本大于投资时应享有被投资单位可辨认净资产公</w:t>
      </w:r>
    </w:p>
    <w:p>
      <w:pPr>
        <w:pStyle w:val="BodyText"/>
        <w:spacing w:line="477" w:lineRule="auto" w:before="74"/>
        <w:ind w:right="1131"/>
        <w:jc w:val="both"/>
      </w:pPr>
      <w:r>
        <w:rPr>
          <w:spacing w:val="-2"/>
        </w:rPr>
        <w:t>允价值份额的差额，不调整长期股权投资的初始投资成本；初始投资成本小于投资时应享有被投资单位可辨认净资产公允价</w:t>
      </w:r>
      <w:r>
        <w:rPr>
          <w:spacing w:val="-64"/>
        </w:rPr>
        <w:t> </w:t>
      </w:r>
      <w:r>
        <w:rPr>
          <w:spacing w:val="-64"/>
        </w:rPr>
      </w:r>
      <w:r>
        <w:rPr/>
        <w:t>值份额的差额，计入当期损益。</w:t>
      </w:r>
    </w:p>
    <w:p>
      <w:pPr>
        <w:pStyle w:val="BodyText"/>
        <w:spacing w:line="477" w:lineRule="auto" w:before="54"/>
        <w:ind w:right="1132" w:firstLine="360"/>
        <w:jc w:val="both"/>
      </w:pPr>
      <w:r>
        <w:rPr>
          <w:spacing w:val="-2"/>
        </w:rPr>
        <w:t>公司按照应享有或应分担的被投资单位实现的净损益和其他综合收益的份额，分别确认投资收益和其他综合收益，同时</w:t>
      </w:r>
      <w:r>
        <w:rPr/>
        <w:t> </w:t>
      </w:r>
      <w:r>
        <w:rPr>
          <w:spacing w:val="-2"/>
        </w:rPr>
        <w:t>调整长期股权投资的账面价值；按照被投资单位宣告分派的利润或现金股利计算应享有的部分，相应减少长期股权投资的账</w:t>
      </w:r>
      <w:r>
        <w:rPr>
          <w:spacing w:val="-64"/>
        </w:rPr>
        <w:t> </w:t>
      </w:r>
      <w:r>
        <w:rPr>
          <w:spacing w:val="-64"/>
        </w:rPr>
      </w:r>
      <w:r>
        <w:rPr>
          <w:spacing w:val="-2"/>
        </w:rPr>
        <w:t>面价值；对于被投资单位除净损益、其他综合收益和利润分配以外所有者权益的其他变动，调整长期股权投资的账面价值并</w:t>
      </w:r>
      <w:r>
        <w:rPr>
          <w:spacing w:val="-66"/>
        </w:rPr>
        <w:t> </w:t>
      </w:r>
      <w:r>
        <w:rPr>
          <w:spacing w:val="-66"/>
        </w:rPr>
      </w:r>
      <w:r>
        <w:rPr/>
        <w:t>计入所有者权益。</w:t>
      </w:r>
    </w:p>
    <w:p>
      <w:pPr>
        <w:pStyle w:val="BodyText"/>
        <w:spacing w:line="240" w:lineRule="auto" w:before="54"/>
        <w:ind w:left="514" w:right="0"/>
        <w:jc w:val="left"/>
      </w:pPr>
      <w:r>
        <w:rPr/>
        <w:t>在确认应享有被投资单位净损益的份额时，以取得投资时被投资单位可辨认净资产的公允价值为基础，并按照公司的会</w:t>
      </w:r>
    </w:p>
    <w:p>
      <w:pPr>
        <w:spacing w:after="0" w:line="240" w:lineRule="auto"/>
        <w:jc w:val="left"/>
        <w:sectPr>
          <w:pgSz w:w="11910" w:h="16840"/>
          <w:pgMar w:header="851" w:footer="979" w:top="1400" w:bottom="1160" w:left="980" w:right="0"/>
        </w:sectPr>
      </w:pPr>
    </w:p>
    <w:p>
      <w:pPr>
        <w:pStyle w:val="BodyText"/>
        <w:spacing w:line="477" w:lineRule="auto" w:before="140"/>
        <w:ind w:right="0"/>
        <w:jc w:val="left"/>
      </w:pPr>
      <w:r>
        <w:rPr>
          <w:spacing w:val="-2"/>
        </w:rPr>
        <w:t>计政策及会计期间，对被投资单位的净利润进行调整后确认。在持有投资期间，被投资单位编制合并财务报表的，以合并财</w:t>
      </w:r>
      <w:r>
        <w:rPr>
          <w:spacing w:val="-66"/>
        </w:rPr>
        <w:t> </w:t>
      </w:r>
      <w:r>
        <w:rPr>
          <w:spacing w:val="-66"/>
        </w:rPr>
      </w:r>
      <w:r>
        <w:rPr/>
        <w:t>务报表中的净利润、其他综合收益和其他所有者权益变动中归属于被投资单位的金额为基础进行核算。</w:t>
      </w:r>
    </w:p>
    <w:p>
      <w:pPr>
        <w:pStyle w:val="BodyText"/>
        <w:spacing w:line="468" w:lineRule="auto" w:before="54"/>
        <w:ind w:right="1131" w:firstLine="360"/>
        <w:jc w:val="both"/>
      </w:pPr>
      <w:r>
        <w:rPr>
          <w:spacing w:val="-2"/>
        </w:rPr>
        <w:t>公司与联营企业、合营企业之间发生的未实现内部交易损益按照应享有的比例计算归属于公司的部分，予以抵销，在此</w:t>
      </w:r>
      <w:r>
        <w:rPr/>
        <w:t> </w:t>
      </w:r>
      <w:r>
        <w:rPr>
          <w:spacing w:val="-2"/>
        </w:rPr>
        <w:t>基础上确认投资收益。与被投资单位发生的未实现内部交易损失，属于资产减值损失的，全额确认。公司与联营企业、合营</w:t>
      </w:r>
      <w:r>
        <w:rPr>
          <w:spacing w:val="-66"/>
        </w:rPr>
        <w:t> </w:t>
      </w:r>
      <w:r>
        <w:rPr>
          <w:spacing w:val="-66"/>
        </w:rPr>
      </w:r>
      <w:r>
        <w:rPr/>
        <w:t>企业之间发生投出或出售资产的交易，该资产构成业务的，按照本附注</w:t>
      </w:r>
      <w:r>
        <w:rPr>
          <w:rFonts w:ascii="Times New Roman" w:hAnsi="Times New Roman" w:cs="Times New Roman" w:eastAsia="Times New Roman" w:hint="default"/>
        </w:rPr>
        <w:t>“</w:t>
      </w:r>
      <w:r>
        <w:rPr/>
        <w:t>五、（五）同一控制下和非同一控制下企业合并的</w:t>
      </w:r>
      <w:r>
        <w:rPr>
          <w:spacing w:val="-75"/>
        </w:rPr>
        <w:t> </w:t>
      </w:r>
      <w:r>
        <w:rPr>
          <w:spacing w:val="-75"/>
        </w:rPr>
      </w:r>
      <w:r>
        <w:rPr/>
        <w:t>会计处理方法</w:t>
      </w:r>
      <w:r>
        <w:rPr>
          <w:rFonts w:ascii="Times New Roman" w:hAnsi="Times New Roman" w:cs="Times New Roman" w:eastAsia="Times New Roman" w:hint="default"/>
        </w:rPr>
        <w:t>”</w:t>
      </w:r>
      <w:r>
        <w:rPr/>
        <w:t>和</w:t>
      </w:r>
      <w:r>
        <w:rPr>
          <w:rFonts w:ascii="Times New Roman" w:hAnsi="Times New Roman" w:cs="Times New Roman" w:eastAsia="Times New Roman" w:hint="default"/>
        </w:rPr>
        <w:t>“</w:t>
      </w:r>
      <w:r>
        <w:rPr/>
        <w:t>五、（六）合并财务报表的编制方法</w:t>
      </w:r>
      <w:r>
        <w:rPr>
          <w:rFonts w:ascii="Times New Roman" w:hAnsi="Times New Roman" w:cs="Times New Roman" w:eastAsia="Times New Roman" w:hint="default"/>
        </w:rPr>
        <w:t>”</w:t>
      </w:r>
      <w:r>
        <w:rPr/>
        <w:t>中披露的相关政策进行会计处理。</w:t>
      </w:r>
    </w:p>
    <w:p>
      <w:pPr>
        <w:pStyle w:val="BodyText"/>
        <w:spacing w:line="477" w:lineRule="auto" w:before="29"/>
        <w:ind w:right="1032" w:firstLine="360"/>
        <w:jc w:val="left"/>
      </w:pPr>
      <w:r>
        <w:rPr>
          <w:spacing w:val="-2"/>
        </w:rPr>
        <w:t>在公司确认应分担被投资单位发生的亏损时，按照以下顺序进行处理：首先，冲减长期股权投资的账面价值。其次，长</w:t>
      </w:r>
      <w:r>
        <w:rPr/>
        <w:t> 期股权投资的账面价值不足以冲减的，以其他实质上构成对被投资单位净投资的长期权益账面价值为限继续确认投资损失，</w:t>
      </w:r>
      <w:r>
        <w:rPr>
          <w:spacing w:val="-85"/>
        </w:rPr>
        <w:t> </w:t>
      </w:r>
      <w:r>
        <w:rPr>
          <w:spacing w:val="-85"/>
        </w:rPr>
      </w:r>
      <w:r>
        <w:rPr>
          <w:spacing w:val="-2"/>
        </w:rPr>
        <w:t>冲减长期应收项目等的账面价值。最后，经过上述处理，按照投资合同或协议约定企业仍承担额外义务的，按预计承担的义</w:t>
      </w:r>
      <w:r>
        <w:rPr>
          <w:spacing w:val="-66"/>
        </w:rPr>
        <w:t> </w:t>
      </w:r>
      <w:r>
        <w:rPr>
          <w:spacing w:val="-66"/>
        </w:rPr>
      </w:r>
      <w:r>
        <w:rPr/>
        <w:t>务确认预计负债，计入当期投资损失。</w:t>
      </w:r>
    </w:p>
    <w:p>
      <w:pPr>
        <w:pStyle w:val="BodyText"/>
        <w:spacing w:line="451" w:lineRule="auto" w:before="54"/>
        <w:ind w:left="514" w:right="4632"/>
        <w:jc w:val="left"/>
      </w:pPr>
      <w:r>
        <w:rPr/>
        <w:t>（</w:t>
      </w:r>
      <w:r>
        <w:rPr>
          <w:rFonts w:ascii="Times New Roman" w:hAnsi="Times New Roman" w:cs="Times New Roman" w:eastAsia="Times New Roman" w:hint="default"/>
        </w:rPr>
        <w:t>3</w:t>
      </w:r>
      <w:r>
        <w:rPr/>
        <w:t>）长期股权投资的处置 处置长期股权投资，其账面价值与实际取得价款的差额，计入当期损益。</w:t>
      </w:r>
    </w:p>
    <w:p>
      <w:pPr>
        <w:pStyle w:val="BodyText"/>
        <w:spacing w:line="477" w:lineRule="auto" w:before="74"/>
        <w:ind w:right="1132" w:firstLine="360"/>
        <w:jc w:val="both"/>
      </w:pPr>
      <w:r>
        <w:rPr>
          <w:spacing w:val="-2"/>
        </w:rPr>
        <w:t>采用权益法核算的长期股权投资，在处置该项投资时，采用与被投资单位直接处置相关资产或负债相同的基础，按相应</w:t>
      </w:r>
      <w:r>
        <w:rPr/>
        <w:t> </w:t>
      </w:r>
      <w:r>
        <w:rPr>
          <w:spacing w:val="-2"/>
        </w:rPr>
        <w:t>比例对原计入其他综合收益的部分进行会计处理。因被投资单位除净损益、其他综合收益和利润分配以外的其他所有者权益</w:t>
      </w:r>
      <w:r>
        <w:rPr>
          <w:spacing w:val="-64"/>
        </w:rPr>
        <w:t> </w:t>
      </w:r>
      <w:r>
        <w:rPr>
          <w:spacing w:val="-64"/>
        </w:rPr>
      </w:r>
      <w:r>
        <w:rPr>
          <w:spacing w:val="-2"/>
        </w:rPr>
        <w:t>变动而确认的所有者权益，按比例结转入当期损益，由于被投资方重新计量设定受益计划净负债或净资产变动而产生的其他</w:t>
      </w:r>
      <w:r>
        <w:rPr>
          <w:spacing w:val="-64"/>
        </w:rPr>
        <w:t> </w:t>
      </w:r>
      <w:r>
        <w:rPr>
          <w:spacing w:val="-64"/>
        </w:rPr>
      </w:r>
      <w:r>
        <w:rPr/>
        <w:t>综合收益除外。</w:t>
      </w:r>
    </w:p>
    <w:p>
      <w:pPr>
        <w:pStyle w:val="BodyText"/>
        <w:spacing w:line="477" w:lineRule="auto" w:before="54"/>
        <w:ind w:right="1032" w:firstLine="360"/>
        <w:jc w:val="left"/>
      </w:pPr>
      <w:r>
        <w:rPr>
          <w:spacing w:val="-2"/>
        </w:rPr>
        <w:t>因处置部分股权投资等原因丧失了对被投资单位的共同控制或重大影响的，处置后的剩余股权改按金融工具确认和计量</w:t>
      </w:r>
      <w:r>
        <w:rPr/>
        <w:t> </w:t>
      </w:r>
      <w:r>
        <w:rPr>
          <w:spacing w:val="-2"/>
        </w:rPr>
        <w:t>准则核算，其在丧失共同控制或重大影响之日的公允价值与账面价值之间的差额计入当期损益。原股权投资因采用权益法核</w:t>
      </w:r>
      <w:r>
        <w:rPr>
          <w:spacing w:val="-64"/>
        </w:rPr>
        <w:t> </w:t>
      </w:r>
      <w:r>
        <w:rPr>
          <w:spacing w:val="-64"/>
        </w:rPr>
      </w:r>
      <w:r>
        <w:rPr/>
        <w:t>算而确认的其他综合收益，在终止采用权益法核算时采用与被投资单位直接处置相关资产或负债相同的基础进行会计处理。</w:t>
      </w:r>
      <w:r>
        <w:rPr>
          <w:spacing w:val="-85"/>
        </w:rPr>
        <w:t> </w:t>
      </w:r>
      <w:r>
        <w:rPr>
          <w:spacing w:val="-85"/>
        </w:rPr>
      </w:r>
      <w:r>
        <w:rPr>
          <w:spacing w:val="-2"/>
        </w:rPr>
        <w:t>因被投资方除净损益、其他综合收益和利润分配以外的其他所有者权益变动而确认的所有者权益，在终止采用权益法核算时</w:t>
      </w:r>
      <w:r>
        <w:rPr>
          <w:spacing w:val="-64"/>
        </w:rPr>
        <w:t> </w:t>
      </w:r>
      <w:r>
        <w:rPr>
          <w:spacing w:val="-64"/>
        </w:rPr>
      </w:r>
      <w:r>
        <w:rPr/>
        <w:t>全部转入当期损益。</w:t>
      </w:r>
    </w:p>
    <w:p>
      <w:pPr>
        <w:pStyle w:val="BodyText"/>
        <w:spacing w:line="477" w:lineRule="auto" w:before="54"/>
        <w:ind w:right="1132" w:firstLine="360"/>
        <w:jc w:val="both"/>
      </w:pPr>
      <w:r>
        <w:rPr>
          <w:spacing w:val="-2"/>
        </w:rPr>
        <w:t>因处置部分股权投资、因其他投资方对子公司增资而导致本公司持股比例下降等原因丧失了对被投资单位控制权的，在</w:t>
      </w:r>
      <w:r>
        <w:rPr/>
        <w:t> </w:t>
      </w:r>
      <w:r>
        <w:rPr>
          <w:spacing w:val="-2"/>
        </w:rPr>
        <w:t>编制个别财务报表时，剩余股权能够对被投资单位实施共同控制或重大影响的，改按权益法核算，并对该剩余股权视同自取</w:t>
      </w:r>
      <w:r>
        <w:rPr>
          <w:spacing w:val="-65"/>
        </w:rPr>
        <w:t> </w:t>
      </w:r>
      <w:r>
        <w:rPr>
          <w:spacing w:val="-65"/>
        </w:rPr>
      </w:r>
      <w:r>
        <w:rPr>
          <w:spacing w:val="-2"/>
        </w:rPr>
        <w:t>得时即采用权益法核算进行调整；剩余股权不能对被投资单位实施共同控制或施加重大影响的，改按金融工具确认和计量准</w:t>
      </w:r>
      <w:r>
        <w:rPr>
          <w:spacing w:val="-64"/>
        </w:rPr>
        <w:t> </w:t>
      </w:r>
      <w:r>
        <w:rPr>
          <w:spacing w:val="-64"/>
        </w:rPr>
      </w:r>
      <w:r>
        <w:rPr/>
        <w:t>则的有关规定进行会计处理，其在丧失控制之日的公允价值与账面价值间的差额计入当期损益。</w:t>
      </w:r>
    </w:p>
    <w:p>
      <w:pPr>
        <w:pStyle w:val="BodyText"/>
        <w:spacing w:line="477" w:lineRule="auto" w:before="54"/>
        <w:ind w:right="1132" w:firstLine="360"/>
        <w:jc w:val="both"/>
      </w:pPr>
      <w:r>
        <w:rPr>
          <w:spacing w:val="-2"/>
        </w:rPr>
        <w:t>处置的股权是因追加投资等原因通过企业合并取得的，在编制个别财务报表时，处置后的剩余股权采用成本法或权益法</w:t>
      </w:r>
      <w:r>
        <w:rPr/>
        <w:t> </w:t>
      </w:r>
      <w:r>
        <w:rPr>
          <w:spacing w:val="-2"/>
        </w:rPr>
        <w:t>核算的，购买日之前持有的股权投资因采用权益法核算而确认的其他综合收益和其他所有者权益按比例结转；处置后的剩余</w:t>
      </w:r>
      <w:r>
        <w:rPr>
          <w:spacing w:val="-64"/>
        </w:rPr>
        <w:t> </w:t>
      </w:r>
      <w:r>
        <w:rPr>
          <w:spacing w:val="-64"/>
        </w:rPr>
      </w:r>
      <w:r>
        <w:rPr/>
        <w:t>股权改按金融工具确认和计量准则进行会计处理的，其他综合收益和其他所有者权益全部结转。</w:t>
      </w:r>
    </w:p>
    <w:p>
      <w:pPr>
        <w:spacing w:after="0" w:line="477" w:lineRule="auto"/>
        <w:jc w:val="both"/>
        <w:sectPr>
          <w:pgSz w:w="11910" w:h="16840"/>
          <w:pgMar w:header="851" w:footer="979" w:top="1400" w:bottom="1160" w:left="98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15、投资性房地产" w:id="195"/>
      <w:bookmarkEnd w:id="195"/>
      <w:r>
        <w:rPr>
          <w:b w:val="0"/>
          <w:bCs w:val="0"/>
        </w:rPr>
      </w:r>
      <w:r>
        <w:rPr>
          <w:rFonts w:ascii="Times New Roman" w:hAnsi="Times New Roman" w:cs="Times New Roman" w:eastAsia="Times New Roman" w:hint="default"/>
        </w:rPr>
        <w:t>15</w:t>
      </w:r>
      <w:r>
        <w:rPr/>
        <w:t>、投资性房地产</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left="514" w:right="8592"/>
        <w:jc w:val="left"/>
      </w:pPr>
      <w:r>
        <w:rPr/>
        <w:t>投资性房地产计量模式 成本法计量 折旧或摊销方法</w:t>
      </w:r>
    </w:p>
    <w:p>
      <w:pPr>
        <w:pStyle w:val="BodyText"/>
        <w:spacing w:line="477" w:lineRule="auto" w:before="54"/>
        <w:ind w:right="1132" w:firstLine="360"/>
        <w:jc w:val="both"/>
      </w:pPr>
      <w:r>
        <w:rPr>
          <w:spacing w:val="-2"/>
        </w:rPr>
        <w:t>投资性房地产是指为赚取租金或资本增值，或两者兼有而持有的房地产，包括已出租的土地使用权、持有并准备增值后</w:t>
      </w:r>
      <w:r>
        <w:rPr/>
        <w:t> </w:t>
      </w:r>
      <w:r>
        <w:rPr>
          <w:spacing w:val="-2"/>
        </w:rPr>
        <w:t>转让的土地使用权、已出租的建筑物（含自行建造或开发活动完成后用于出租的建筑物以及正在建造或开发过程中将来用于</w:t>
      </w:r>
      <w:r>
        <w:rPr>
          <w:spacing w:val="-64"/>
        </w:rPr>
        <w:t> </w:t>
      </w:r>
      <w:r>
        <w:rPr>
          <w:spacing w:val="-64"/>
        </w:rPr>
      </w:r>
      <w:r>
        <w:rPr/>
        <w:t>出租的建筑物）。</w:t>
      </w:r>
    </w:p>
    <w:p>
      <w:pPr>
        <w:pStyle w:val="BodyText"/>
        <w:spacing w:line="477" w:lineRule="auto" w:before="54"/>
        <w:ind w:right="1131" w:firstLine="360"/>
        <w:jc w:val="both"/>
      </w:pPr>
      <w:r>
        <w:rPr>
          <w:spacing w:val="-2"/>
        </w:rPr>
        <w:t>公司对现有投资性房地产采用成本模式计量。对按照成本模式计量的投资性房地产－出租用建筑物采用与本公司固定资</w:t>
      </w:r>
      <w:r>
        <w:rPr/>
        <w:t> 产相同的折旧政策，出租用土地使用权按与无形资产相同的摊销政策执行。</w:t>
      </w:r>
    </w:p>
    <w:p>
      <w:pPr>
        <w:spacing w:line="240" w:lineRule="auto" w:before="3"/>
        <w:rPr>
          <w:rFonts w:ascii="宋体" w:hAnsi="宋体" w:cs="宋体" w:eastAsia="宋体" w:hint="default"/>
          <w:sz w:val="19"/>
          <w:szCs w:val="19"/>
        </w:rPr>
      </w:pPr>
    </w:p>
    <w:p>
      <w:pPr>
        <w:pStyle w:val="Heading3"/>
        <w:spacing w:line="240" w:lineRule="auto"/>
        <w:ind w:right="0"/>
        <w:jc w:val="left"/>
        <w:rPr>
          <w:b w:val="0"/>
          <w:bCs w:val="0"/>
        </w:rPr>
      </w:pPr>
      <w:bookmarkStart w:name="16、固定资产" w:id="196"/>
      <w:bookmarkEnd w:id="196"/>
      <w:r>
        <w:rPr>
          <w:b w:val="0"/>
          <w:bCs w:val="0"/>
        </w:rPr>
      </w:r>
      <w:r>
        <w:rPr>
          <w:rFonts w:ascii="Times New Roman" w:hAnsi="Times New Roman" w:cs="Times New Roman" w:eastAsia="Times New Roman" w:hint="default"/>
        </w:rPr>
        <w:t>16</w:t>
      </w:r>
      <w:r>
        <w:rPr/>
        <w:t>、固定资产</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确认条件" w:id="197"/>
      <w:bookmarkEnd w:id="197"/>
      <w:r>
        <w:rPr>
          <w:b w:val="0"/>
          <w:bCs w:val="0"/>
        </w:rPr>
      </w:r>
      <w:r>
        <w:rPr/>
        <w:t>（</w:t>
      </w:r>
      <w:r>
        <w:rPr>
          <w:rFonts w:ascii="Times New Roman" w:hAnsi="Times New Roman" w:cs="Times New Roman" w:eastAsia="Times New Roman" w:hint="default"/>
        </w:rPr>
        <w:t>1</w:t>
      </w:r>
      <w:r>
        <w:rPr/>
        <w:t>）确认条件</w:t>
      </w:r>
      <w:r>
        <w:rPr>
          <w:b w:val="0"/>
          <w:bCs w:val="0"/>
        </w:rPr>
      </w:r>
    </w:p>
    <w:p>
      <w:pPr>
        <w:spacing w:line="240" w:lineRule="auto" w:before="6"/>
        <w:rPr>
          <w:rFonts w:ascii="宋体" w:hAnsi="宋体" w:cs="宋体" w:eastAsia="宋体" w:hint="default"/>
          <w:b/>
          <w:bCs/>
          <w:sz w:val="32"/>
          <w:szCs w:val="32"/>
        </w:rPr>
      </w:pPr>
    </w:p>
    <w:p>
      <w:pPr>
        <w:pStyle w:val="BodyText"/>
        <w:spacing w:line="463" w:lineRule="auto"/>
        <w:ind w:right="1131" w:firstLine="360"/>
        <w:jc w:val="both"/>
      </w:pPr>
      <w:r>
        <w:rPr>
          <w:spacing w:val="-2"/>
        </w:rPr>
        <w:t>固定资产指为生产商品、提供劳务、出租或经营管理而持有，并且使用寿命超过一个会计年度的有形资产。固定资产在</w:t>
      </w:r>
      <w:r>
        <w:rPr/>
        <w:t> </w:t>
      </w:r>
      <w:r>
        <w:rPr>
          <w:spacing w:val="-2"/>
        </w:rPr>
        <w:t>同时满足下列条件时予以确认：（</w:t>
      </w:r>
      <w:r>
        <w:rPr>
          <w:rFonts w:ascii="Times New Roman" w:hAnsi="Times New Roman" w:cs="Times New Roman" w:eastAsia="Times New Roman" w:hint="default"/>
          <w:spacing w:val="-2"/>
        </w:rPr>
        <w:t>1</w:t>
      </w:r>
      <w:r>
        <w:rPr>
          <w:spacing w:val="-2"/>
        </w:rPr>
        <w:t>）与该固定资产有关的经济利益很可能流入企业；（</w:t>
      </w:r>
      <w:r>
        <w:rPr>
          <w:rFonts w:ascii="Times New Roman" w:hAnsi="Times New Roman" w:cs="Times New Roman" w:eastAsia="Times New Roman" w:hint="default"/>
          <w:spacing w:val="-2"/>
        </w:rPr>
        <w:t>2</w:t>
      </w:r>
      <w:r>
        <w:rPr>
          <w:spacing w:val="-2"/>
        </w:rPr>
        <w:t>）该固定资产的成本能够可靠地计</w:t>
      </w:r>
      <w:r>
        <w:rPr>
          <w:spacing w:val="-66"/>
        </w:rPr>
        <w:t> </w:t>
      </w:r>
      <w:r>
        <w:rPr>
          <w:spacing w:val="-66"/>
        </w:rPr>
      </w:r>
      <w:r>
        <w:rPr/>
        <w:t>量。</w:t>
      </w:r>
    </w:p>
    <w:p>
      <w:pPr>
        <w:spacing w:line="240" w:lineRule="auto" w:before="1"/>
        <w:rPr>
          <w:rFonts w:ascii="宋体" w:hAnsi="宋体" w:cs="宋体" w:eastAsia="宋体" w:hint="default"/>
          <w:sz w:val="20"/>
          <w:szCs w:val="20"/>
        </w:rPr>
      </w:pPr>
    </w:p>
    <w:p>
      <w:pPr>
        <w:pStyle w:val="Heading3"/>
        <w:spacing w:line="240" w:lineRule="auto"/>
        <w:ind w:right="0"/>
        <w:jc w:val="left"/>
        <w:rPr>
          <w:b w:val="0"/>
          <w:bCs w:val="0"/>
        </w:rPr>
      </w:pPr>
      <w:bookmarkStart w:name="（2）折旧方法" w:id="198"/>
      <w:bookmarkEnd w:id="198"/>
      <w:r>
        <w:rPr>
          <w:b w:val="0"/>
          <w:bCs w:val="0"/>
        </w:rPr>
      </w:r>
      <w:r>
        <w:rPr/>
        <w:t>（</w:t>
      </w:r>
      <w:r>
        <w:rPr>
          <w:rFonts w:ascii="Times New Roman" w:hAnsi="Times New Roman" w:cs="Times New Roman" w:eastAsia="Times New Roman" w:hint="default"/>
        </w:rPr>
        <w:t>2</w:t>
      </w:r>
      <w:r>
        <w:rPr/>
        <w:t>）折旧方法</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1"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50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1.9</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办公及电子设备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3-5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19-31.67</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19</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固定资产装修</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20</w:t>
            </w:r>
          </w:p>
        </w:tc>
      </w:tr>
      <w:tr>
        <w:trPr>
          <w:trHeight w:val="403"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19</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3）融资租入固定资产的认定依据、计价和折旧方法" w:id="199"/>
      <w:bookmarkEnd w:id="199"/>
      <w:r>
        <w:rPr>
          <w:b w:val="0"/>
          <w:bCs w:val="0"/>
        </w:rPr>
      </w:r>
      <w:r>
        <w:rPr/>
        <w:t>（</w:t>
      </w:r>
      <w:r>
        <w:rPr>
          <w:rFonts w:ascii="Times New Roman" w:hAnsi="Times New Roman" w:cs="Times New Roman" w:eastAsia="Times New Roman" w:hint="default"/>
        </w:rPr>
        <w:t>3</w:t>
      </w:r>
      <w:r>
        <w:rPr/>
        <w:t>）融资租入固定资产的认定依据、计价和折旧方法</w:t>
      </w:r>
      <w:r>
        <w:rPr>
          <w:b w:val="0"/>
          <w:bCs w:val="0"/>
        </w:rPr>
      </w:r>
    </w:p>
    <w:p>
      <w:pPr>
        <w:spacing w:line="240" w:lineRule="auto" w:before="6"/>
        <w:rPr>
          <w:rFonts w:ascii="宋体" w:hAnsi="宋体" w:cs="宋体" w:eastAsia="宋体" w:hint="default"/>
          <w:b/>
          <w:bCs/>
          <w:sz w:val="32"/>
          <w:szCs w:val="32"/>
        </w:rPr>
      </w:pPr>
    </w:p>
    <w:p>
      <w:pPr>
        <w:pStyle w:val="BodyText"/>
        <w:spacing w:line="458" w:lineRule="auto"/>
        <w:ind w:right="1129" w:firstLine="360"/>
        <w:jc w:val="both"/>
      </w:pPr>
      <w:r>
        <w:rPr/>
        <w:t>公司与租赁方所签订的租赁协议条款中规定了下列条件之一的，确认为融资租入资产：（</w:t>
      </w:r>
      <w:r>
        <w:rPr>
          <w:rFonts w:ascii="Times New Roman" w:hAnsi="Times New Roman" w:cs="Times New Roman" w:eastAsia="Times New Roman" w:hint="default"/>
        </w:rPr>
        <w:t>1</w:t>
      </w:r>
      <w:r>
        <w:rPr/>
        <w:t>）租赁期满后租赁资产的所 </w:t>
      </w:r>
      <w:r>
        <w:rPr>
          <w:spacing w:val="-2"/>
        </w:rPr>
        <w:t>有权归属于本公司；（</w:t>
      </w:r>
      <w:r>
        <w:rPr>
          <w:rFonts w:ascii="Times New Roman" w:hAnsi="Times New Roman" w:cs="Times New Roman" w:eastAsia="Times New Roman" w:hint="default"/>
          <w:spacing w:val="-2"/>
        </w:rPr>
        <w:t>2</w:t>
      </w:r>
      <w:r>
        <w:rPr>
          <w:spacing w:val="-2"/>
        </w:rPr>
        <w:t>）公司具有购买资产的选择权，购买价款远低于行使选择权时该资产的公允价值；（</w:t>
      </w:r>
      <w:r>
        <w:rPr>
          <w:rFonts w:ascii="Times New Roman" w:hAnsi="Times New Roman" w:cs="Times New Roman" w:eastAsia="Times New Roman" w:hint="default"/>
          <w:spacing w:val="-2"/>
        </w:rPr>
        <w:t>3</w:t>
      </w:r>
      <w:r>
        <w:rPr>
          <w:spacing w:val="-2"/>
        </w:rPr>
        <w:t>）租赁期占所</w:t>
      </w:r>
      <w:r>
        <w:rPr>
          <w:spacing w:val="-64"/>
        </w:rPr>
        <w:t> </w:t>
      </w:r>
      <w:r>
        <w:rPr>
          <w:spacing w:val="-64"/>
        </w:rPr>
      </w:r>
      <w:r>
        <w:rPr/>
        <w:t>租赁资产使用寿命的大部分；（</w:t>
      </w:r>
      <w:r>
        <w:rPr>
          <w:rFonts w:ascii="Times New Roman" w:hAnsi="Times New Roman" w:cs="Times New Roman" w:eastAsia="Times New Roman" w:hint="default"/>
        </w:rPr>
        <w:t>4</w:t>
      </w:r>
      <w:r>
        <w:rPr/>
        <w:t>）租赁开始日的最低租赁付款额现值，与该资产的公允价值不存在较大的差异。公司在承</w:t>
      </w:r>
      <w:r>
        <w:rPr>
          <w:spacing w:val="-83"/>
        </w:rPr>
        <w:t> </w:t>
      </w:r>
      <w:r>
        <w:rPr>
          <w:spacing w:val="-83"/>
        </w:rPr>
      </w:r>
      <w:r>
        <w:rPr>
          <w:spacing w:val="-2"/>
        </w:rPr>
        <w:t>租开始日，将租赁资产公允价值与最低租赁付款额现值两者中较低者作为租入资产的入账价值，将最低租赁付款额作为长期</w:t>
      </w:r>
      <w:r>
        <w:rPr>
          <w:spacing w:val="-64"/>
        </w:rPr>
        <w:t> </w:t>
      </w:r>
      <w:r>
        <w:rPr>
          <w:spacing w:val="-64"/>
        </w:rPr>
      </w:r>
      <w:r>
        <w:rPr/>
        <w:t>应付款的入账价值，其差额作为未确认的融资费。公司本报告期无融资租入固定资产。</w:t>
      </w:r>
    </w:p>
    <w:p>
      <w:pPr>
        <w:spacing w:after="0" w:line="458" w:lineRule="auto"/>
        <w:jc w:val="both"/>
        <w:sectPr>
          <w:pgSz w:w="11910" w:h="16840"/>
          <w:pgMar w:header="851" w:footer="979" w:top="1400" w:bottom="1160" w:left="98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17、在建工程" w:id="200"/>
      <w:bookmarkEnd w:id="200"/>
      <w:r>
        <w:rPr>
          <w:b w:val="0"/>
          <w:bCs w:val="0"/>
        </w:rPr>
      </w:r>
      <w:r>
        <w:rPr>
          <w:rFonts w:ascii="Times New Roman" w:hAnsi="Times New Roman" w:cs="Times New Roman" w:eastAsia="Times New Roman" w:hint="default"/>
        </w:rPr>
        <w:t>17</w:t>
      </w:r>
      <w:r>
        <w:rPr/>
        <w:t>、在建工程</w:t>
      </w:r>
      <w:r>
        <w:rPr>
          <w:b w:val="0"/>
          <w:bCs w:val="0"/>
        </w:rPr>
      </w:r>
    </w:p>
    <w:p>
      <w:pPr>
        <w:spacing w:line="240" w:lineRule="auto" w:before="6"/>
        <w:rPr>
          <w:rFonts w:ascii="宋体" w:hAnsi="宋体" w:cs="宋体" w:eastAsia="宋体" w:hint="default"/>
          <w:b/>
          <w:bCs/>
          <w:sz w:val="32"/>
          <w:szCs w:val="32"/>
        </w:rPr>
      </w:pPr>
    </w:p>
    <w:p>
      <w:pPr>
        <w:spacing w:line="477" w:lineRule="auto" w:before="0"/>
        <w:ind w:left="515" w:right="7333" w:hanging="2"/>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w:t>
      </w:r>
      <w:r>
        <w:rPr>
          <w:rFonts w:ascii="宋体" w:hAnsi="宋体" w:cs="宋体" w:eastAsia="宋体" w:hint="default"/>
          <w:b/>
          <w:bCs/>
          <w:sz w:val="18"/>
          <w:szCs w:val="18"/>
        </w:rPr>
        <w:t>是</w:t>
      </w:r>
      <w:r>
        <w:rPr>
          <w:rFonts w:ascii="宋体" w:hAnsi="宋体" w:cs="宋体" w:eastAsia="宋体" w:hint="default"/>
          <w:b/>
          <w:bCs/>
          <w:w w:val="99"/>
          <w:sz w:val="18"/>
          <w:szCs w:val="18"/>
        </w:rPr>
        <w:t> </w:t>
      </w:r>
      <w:r>
        <w:rPr>
          <w:rFonts w:ascii="宋体" w:hAnsi="宋体" w:cs="宋体" w:eastAsia="宋体" w:hint="default"/>
          <w:b/>
          <w:bCs/>
          <w:sz w:val="18"/>
          <w:szCs w:val="18"/>
        </w:rPr>
        <w:t>软件与信息技术服务业</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互联网游戏业</w:t>
      </w:r>
      <w:r>
        <w:rPr>
          <w:rFonts w:ascii="宋体" w:hAnsi="宋体" w:cs="宋体" w:eastAsia="宋体" w:hint="default"/>
          <w:sz w:val="18"/>
          <w:szCs w:val="18"/>
        </w:rPr>
      </w:r>
    </w:p>
    <w:p>
      <w:pPr>
        <w:pStyle w:val="BodyText"/>
        <w:spacing w:line="477" w:lineRule="auto" w:before="21"/>
        <w:ind w:right="1131" w:firstLine="360"/>
        <w:jc w:val="both"/>
      </w:pPr>
      <w:r>
        <w:rPr>
          <w:spacing w:val="-2"/>
        </w:rPr>
        <w:t>在建工程项目按建造该项资产达到预定可使用状态前所发生的必要支出，作为固定资产的入账价值。所建造的固定资产</w:t>
      </w:r>
      <w:r>
        <w:rPr/>
        <w:t> </w:t>
      </w:r>
      <w:r>
        <w:rPr>
          <w:spacing w:val="-2"/>
        </w:rPr>
        <w:t>在工程已达到预定可使用状态，但尚未办理竣工决算的，自达到预定可使用状态之日起，根据工程预算、造价或者工程实际</w:t>
      </w:r>
      <w:r>
        <w:rPr>
          <w:spacing w:val="-66"/>
        </w:rPr>
        <w:t> </w:t>
      </w:r>
      <w:r>
        <w:rPr>
          <w:spacing w:val="-66"/>
        </w:rPr>
      </w:r>
      <w:r>
        <w:rPr>
          <w:spacing w:val="-2"/>
        </w:rPr>
        <w:t>成本等，按估计的价值转入固定资产，并按本公司固定资产折旧政策计提固定资产的折旧，待办理竣工决算后，再按实际成</w:t>
      </w:r>
      <w:r>
        <w:rPr>
          <w:spacing w:val="-66"/>
        </w:rPr>
        <w:t> </w:t>
      </w:r>
      <w:r>
        <w:rPr>
          <w:spacing w:val="-66"/>
        </w:rPr>
      </w:r>
      <w:r>
        <w:rPr/>
        <w:t>本调整原来的暂估价值，但不调整原已计提的折旧额。</w:t>
      </w:r>
    </w:p>
    <w:p>
      <w:pPr>
        <w:spacing w:line="240" w:lineRule="auto" w:before="3"/>
        <w:rPr>
          <w:rFonts w:ascii="宋体" w:hAnsi="宋体" w:cs="宋体" w:eastAsia="宋体" w:hint="default"/>
          <w:sz w:val="19"/>
          <w:szCs w:val="19"/>
        </w:rPr>
      </w:pPr>
    </w:p>
    <w:p>
      <w:pPr>
        <w:pStyle w:val="Heading3"/>
        <w:spacing w:line="240" w:lineRule="auto"/>
        <w:ind w:right="0"/>
        <w:jc w:val="left"/>
        <w:rPr>
          <w:b w:val="0"/>
          <w:bCs w:val="0"/>
        </w:rPr>
      </w:pPr>
      <w:bookmarkStart w:name="18、借款费用" w:id="201"/>
      <w:bookmarkEnd w:id="201"/>
      <w:r>
        <w:rPr>
          <w:b w:val="0"/>
          <w:bCs w:val="0"/>
        </w:rPr>
      </w:r>
      <w:r>
        <w:rPr>
          <w:rFonts w:ascii="Times New Roman" w:hAnsi="Times New Roman" w:cs="Times New Roman" w:eastAsia="Times New Roman" w:hint="default"/>
        </w:rPr>
        <w:t>18</w:t>
      </w:r>
      <w:r>
        <w:rPr/>
        <w:t>、借款费用</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left="514" w:right="1115" w:firstLine="1"/>
        <w:jc w:val="left"/>
      </w:pPr>
      <w:r>
        <w:rPr>
          <w:rFonts w:ascii="宋体" w:hAnsi="宋体" w:cs="宋体" w:eastAsia="宋体" w:hint="default"/>
          <w:b/>
          <w:bCs/>
        </w:rPr>
        <w:t>1.</w:t>
      </w:r>
      <w:r>
        <w:rPr>
          <w:rFonts w:ascii="宋体" w:hAnsi="宋体" w:cs="宋体" w:eastAsia="宋体" w:hint="default"/>
          <w:b/>
          <w:bCs/>
        </w:rPr>
        <w:t>借款费用资本化的确认原则</w:t>
      </w:r>
      <w:r>
        <w:rPr>
          <w:rFonts w:ascii="宋体" w:hAnsi="宋体" w:cs="宋体" w:eastAsia="宋体" w:hint="default"/>
          <w:b/>
          <w:bCs/>
          <w:w w:val="99"/>
        </w:rPr>
        <w:t> </w:t>
      </w:r>
      <w:r>
        <w:rPr/>
        <w:t>借款费用，包括借款利息、折价或者溢价的摊销、辅助费用以及因外币借款而发生的汇兑差额等。 </w:t>
      </w:r>
      <w:r>
        <w:rPr>
          <w:spacing w:val="-2"/>
        </w:rPr>
        <w:t>公司发生的借款费用，可直接归属于符合资本化条件的资产的购建或者生产的，予以资本化，计入相关资产成本；其他</w:t>
      </w:r>
    </w:p>
    <w:p>
      <w:pPr>
        <w:pStyle w:val="BodyText"/>
        <w:spacing w:line="477" w:lineRule="auto" w:before="54"/>
        <w:ind w:left="514" w:right="0" w:hanging="360"/>
        <w:jc w:val="left"/>
      </w:pPr>
      <w:r>
        <w:rPr/>
        <w:t>借款费用，在发生时根据其发生额确认为费用，计入当期损益。 </w:t>
      </w:r>
      <w:r>
        <w:rPr>
          <w:spacing w:val="-2"/>
        </w:rPr>
        <w:t>符合资本化条件的资产，是指需要经过相当长时间的购建或者生产活动才能达到预定可使用或者可销售状态的固定资产、</w:t>
      </w:r>
    </w:p>
    <w:p>
      <w:pPr>
        <w:pStyle w:val="BodyText"/>
        <w:spacing w:line="477" w:lineRule="auto" w:before="54"/>
        <w:ind w:left="514" w:right="6972" w:hanging="360"/>
        <w:jc w:val="left"/>
      </w:pPr>
      <w:r>
        <w:rPr/>
        <w:t>投资性房地产和存货等资产。 借款费用同时满足下列条件时开始资本化：</w:t>
      </w:r>
    </w:p>
    <w:p>
      <w:pPr>
        <w:pStyle w:val="BodyText"/>
        <w:spacing w:line="451" w:lineRule="auto" w:before="54"/>
        <w:ind w:right="1131" w:firstLine="360"/>
        <w:jc w:val="both"/>
      </w:pPr>
      <w:r>
        <w:rPr/>
        <w:t>（</w:t>
      </w:r>
      <w:r>
        <w:rPr>
          <w:rFonts w:ascii="Times New Roman" w:hAnsi="Times New Roman" w:cs="Times New Roman" w:eastAsia="Times New Roman" w:hint="default"/>
        </w:rPr>
        <w:t>1</w:t>
      </w:r>
      <w:r>
        <w:rPr/>
        <w:t>）资产支出已经发生，资产支出包括为购建或者生产符合资本化条件的资产而以支付现金、转移非现金资产或者承 担带息债务形式发生的支出；</w:t>
      </w:r>
    </w:p>
    <w:p>
      <w:pPr>
        <w:pStyle w:val="BodyText"/>
        <w:spacing w:line="240" w:lineRule="auto" w:before="74"/>
        <w:ind w:left="514" w:right="0"/>
        <w:jc w:val="left"/>
      </w:pPr>
      <w:r>
        <w:rPr/>
        <w:t>（</w:t>
      </w:r>
      <w:r>
        <w:rPr>
          <w:rFonts w:ascii="Times New Roman" w:hAnsi="Times New Roman" w:cs="Times New Roman" w:eastAsia="Times New Roman" w:hint="default"/>
        </w:rPr>
        <w:t>2</w:t>
      </w:r>
      <w:r>
        <w:rPr/>
        <w:t>）借款费用已经发生；</w:t>
      </w:r>
    </w:p>
    <w:p>
      <w:pPr>
        <w:spacing w:line="240" w:lineRule="auto" w:before="9"/>
        <w:rPr>
          <w:rFonts w:ascii="宋体" w:hAnsi="宋体" w:cs="宋体" w:eastAsia="宋体" w:hint="default"/>
          <w:sz w:val="16"/>
          <w:szCs w:val="16"/>
        </w:rPr>
      </w:pPr>
    </w:p>
    <w:p>
      <w:pPr>
        <w:spacing w:line="451" w:lineRule="auto" w:before="0"/>
        <w:ind w:left="515" w:right="3643" w:hanging="2"/>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）为使资产达到预定可使用或者可销售状态所必要的购建或者生产活动已经开始。 </w:t>
      </w:r>
      <w:r>
        <w:rPr>
          <w:rFonts w:ascii="宋体" w:hAnsi="宋体" w:cs="宋体" w:eastAsia="宋体" w:hint="default"/>
          <w:b/>
          <w:bCs/>
          <w:sz w:val="18"/>
          <w:szCs w:val="18"/>
        </w:rPr>
        <w:t>2.</w:t>
      </w:r>
      <w:r>
        <w:rPr>
          <w:rFonts w:ascii="宋体" w:hAnsi="宋体" w:cs="宋体" w:eastAsia="宋体" w:hint="default"/>
          <w:b/>
          <w:bCs/>
          <w:sz w:val="18"/>
          <w:szCs w:val="18"/>
        </w:rPr>
        <w:t>借款费用资本化期间</w:t>
      </w:r>
      <w:r>
        <w:rPr>
          <w:rFonts w:ascii="宋体" w:hAnsi="宋体" w:cs="宋体" w:eastAsia="宋体" w:hint="default"/>
          <w:sz w:val="18"/>
          <w:szCs w:val="18"/>
        </w:rPr>
      </w:r>
    </w:p>
    <w:p>
      <w:pPr>
        <w:pStyle w:val="BodyText"/>
        <w:spacing w:line="477" w:lineRule="auto" w:before="74"/>
        <w:ind w:left="514" w:right="0"/>
        <w:jc w:val="left"/>
      </w:pPr>
      <w:r>
        <w:rPr/>
        <w:t>资本化期间，指从借款费用开始资本化时点到停止资本化时点的期间，借款费用暂停资本化的期间不包括在内。 当购建或者生产符合资本化条件的资产达到预定可使用或者可销售状态时，借款费用停止资本化。 当购建或者生产符合资本化条件的资产中部分项目分别完工且可单独使用时，该部分资产借款费用停止资本化。 </w:t>
      </w:r>
      <w:r>
        <w:rPr>
          <w:spacing w:val="-2"/>
        </w:rPr>
        <w:t>购建或者生产的资产的各部分分别完工，但必须等到整体完工后才可使用或可对外销售的，在该资产整体完工时停止借</w:t>
      </w:r>
    </w:p>
    <w:p>
      <w:pPr>
        <w:spacing w:line="477" w:lineRule="auto" w:before="54"/>
        <w:ind w:left="515" w:right="8945" w:hanging="362"/>
        <w:jc w:val="left"/>
        <w:rPr>
          <w:rFonts w:ascii="宋体" w:hAnsi="宋体" w:cs="宋体" w:eastAsia="宋体" w:hint="default"/>
          <w:sz w:val="18"/>
          <w:szCs w:val="18"/>
        </w:rPr>
      </w:pPr>
      <w:r>
        <w:rPr>
          <w:rFonts w:ascii="宋体" w:hAnsi="宋体" w:cs="宋体" w:eastAsia="宋体" w:hint="default"/>
          <w:sz w:val="18"/>
          <w:szCs w:val="18"/>
        </w:rPr>
        <w:t>款费用资本化。 </w:t>
      </w:r>
      <w:r>
        <w:rPr>
          <w:rFonts w:ascii="宋体" w:hAnsi="宋体" w:cs="宋体" w:eastAsia="宋体" w:hint="default"/>
          <w:b/>
          <w:bCs/>
          <w:sz w:val="18"/>
          <w:szCs w:val="18"/>
        </w:rPr>
        <w:t>3.</w:t>
      </w:r>
      <w:r>
        <w:rPr>
          <w:rFonts w:ascii="宋体" w:hAnsi="宋体" w:cs="宋体" w:eastAsia="宋体" w:hint="default"/>
          <w:b/>
          <w:bCs/>
          <w:sz w:val="18"/>
          <w:szCs w:val="18"/>
        </w:rPr>
        <w:t>暂停资本化期间</w:t>
      </w:r>
      <w:r>
        <w:rPr>
          <w:rFonts w:ascii="宋体" w:hAnsi="宋体" w:cs="宋体" w:eastAsia="宋体" w:hint="default"/>
          <w:sz w:val="18"/>
          <w:szCs w:val="18"/>
        </w:rPr>
      </w:r>
    </w:p>
    <w:p>
      <w:pPr>
        <w:pStyle w:val="BodyText"/>
        <w:spacing w:line="240" w:lineRule="auto" w:before="54"/>
        <w:ind w:left="514" w:right="0"/>
        <w:jc w:val="left"/>
      </w:pPr>
      <w:r>
        <w:rPr/>
        <w:t>符合资本化条件的资产在购建或生产过程中发生的非正常中断</w:t>
      </w:r>
      <w:r>
        <w:rPr>
          <w:spacing w:val="-87"/>
        </w:rPr>
        <w:t>、</w:t>
      </w:r>
      <w:r>
        <w:rPr/>
        <w:t>且中断时间连续超过</w:t>
      </w:r>
      <w:r>
        <w:rPr>
          <w:rFonts w:ascii="Times New Roman" w:hAnsi="Times New Roman" w:cs="Times New Roman" w:eastAsia="Times New Roman" w:hint="default"/>
        </w:rPr>
        <w:t>3</w:t>
      </w:r>
      <w:r>
        <w:rPr/>
        <w:t>个月的</w:t>
      </w:r>
      <w:r>
        <w:rPr>
          <w:spacing w:val="-87"/>
        </w:rPr>
        <w:t>，</w:t>
      </w:r>
      <w:r>
        <w:rPr/>
        <w:t>则借款费用暂停资本化；</w:t>
      </w:r>
    </w:p>
    <w:p>
      <w:pPr>
        <w:spacing w:after="0" w:line="240" w:lineRule="auto"/>
        <w:jc w:val="left"/>
        <w:sectPr>
          <w:pgSz w:w="11910" w:h="16840"/>
          <w:pgMar w:header="851" w:footer="979" w:top="1400" w:bottom="1160" w:left="98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BodyText"/>
        <w:spacing w:line="477" w:lineRule="auto" w:before="83"/>
        <w:ind w:right="0"/>
        <w:jc w:val="left"/>
      </w:pPr>
      <w:r>
        <w:rPr>
          <w:spacing w:val="-2"/>
        </w:rPr>
        <w:t>该项中断如是所购建或生产的符合资本化条件的资产达到预定可使用状态或者可销售状态必要的程序，则借款费用继续资本</w:t>
      </w:r>
      <w:r>
        <w:rPr>
          <w:spacing w:val="-64"/>
        </w:rPr>
        <w:t> </w:t>
      </w:r>
      <w:r>
        <w:rPr>
          <w:spacing w:val="-64"/>
        </w:rPr>
      </w:r>
      <w:r>
        <w:rPr/>
        <w:t>化。在中断期间发生的借款费用确认为当期损益，直至资产的购建或者生产活动重新开始后借款费用继续资本化。</w:t>
      </w:r>
    </w:p>
    <w:p>
      <w:pPr>
        <w:spacing w:line="477" w:lineRule="auto" w:before="54"/>
        <w:ind w:left="514" w:right="0" w:firstLine="1"/>
        <w:jc w:val="left"/>
        <w:rPr>
          <w:rFonts w:ascii="宋体" w:hAnsi="宋体" w:cs="宋体" w:eastAsia="宋体" w:hint="default"/>
          <w:sz w:val="18"/>
          <w:szCs w:val="18"/>
        </w:rPr>
      </w:pPr>
      <w:r>
        <w:rPr>
          <w:rFonts w:ascii="宋体" w:hAnsi="宋体" w:cs="宋体" w:eastAsia="宋体" w:hint="default"/>
          <w:b/>
          <w:bCs/>
          <w:sz w:val="18"/>
          <w:szCs w:val="18"/>
        </w:rPr>
        <w:t>4.</w:t>
      </w:r>
      <w:r>
        <w:rPr>
          <w:rFonts w:ascii="宋体" w:hAnsi="宋体" w:cs="宋体" w:eastAsia="宋体" w:hint="default"/>
          <w:b/>
          <w:bCs/>
          <w:sz w:val="18"/>
          <w:szCs w:val="18"/>
        </w:rPr>
        <w:t>借款费用资本化率、资本化金额的计算方法</w:t>
      </w:r>
      <w:r>
        <w:rPr>
          <w:rFonts w:ascii="宋体" w:hAnsi="宋体" w:cs="宋体" w:eastAsia="宋体" w:hint="default"/>
          <w:b/>
          <w:bCs/>
          <w:w w:val="99"/>
          <w:sz w:val="18"/>
          <w:szCs w:val="18"/>
        </w:rPr>
        <w:t> </w:t>
      </w:r>
      <w:r>
        <w:rPr>
          <w:rFonts w:ascii="宋体" w:hAnsi="宋体" w:cs="宋体" w:eastAsia="宋体" w:hint="default"/>
          <w:spacing w:val="-2"/>
          <w:sz w:val="18"/>
          <w:szCs w:val="18"/>
        </w:rPr>
        <w:t>对于为购建或者生产符合资本化条件的资产而借入的专门借款，以专门借款当期实际发生的借款费用，减去尚未动用的</w:t>
      </w:r>
    </w:p>
    <w:p>
      <w:pPr>
        <w:pStyle w:val="BodyText"/>
        <w:spacing w:line="477" w:lineRule="auto" w:before="54"/>
        <w:ind w:left="514" w:right="0" w:hanging="360"/>
        <w:jc w:val="left"/>
      </w:pPr>
      <w:r>
        <w:rPr/>
        <w:t>借款资金存入银行取得的利息收入或进行暂时性投资取得的投资收益后的金额，来确定借款费用的资本化金额。 </w:t>
      </w:r>
      <w:r>
        <w:rPr>
          <w:spacing w:val="-2"/>
        </w:rPr>
        <w:t>对于为购建或者生产符合资本化条件的资产而占用的一般借款，根据累计资产支出超过专门借款部分的资产支出加权平</w:t>
      </w:r>
    </w:p>
    <w:p>
      <w:pPr>
        <w:pStyle w:val="BodyText"/>
        <w:spacing w:line="477" w:lineRule="auto" w:before="54"/>
        <w:ind w:right="1115"/>
        <w:jc w:val="left"/>
      </w:pPr>
      <w:r>
        <w:rPr>
          <w:spacing w:val="-2"/>
        </w:rPr>
        <w:t>均数乘以所占用一般借款的资本化率，计算确定一般借款应予资本化的借款费用金额。资本化率根据一般借款加权平均利率</w:t>
      </w:r>
      <w:r>
        <w:rPr>
          <w:spacing w:val="-64"/>
        </w:rPr>
        <w:t> </w:t>
      </w:r>
      <w:r>
        <w:rPr>
          <w:spacing w:val="-64"/>
        </w:rPr>
      </w:r>
      <w:r>
        <w:rPr/>
        <w:t>计算确定。</w:t>
      </w:r>
    </w:p>
    <w:p>
      <w:pPr>
        <w:spacing w:line="240" w:lineRule="auto" w:before="3"/>
        <w:rPr>
          <w:rFonts w:ascii="宋体" w:hAnsi="宋体" w:cs="宋体" w:eastAsia="宋体" w:hint="default"/>
          <w:sz w:val="19"/>
          <w:szCs w:val="19"/>
        </w:rPr>
      </w:pPr>
    </w:p>
    <w:p>
      <w:pPr>
        <w:pStyle w:val="Heading3"/>
        <w:spacing w:line="240" w:lineRule="auto"/>
        <w:ind w:right="0"/>
        <w:jc w:val="left"/>
        <w:rPr>
          <w:b w:val="0"/>
          <w:bCs w:val="0"/>
        </w:rPr>
      </w:pPr>
      <w:bookmarkStart w:name="19、生物资产" w:id="202"/>
      <w:bookmarkEnd w:id="202"/>
      <w:r>
        <w:rPr>
          <w:b w:val="0"/>
          <w:bCs w:val="0"/>
        </w:rPr>
      </w:r>
      <w:r>
        <w:rPr>
          <w:rFonts w:ascii="Times New Roman" w:hAnsi="Times New Roman" w:cs="Times New Roman" w:eastAsia="Times New Roman" w:hint="default"/>
        </w:rPr>
        <w:t>19</w:t>
      </w:r>
      <w:r>
        <w:rPr/>
        <w:t>、生物资产</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514"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20、油气资产" w:id="203"/>
      <w:bookmarkEnd w:id="203"/>
      <w:r>
        <w:rPr>
          <w:b w:val="0"/>
          <w:bCs w:val="0"/>
        </w:rPr>
      </w:r>
      <w:r>
        <w:rPr>
          <w:rFonts w:ascii="Times New Roman" w:hAnsi="Times New Roman" w:cs="Times New Roman" w:eastAsia="Times New Roman" w:hint="default"/>
        </w:rPr>
        <w:t>20</w:t>
      </w:r>
      <w:r>
        <w:rPr/>
        <w:t>、油气资产</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514" w:right="0"/>
        <w:jc w:val="left"/>
      </w:pPr>
      <w:r>
        <w:rPr/>
        <w:t>无。</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3"/>
        <w:spacing w:line="240" w:lineRule="auto"/>
        <w:ind w:right="0"/>
        <w:jc w:val="left"/>
        <w:rPr>
          <w:b w:val="0"/>
          <w:bCs w:val="0"/>
        </w:rPr>
      </w:pPr>
      <w:bookmarkStart w:name="21、无形资产" w:id="204"/>
      <w:bookmarkEnd w:id="204"/>
      <w:r>
        <w:rPr>
          <w:b w:val="0"/>
          <w:bCs w:val="0"/>
        </w:rPr>
      </w:r>
      <w:r>
        <w:rPr>
          <w:rFonts w:ascii="Times New Roman" w:hAnsi="Times New Roman" w:cs="Times New Roman" w:eastAsia="Times New Roman" w:hint="default"/>
        </w:rPr>
        <w:t>21</w:t>
      </w:r>
      <w:r>
        <w:rPr/>
        <w:t>、无形资产</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计价方法、使用寿命、减值测试" w:id="205"/>
      <w:bookmarkEnd w:id="205"/>
      <w:r>
        <w:rPr>
          <w:b w:val="0"/>
          <w:bCs w:val="0"/>
        </w:rPr>
      </w:r>
      <w:r>
        <w:rPr/>
        <w:t>（</w:t>
      </w:r>
      <w:r>
        <w:rPr>
          <w:rFonts w:ascii="Times New Roman" w:hAnsi="Times New Roman" w:cs="Times New Roman" w:eastAsia="Times New Roman" w:hint="default"/>
        </w:rPr>
        <w:t>1</w:t>
      </w:r>
      <w:r>
        <w:rPr/>
        <w:t>）计价方法、使用寿命、减值测试</w:t>
      </w:r>
      <w:r>
        <w:rPr>
          <w:b w:val="0"/>
          <w:bCs w:val="0"/>
        </w:rPr>
      </w:r>
    </w:p>
    <w:p>
      <w:pPr>
        <w:spacing w:line="240" w:lineRule="auto" w:before="7"/>
        <w:rPr>
          <w:rFonts w:ascii="宋体" w:hAnsi="宋体" w:cs="宋体" w:eastAsia="宋体" w:hint="default"/>
          <w:b/>
          <w:bCs/>
          <w:sz w:val="32"/>
          <w:szCs w:val="32"/>
        </w:rPr>
      </w:pPr>
    </w:p>
    <w:p>
      <w:pPr>
        <w:spacing w:line="508" w:lineRule="auto" w:before="0"/>
        <w:ind w:left="515" w:right="7333" w:hanging="2"/>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w:t>
      </w:r>
      <w:r>
        <w:rPr>
          <w:rFonts w:ascii="宋体" w:hAnsi="宋体" w:cs="宋体" w:eastAsia="宋体" w:hint="default"/>
          <w:b/>
          <w:bCs/>
          <w:sz w:val="18"/>
          <w:szCs w:val="18"/>
        </w:rPr>
        <w:t>是</w:t>
      </w:r>
      <w:r>
        <w:rPr>
          <w:rFonts w:ascii="宋体" w:hAnsi="宋体" w:cs="宋体" w:eastAsia="宋体" w:hint="default"/>
          <w:b/>
          <w:bCs/>
          <w:w w:val="99"/>
          <w:sz w:val="18"/>
          <w:szCs w:val="18"/>
        </w:rPr>
        <w:t> </w:t>
      </w:r>
      <w:r>
        <w:rPr>
          <w:rFonts w:ascii="宋体" w:hAnsi="宋体" w:cs="宋体" w:eastAsia="宋体" w:hint="default"/>
          <w:b/>
          <w:bCs/>
          <w:sz w:val="18"/>
          <w:szCs w:val="18"/>
        </w:rPr>
        <w:t>软件与信息技术服务业</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互联网游戏业</w:t>
      </w:r>
      <w:r>
        <w:rPr>
          <w:rFonts w:ascii="宋体" w:hAnsi="宋体" w:cs="宋体" w:eastAsia="宋体" w:hint="default"/>
          <w:b/>
          <w:bCs/>
          <w:w w:val="99"/>
          <w:sz w:val="18"/>
          <w:szCs w:val="18"/>
        </w:rPr>
        <w:t> </w:t>
      </w:r>
      <w:r>
        <w:rPr>
          <w:rFonts w:ascii="宋体" w:hAnsi="宋体" w:cs="宋体" w:eastAsia="宋体" w:hint="default"/>
          <w:b/>
          <w:bCs/>
          <w:sz w:val="18"/>
          <w:szCs w:val="18"/>
        </w:rPr>
        <w:t>1.</w:t>
      </w:r>
      <w:r>
        <w:rPr>
          <w:rFonts w:ascii="宋体" w:hAnsi="宋体" w:cs="宋体" w:eastAsia="宋体" w:hint="default"/>
          <w:b/>
          <w:bCs/>
          <w:sz w:val="18"/>
          <w:szCs w:val="18"/>
        </w:rPr>
        <w:t>无形资产的计价方法</w:t>
      </w:r>
      <w:r>
        <w:rPr>
          <w:rFonts w:ascii="宋体" w:hAnsi="宋体" w:cs="宋体" w:eastAsia="宋体" w:hint="default"/>
          <w:sz w:val="18"/>
          <w:szCs w:val="18"/>
        </w:rPr>
      </w:r>
    </w:p>
    <w:p>
      <w:pPr>
        <w:pStyle w:val="BodyText"/>
        <w:spacing w:line="451" w:lineRule="auto" w:before="70"/>
        <w:ind w:left="514" w:right="0"/>
        <w:jc w:val="left"/>
      </w:pPr>
      <w:r>
        <w:rPr/>
        <w:t>（</w:t>
      </w:r>
      <w:r>
        <w:rPr>
          <w:rFonts w:ascii="Times New Roman" w:hAnsi="Times New Roman" w:cs="Times New Roman" w:eastAsia="Times New Roman" w:hint="default"/>
        </w:rPr>
        <w:t>1</w:t>
      </w:r>
      <w:r>
        <w:rPr/>
        <w:t>）公司取得无形资产时按成本进行初始计量 </w:t>
      </w:r>
      <w:r>
        <w:rPr>
          <w:spacing w:val="-2"/>
        </w:rPr>
        <w:t>外购无形资产的成本，包括购买价款、相关税费以及直接归属于使该项资产达到预定用途所发生的其他支出。购买无形</w:t>
      </w:r>
    </w:p>
    <w:p>
      <w:pPr>
        <w:pStyle w:val="BodyText"/>
        <w:spacing w:line="477" w:lineRule="auto" w:before="74"/>
        <w:ind w:left="514" w:right="0" w:hanging="360"/>
        <w:jc w:val="left"/>
      </w:pPr>
      <w:r>
        <w:rPr/>
        <w:t>资产的价款超过正常信用条件延期支付，实质上具有融资性质的，无形资产的成本以购买价款的现值为基础确定。 </w:t>
      </w:r>
      <w:r>
        <w:rPr>
          <w:spacing w:val="-2"/>
        </w:rPr>
        <w:t>债务重组取得债务人用以抵债的无形资产，以该无形资产的公允价值为基础确定其入账价值，并将重组债务的账面价值</w:t>
      </w:r>
    </w:p>
    <w:p>
      <w:pPr>
        <w:pStyle w:val="BodyText"/>
        <w:spacing w:line="477" w:lineRule="auto" w:before="54"/>
        <w:ind w:left="514" w:right="0" w:hanging="360"/>
        <w:jc w:val="left"/>
      </w:pPr>
      <w:r>
        <w:rPr/>
        <w:t>与该用以抵债的无形资产公允价值之间的差额，计入当期损益。 </w:t>
      </w:r>
      <w:r>
        <w:rPr>
          <w:spacing w:val="-2"/>
        </w:rPr>
        <w:t>在非货币性资产交换具备商业实质且换入资产或换出资产的公允价值能够可靠计量的前提下，非货币性资产交换换入的</w:t>
      </w:r>
    </w:p>
    <w:p>
      <w:pPr>
        <w:pStyle w:val="BodyText"/>
        <w:spacing w:line="477" w:lineRule="auto" w:before="54"/>
        <w:ind w:right="0"/>
        <w:jc w:val="left"/>
      </w:pPr>
      <w:r>
        <w:rPr>
          <w:spacing w:val="-2"/>
        </w:rPr>
        <w:t>无形资产以换出资产的公允价值为基础确定其入账价值，除非有确凿证据表明换入资产的公允价值更加可靠；不满足上述前</w:t>
      </w:r>
      <w:r>
        <w:rPr>
          <w:spacing w:val="-64"/>
        </w:rPr>
        <w:t> </w:t>
      </w:r>
      <w:r>
        <w:rPr>
          <w:spacing w:val="-64"/>
        </w:rPr>
      </w:r>
      <w:r>
        <w:rPr/>
        <w:t>提的非货币性资产交换，以换出资产的账面价值和应支付的相关税费作为换入无形资产的成本，不确认损益。</w:t>
      </w:r>
    </w:p>
    <w:p>
      <w:pPr>
        <w:spacing w:after="0" w:line="477" w:lineRule="auto"/>
        <w:jc w:val="left"/>
        <w:sectPr>
          <w:pgSz w:w="11910" w:h="16840"/>
          <w:pgMar w:header="851" w:footer="979" w:top="1400" w:bottom="1160" w:left="980" w:right="0"/>
        </w:sectPr>
      </w:pPr>
    </w:p>
    <w:p>
      <w:pPr>
        <w:pStyle w:val="BodyText"/>
        <w:spacing w:line="451" w:lineRule="auto" w:before="140"/>
        <w:ind w:left="514" w:right="7152"/>
        <w:jc w:val="left"/>
      </w:pPr>
      <w:r>
        <w:rPr/>
        <w:t>（</w:t>
      </w:r>
      <w:r>
        <w:rPr>
          <w:rFonts w:ascii="Times New Roman" w:hAnsi="Times New Roman" w:cs="Times New Roman" w:eastAsia="Times New Roman" w:hint="default"/>
        </w:rPr>
        <w:t>2</w:t>
      </w:r>
      <w:r>
        <w:rPr/>
        <w:t>）后续计量 在取得无形资产时分析判断其使用寿命。</w:t>
      </w:r>
    </w:p>
    <w:p>
      <w:pPr>
        <w:pStyle w:val="BodyText"/>
        <w:spacing w:line="477" w:lineRule="auto" w:before="74"/>
        <w:ind w:right="0" w:firstLine="360"/>
        <w:jc w:val="left"/>
      </w:pPr>
      <w:r>
        <w:rPr>
          <w:spacing w:val="-2"/>
        </w:rPr>
        <w:t>对于使用寿命有限的无形资产，在为企业带来经济利益的期限内按直线法摊销；无法预见无形资产为企业带来经济利益</w:t>
      </w:r>
      <w:r>
        <w:rPr/>
        <w:t> 期限的，视为使用寿命不确定的无形资产，不予摊销。</w:t>
      </w:r>
    </w:p>
    <w:p>
      <w:pPr>
        <w:pStyle w:val="Heading5"/>
        <w:spacing w:line="240" w:lineRule="auto" w:before="95"/>
        <w:ind w:left="515" w:right="0"/>
        <w:jc w:val="left"/>
        <w:rPr>
          <w:b w:val="0"/>
          <w:bCs w:val="0"/>
        </w:rPr>
      </w:pPr>
      <w:r>
        <w:rPr>
          <w:rFonts w:ascii="宋体" w:hAnsi="宋体" w:cs="宋体" w:eastAsia="宋体" w:hint="default"/>
        </w:rPr>
        <w:t>2.</w:t>
      </w:r>
      <w:r>
        <w:rPr/>
        <w:t>使用寿命有限的无形资产的使用寿命估计情况：</w:t>
      </w:r>
      <w:r>
        <w:rPr>
          <w:b w:val="0"/>
          <w:bCs w:val="0"/>
        </w:rPr>
      </w:r>
    </w:p>
    <w:p>
      <w:pPr>
        <w:spacing w:line="240" w:lineRule="auto" w:before="0"/>
        <w:rPr>
          <w:rFonts w:ascii="宋体" w:hAnsi="宋体" w:cs="宋体" w:eastAsia="宋体" w:hint="default"/>
          <w:b/>
          <w:bCs/>
          <w:sz w:val="14"/>
          <w:szCs w:val="14"/>
        </w:rPr>
      </w:pPr>
    </w:p>
    <w:tbl>
      <w:tblPr>
        <w:tblW w:w="0" w:type="auto"/>
        <w:jc w:val="left"/>
        <w:tblInd w:w="137" w:type="dxa"/>
        <w:tblLayout w:type="fixed"/>
        <w:tblCellMar>
          <w:top w:w="0" w:type="dxa"/>
          <w:left w:w="0" w:type="dxa"/>
          <w:bottom w:w="0" w:type="dxa"/>
          <w:right w:w="0" w:type="dxa"/>
        </w:tblCellMar>
        <w:tblLook w:val="01E0"/>
      </w:tblPr>
      <w:tblGrid>
        <w:gridCol w:w="5072"/>
        <w:gridCol w:w="4587"/>
      </w:tblGrid>
      <w:tr>
        <w:trPr>
          <w:trHeight w:val="347" w:hRule="exact"/>
        </w:trPr>
        <w:tc>
          <w:tcPr>
            <w:tcW w:w="507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587"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预计使用寿命</w:t>
            </w:r>
          </w:p>
        </w:tc>
      </w:tr>
      <w:tr>
        <w:trPr>
          <w:trHeight w:val="347" w:hRule="exact"/>
        </w:trPr>
        <w:tc>
          <w:tcPr>
            <w:tcW w:w="5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外购软件及许可权</w:t>
            </w:r>
          </w:p>
        </w:tc>
        <w:tc>
          <w:tcPr>
            <w:tcW w:w="45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2-5</w:t>
            </w:r>
          </w:p>
        </w:tc>
      </w:tr>
      <w:tr>
        <w:trPr>
          <w:trHeight w:val="347" w:hRule="exact"/>
        </w:trPr>
        <w:tc>
          <w:tcPr>
            <w:tcW w:w="5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自主研发软件（不含移动端游戏自主研发软件）</w:t>
            </w:r>
          </w:p>
        </w:tc>
        <w:tc>
          <w:tcPr>
            <w:tcW w:w="45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 w:right="0"/>
              <w:jc w:val="center"/>
              <w:rPr>
                <w:rFonts w:ascii="Times New Roman" w:hAnsi="Times New Roman" w:cs="Times New Roman" w:eastAsia="Times New Roman" w:hint="default"/>
                <w:sz w:val="18"/>
                <w:szCs w:val="18"/>
              </w:rPr>
            </w:pPr>
            <w:r>
              <w:rPr>
                <w:rFonts w:ascii="Times New Roman"/>
                <w:sz w:val="18"/>
              </w:rPr>
              <w:t>3-10</w:t>
            </w:r>
          </w:p>
        </w:tc>
      </w:tr>
      <w:tr>
        <w:trPr>
          <w:trHeight w:val="347" w:hRule="exact"/>
        </w:trPr>
        <w:tc>
          <w:tcPr>
            <w:tcW w:w="5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自主研发软件（移动端游戏自主研发软件）</w:t>
            </w:r>
          </w:p>
        </w:tc>
        <w:tc>
          <w:tcPr>
            <w:tcW w:w="45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 w:right="0"/>
              <w:jc w:val="center"/>
              <w:rPr>
                <w:rFonts w:ascii="Times New Roman" w:hAnsi="Times New Roman" w:cs="Times New Roman" w:eastAsia="Times New Roman" w:hint="default"/>
                <w:sz w:val="18"/>
                <w:szCs w:val="18"/>
              </w:rPr>
            </w:pPr>
            <w:r>
              <w:rPr>
                <w:rFonts w:ascii="Times New Roman"/>
                <w:sz w:val="18"/>
              </w:rPr>
              <w:t>5</w:t>
            </w:r>
          </w:p>
        </w:tc>
      </w:tr>
      <w:tr>
        <w:trPr>
          <w:trHeight w:val="348" w:hRule="exact"/>
        </w:trPr>
        <w:tc>
          <w:tcPr>
            <w:tcW w:w="5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45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20-50</w:t>
            </w:r>
          </w:p>
        </w:tc>
      </w:tr>
    </w:tbl>
    <w:p>
      <w:pPr>
        <w:spacing w:line="496" w:lineRule="auto" w:before="88"/>
        <w:ind w:left="514" w:right="0" w:firstLine="0"/>
        <w:jc w:val="left"/>
        <w:rPr>
          <w:rFonts w:ascii="宋体" w:hAnsi="宋体" w:cs="宋体" w:eastAsia="宋体" w:hint="default"/>
          <w:sz w:val="18"/>
          <w:szCs w:val="18"/>
        </w:rPr>
      </w:pPr>
      <w:r>
        <w:rPr>
          <w:rFonts w:ascii="宋体" w:hAnsi="宋体" w:cs="宋体" w:eastAsia="宋体" w:hint="default"/>
          <w:sz w:val="18"/>
          <w:szCs w:val="18"/>
        </w:rPr>
        <w:t>每年度终了，对使用寿命有限的无形资产的使用寿命及摊销方法进行复核。 经复核，本年期末无形资产的使用寿命及摊销方法与以前估计未有不同。 </w:t>
      </w:r>
      <w:r>
        <w:rPr>
          <w:rFonts w:ascii="宋体" w:hAnsi="宋体" w:cs="宋体" w:eastAsia="宋体" w:hint="default"/>
          <w:b/>
          <w:bCs/>
          <w:w w:val="95"/>
          <w:sz w:val="18"/>
          <w:szCs w:val="18"/>
        </w:rPr>
        <w:t>3.</w:t>
      </w:r>
      <w:r>
        <w:rPr>
          <w:rFonts w:ascii="宋体" w:hAnsi="宋体" w:cs="宋体" w:eastAsia="宋体" w:hint="default"/>
          <w:b/>
          <w:bCs/>
          <w:w w:val="95"/>
          <w:sz w:val="18"/>
          <w:szCs w:val="18"/>
        </w:rPr>
        <w:t>使用寿命不确定的无形资产的判断依据以及对其使用寿命进行复核的程序</w:t>
      </w:r>
      <w:r>
        <w:rPr>
          <w:rFonts w:ascii="宋体" w:hAnsi="宋体" w:cs="宋体" w:eastAsia="宋体" w:hint="default"/>
          <w:sz w:val="18"/>
          <w:szCs w:val="18"/>
        </w:rPr>
      </w:r>
    </w:p>
    <w:p>
      <w:pPr>
        <w:spacing w:line="496" w:lineRule="auto" w:before="79"/>
        <w:ind w:left="514" w:right="4272" w:firstLine="0"/>
        <w:jc w:val="left"/>
        <w:rPr>
          <w:rFonts w:ascii="宋体" w:hAnsi="宋体" w:cs="宋体" w:eastAsia="宋体" w:hint="default"/>
          <w:sz w:val="18"/>
          <w:szCs w:val="18"/>
        </w:rPr>
      </w:pPr>
      <w:r>
        <w:rPr>
          <w:rFonts w:ascii="宋体" w:hAnsi="宋体" w:cs="宋体" w:eastAsia="宋体" w:hint="default"/>
          <w:sz w:val="18"/>
          <w:szCs w:val="18"/>
        </w:rPr>
        <w:t>每期末，对使用寿命不确定的无形资产的使用寿命进行复核。 经复核，报告期公司无使用寿命不确定的无形资产。 </w:t>
      </w:r>
      <w:r>
        <w:rPr>
          <w:rFonts w:ascii="宋体" w:hAnsi="宋体" w:cs="宋体" w:eastAsia="宋体" w:hint="default"/>
          <w:b/>
          <w:bCs/>
          <w:sz w:val="18"/>
          <w:szCs w:val="18"/>
        </w:rPr>
        <w:t>4.</w:t>
      </w:r>
      <w:r>
        <w:rPr>
          <w:rFonts w:ascii="宋体" w:hAnsi="宋体" w:cs="宋体" w:eastAsia="宋体" w:hint="default"/>
          <w:b/>
          <w:bCs/>
          <w:sz w:val="18"/>
          <w:szCs w:val="18"/>
        </w:rPr>
        <w:t>划分研究阶段和开发阶段的具体标准</w:t>
      </w:r>
      <w:r>
        <w:rPr>
          <w:rFonts w:ascii="宋体" w:hAnsi="宋体" w:cs="宋体" w:eastAsia="宋体" w:hint="default"/>
          <w:sz w:val="18"/>
          <w:szCs w:val="18"/>
        </w:rPr>
      </w:r>
    </w:p>
    <w:p>
      <w:pPr>
        <w:pStyle w:val="BodyText"/>
        <w:spacing w:line="477" w:lineRule="auto" w:before="78"/>
        <w:ind w:left="514" w:right="0"/>
        <w:jc w:val="left"/>
      </w:pPr>
      <w:r>
        <w:rPr/>
        <w:t>公司内部研究开发项目的支出分为研究阶段支出和开发阶段支出。 研究阶段：为获取并理解新的科学或技术知识等而进行的独创性的有计划调查、研究活动的阶段。 </w:t>
      </w:r>
      <w:r>
        <w:rPr>
          <w:spacing w:val="-2"/>
        </w:rPr>
        <w:t>开发阶段：在进行商业性生产或使用前，将研究成果或其他知识应用于某项计划或设计，以生产出新的或具有实质性改</w:t>
      </w:r>
    </w:p>
    <w:p>
      <w:pPr>
        <w:spacing w:line="518" w:lineRule="auto" w:before="54"/>
        <w:ind w:left="515" w:right="7680" w:hanging="362"/>
        <w:jc w:val="left"/>
        <w:rPr>
          <w:rFonts w:ascii="宋体" w:hAnsi="宋体" w:cs="宋体" w:eastAsia="宋体" w:hint="default"/>
          <w:sz w:val="18"/>
          <w:szCs w:val="18"/>
        </w:rPr>
      </w:pPr>
      <w:r>
        <w:rPr>
          <w:rFonts w:ascii="宋体" w:hAnsi="宋体" w:cs="宋体" w:eastAsia="宋体" w:hint="default"/>
          <w:sz w:val="18"/>
          <w:szCs w:val="18"/>
        </w:rPr>
        <w:t>进的材料、装置、产品等活动的阶段。 </w:t>
      </w:r>
      <w:r>
        <w:rPr>
          <w:rFonts w:ascii="宋体" w:hAnsi="宋体" w:cs="宋体" w:eastAsia="宋体" w:hint="default"/>
          <w:b/>
          <w:bCs/>
          <w:sz w:val="18"/>
          <w:szCs w:val="18"/>
        </w:rPr>
        <w:t>5.</w:t>
      </w:r>
      <w:r>
        <w:rPr>
          <w:rFonts w:ascii="宋体" w:hAnsi="宋体" w:cs="宋体" w:eastAsia="宋体" w:hint="default"/>
          <w:b/>
          <w:bCs/>
          <w:sz w:val="18"/>
          <w:szCs w:val="18"/>
        </w:rPr>
        <w:t>开发阶段支出资本化的具体条件</w:t>
      </w:r>
      <w:r>
        <w:rPr>
          <w:rFonts w:ascii="宋体" w:hAnsi="宋体" w:cs="宋体" w:eastAsia="宋体" w:hint="default"/>
          <w:sz w:val="18"/>
          <w:szCs w:val="18"/>
        </w:rPr>
      </w:r>
    </w:p>
    <w:p>
      <w:pPr>
        <w:pStyle w:val="BodyText"/>
        <w:spacing w:line="240" w:lineRule="auto" w:before="63"/>
        <w:ind w:left="514" w:right="0"/>
        <w:jc w:val="left"/>
      </w:pPr>
      <w:r>
        <w:rPr/>
        <w:t>内部研究开发项目开发阶段的支出，同时满足下列条件时确认为无形资产：</w:t>
      </w:r>
    </w:p>
    <w:p>
      <w:pPr>
        <w:spacing w:line="240" w:lineRule="auto" w:before="10"/>
        <w:rPr>
          <w:rFonts w:ascii="宋体" w:hAnsi="宋体" w:cs="宋体" w:eastAsia="宋体" w:hint="default"/>
          <w:sz w:val="17"/>
          <w:szCs w:val="17"/>
        </w:rPr>
      </w:pPr>
    </w:p>
    <w:p>
      <w:pPr>
        <w:pStyle w:val="BodyText"/>
        <w:spacing w:line="240" w:lineRule="auto"/>
        <w:ind w:left="514" w:right="0"/>
        <w:jc w:val="left"/>
      </w:pPr>
      <w:r>
        <w:rPr/>
        <w:t>（</w:t>
      </w:r>
      <w:r>
        <w:rPr>
          <w:rFonts w:ascii="Times New Roman" w:hAnsi="Times New Roman" w:cs="Times New Roman" w:eastAsia="Times New Roman" w:hint="default"/>
        </w:rPr>
        <w:t>1</w:t>
      </w:r>
      <w:r>
        <w:rPr/>
        <w:t>）完成该无形资产以使其能够使用或出售在技术上具有可行性；</w:t>
      </w:r>
    </w:p>
    <w:p>
      <w:pPr>
        <w:spacing w:line="240" w:lineRule="auto" w:before="9"/>
        <w:rPr>
          <w:rFonts w:ascii="宋体" w:hAnsi="宋体" w:cs="宋体" w:eastAsia="宋体" w:hint="default"/>
          <w:sz w:val="16"/>
          <w:szCs w:val="16"/>
        </w:rPr>
      </w:pPr>
    </w:p>
    <w:p>
      <w:pPr>
        <w:pStyle w:val="BodyText"/>
        <w:spacing w:line="240" w:lineRule="auto"/>
        <w:ind w:left="514" w:right="0"/>
        <w:jc w:val="left"/>
      </w:pPr>
      <w:r>
        <w:rPr/>
        <w:t>（</w:t>
      </w:r>
      <w:r>
        <w:rPr>
          <w:rFonts w:ascii="Times New Roman" w:hAnsi="Times New Roman" w:cs="Times New Roman" w:eastAsia="Times New Roman" w:hint="default"/>
        </w:rPr>
        <w:t>2</w:t>
      </w:r>
      <w:r>
        <w:rPr/>
        <w:t>）具有完成该无形资产并使用或出售的意图；</w:t>
      </w:r>
    </w:p>
    <w:p>
      <w:pPr>
        <w:spacing w:line="240" w:lineRule="auto" w:before="9"/>
        <w:rPr>
          <w:rFonts w:ascii="宋体" w:hAnsi="宋体" w:cs="宋体" w:eastAsia="宋体" w:hint="default"/>
          <w:sz w:val="16"/>
          <w:szCs w:val="16"/>
        </w:rPr>
      </w:pPr>
    </w:p>
    <w:p>
      <w:pPr>
        <w:pStyle w:val="BodyText"/>
        <w:spacing w:line="451" w:lineRule="auto"/>
        <w:ind w:right="1122" w:firstLine="360"/>
        <w:jc w:val="left"/>
      </w:pPr>
      <w:r>
        <w:rPr/>
        <w:t>（</w:t>
      </w:r>
      <w:r>
        <w:rPr>
          <w:rFonts w:ascii="Times New Roman" w:hAnsi="Times New Roman" w:cs="Times New Roman" w:eastAsia="Times New Roman" w:hint="default"/>
        </w:rPr>
        <w:t>3</w:t>
      </w:r>
      <w:r>
        <w:rPr/>
        <w:t>）无形资产产生经济利益的方式，包括能够证明运用该无形资产生产的产品存在市场或无形资产自身存在市场，无 形资产将在内部使用的，能够证明其有用性；</w:t>
      </w:r>
    </w:p>
    <w:p>
      <w:pPr>
        <w:pStyle w:val="BodyText"/>
        <w:spacing w:line="240" w:lineRule="auto" w:before="74"/>
        <w:ind w:left="514" w:right="0"/>
        <w:jc w:val="left"/>
      </w:pPr>
      <w:r>
        <w:rPr/>
        <w:t>（</w:t>
      </w:r>
      <w:r>
        <w:rPr>
          <w:rFonts w:ascii="Times New Roman" w:hAnsi="Times New Roman" w:cs="Times New Roman" w:eastAsia="Times New Roman" w:hint="default"/>
        </w:rPr>
        <w:t>4</w:t>
      </w:r>
      <w:r>
        <w:rPr/>
        <w:t>）有足够的技术、财务资源和其他资源支持，以完成该无形资产的开发，并有能力使用或出售该无形资产；</w:t>
      </w:r>
    </w:p>
    <w:p>
      <w:pPr>
        <w:spacing w:line="240" w:lineRule="auto" w:before="10"/>
        <w:rPr>
          <w:rFonts w:ascii="宋体" w:hAnsi="宋体" w:cs="宋体" w:eastAsia="宋体" w:hint="default"/>
          <w:sz w:val="16"/>
          <w:szCs w:val="16"/>
        </w:rPr>
      </w:pPr>
    </w:p>
    <w:p>
      <w:pPr>
        <w:pStyle w:val="BodyText"/>
        <w:spacing w:line="451" w:lineRule="auto"/>
        <w:ind w:left="514" w:right="1752"/>
        <w:jc w:val="left"/>
      </w:pPr>
      <w:r>
        <w:rPr/>
        <w:t>（</w:t>
      </w:r>
      <w:r>
        <w:rPr>
          <w:rFonts w:ascii="Times New Roman" w:hAnsi="Times New Roman" w:cs="Times New Roman" w:eastAsia="Times New Roman" w:hint="default"/>
        </w:rPr>
        <w:t>5</w:t>
      </w:r>
      <w:r>
        <w:rPr/>
        <w:t>）归属于该无形资产开发阶段的支出能够可靠地计量。 开发阶段的支出，若不满足上列条件的，于发生时计入当期损益。研究阶段的支出，在发生时计入当期损益。</w:t>
      </w:r>
    </w:p>
    <w:p>
      <w:pPr>
        <w:spacing w:after="0" w:line="451" w:lineRule="auto"/>
        <w:jc w:val="left"/>
        <w:sectPr>
          <w:pgSz w:w="11910" w:h="16840"/>
          <w:pgMar w:header="851" w:footer="979" w:top="1400" w:bottom="1160" w:left="98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2）内部研究开发支出会计政策" w:id="206"/>
      <w:bookmarkEnd w:id="206"/>
      <w:r>
        <w:rPr>
          <w:b w:val="0"/>
          <w:bCs w:val="0"/>
        </w:rPr>
      </w:r>
      <w:r>
        <w:rPr/>
        <w:t>（</w:t>
      </w:r>
      <w:r>
        <w:rPr>
          <w:rFonts w:ascii="Times New Roman" w:hAnsi="Times New Roman" w:cs="Times New Roman" w:eastAsia="Times New Roman" w:hint="default"/>
        </w:rPr>
        <w:t>2</w:t>
      </w:r>
      <w:r>
        <w:rPr/>
        <w:t>）内部研究开发支出会计政策</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514"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22、长期资产减值" w:id="207"/>
      <w:bookmarkEnd w:id="207"/>
      <w:r>
        <w:rPr>
          <w:b w:val="0"/>
          <w:bCs w:val="0"/>
        </w:rPr>
      </w:r>
      <w:r>
        <w:rPr>
          <w:rFonts w:ascii="Times New Roman" w:hAnsi="Times New Roman" w:cs="Times New Roman" w:eastAsia="Times New Roman" w:hint="default"/>
        </w:rPr>
        <w:t>22</w:t>
      </w:r>
      <w:r>
        <w:rPr/>
        <w:t>、长期资产减值</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0" w:firstLine="360"/>
        <w:jc w:val="left"/>
      </w:pPr>
      <w:r>
        <w:rPr/>
        <w:t>长期股权投资、采用成本模式计量的投资性房地产、固定资产、在建工程、使用寿命有限的无形资产等长期资产，于资 产负债表日存在减值迹象的，进行减值测试。减值测试结果表明资产的可收回金额低于其账面价值的，按其差额计提减值准 </w:t>
      </w:r>
      <w:r>
        <w:rPr>
          <w:spacing w:val="-2"/>
        </w:rPr>
        <w:t>备并计入减值损失。可收回金额为资产的公允价值减去处置费用后的净额与资产预计未来现金流量的现值两者之间的较高者。</w:t>
      </w:r>
      <w:r>
        <w:rPr>
          <w:spacing w:val="-62"/>
        </w:rPr>
        <w:t> </w:t>
      </w:r>
      <w:r>
        <w:rPr>
          <w:spacing w:val="-62"/>
        </w:rPr>
      </w:r>
      <w:r>
        <w:rPr/>
        <w:t>资产减值准备按单项资产为基础计算并确认，如果难以对单项资产的可收回金额进行估计的，以该资产所属的资产组确定资</w:t>
      </w:r>
      <w:r>
        <w:rPr/>
        <w:t> 产组的可收回金额。资产组是能够独立产生现金流入的最小资产组合。</w:t>
      </w:r>
    </w:p>
    <w:p>
      <w:pPr>
        <w:pStyle w:val="BodyText"/>
        <w:spacing w:line="477" w:lineRule="auto" w:before="54"/>
        <w:ind w:left="514" w:right="1032"/>
        <w:jc w:val="left"/>
      </w:pPr>
      <w:r>
        <w:rPr/>
        <w:t>商誉和使用寿命不确定的无形资产至少在每年年度终了进行减值测试。 本公司进行商誉减值测试，对于因企业合并形成的商誉的账面价值，自购买日起按照合理的方法分摊至相关的资产组；</w:t>
      </w:r>
    </w:p>
    <w:p>
      <w:pPr>
        <w:pStyle w:val="BodyText"/>
        <w:spacing w:line="477" w:lineRule="auto" w:before="54"/>
        <w:ind w:right="1032"/>
        <w:jc w:val="left"/>
      </w:pPr>
      <w:r>
        <w:rPr/>
        <w:t>难以分摊至相关的资产组的，将其分摊至相关的资产组组合。在将商誉的账面价值分摊至相关的资产组或者资产组组合时，</w:t>
      </w:r>
      <w:r>
        <w:rPr>
          <w:spacing w:val="-85"/>
        </w:rPr>
        <w:t> </w:t>
      </w:r>
      <w:r>
        <w:rPr>
          <w:spacing w:val="-85"/>
        </w:rPr>
      </w:r>
      <w:r>
        <w:rPr>
          <w:spacing w:val="-2"/>
        </w:rPr>
        <w:t>按照各资产组或者资产组组合的公允价值占相关资产组或者资产组组合公允价值总额的比例进行分摊。公允价值难以可靠计</w:t>
      </w:r>
      <w:r>
        <w:rPr>
          <w:spacing w:val="-64"/>
        </w:rPr>
        <w:t> </w:t>
      </w:r>
      <w:r>
        <w:rPr>
          <w:spacing w:val="-64"/>
        </w:rPr>
      </w:r>
      <w:r>
        <w:rPr/>
        <w:t>量的，按照各资产组或者资产组组合的账面价值占相关资产组或者资产组组合账面价值总额的比例进行分摊。</w:t>
      </w:r>
    </w:p>
    <w:p>
      <w:pPr>
        <w:pStyle w:val="BodyText"/>
        <w:spacing w:line="477" w:lineRule="auto" w:before="54"/>
        <w:ind w:right="1032" w:firstLine="360"/>
        <w:jc w:val="left"/>
      </w:pPr>
      <w:r>
        <w:rPr/>
        <w:t>在对包含商誉的相关资产组或者资产组组合进行减值测试时，如与商誉相关的资产组或者资产组组合存在减值迹象的， </w:t>
      </w:r>
      <w:r>
        <w:rPr>
          <w:spacing w:val="-5"/>
        </w:rPr>
        <w:t>先对不包含商誉的资产组或者资产组组合进行减值测试，计算可收回金额，并与相关账面价值相比较，确认相应的减值损失。</w:t>
      </w:r>
      <w:r>
        <w:rPr>
          <w:spacing w:val="-79"/>
        </w:rPr>
        <w:t> </w:t>
      </w:r>
      <w:r>
        <w:rPr>
          <w:spacing w:val="-79"/>
        </w:rPr>
      </w:r>
      <w:r>
        <w:rPr>
          <w:spacing w:val="-2"/>
        </w:rPr>
        <w:t>再对包含商誉的资产组或者资产组组合进行减值测试，比较这些相关资产组或者资产组组合的账面价值（包括所分摊的商誉</w:t>
      </w:r>
      <w:r>
        <w:rPr>
          <w:spacing w:val="-64"/>
        </w:rPr>
        <w:t> </w:t>
      </w:r>
      <w:r>
        <w:rPr>
          <w:spacing w:val="-64"/>
        </w:rPr>
      </w:r>
      <w:r>
        <w:rPr/>
        <w:t>的账面价值部分）与其可收回金额，如相关资产组或者资产组组合的可收回金额低于其账面价值的，确认商誉的减值损失。</w:t>
      </w:r>
      <w:r>
        <w:rPr>
          <w:spacing w:val="-83"/>
        </w:rPr>
        <w:t> </w:t>
      </w:r>
      <w:r>
        <w:rPr>
          <w:spacing w:val="-83"/>
        </w:rPr>
      </w:r>
      <w:r>
        <w:rPr/>
        <w:t>上述资产减值损失一经确认，在以后会计期间不予转回。</w:t>
      </w:r>
    </w:p>
    <w:p>
      <w:pPr>
        <w:spacing w:line="240" w:lineRule="auto" w:before="3"/>
        <w:rPr>
          <w:rFonts w:ascii="宋体" w:hAnsi="宋体" w:cs="宋体" w:eastAsia="宋体" w:hint="default"/>
          <w:sz w:val="19"/>
          <w:szCs w:val="19"/>
        </w:rPr>
      </w:pPr>
    </w:p>
    <w:p>
      <w:pPr>
        <w:pStyle w:val="Heading3"/>
        <w:spacing w:line="240" w:lineRule="auto"/>
        <w:ind w:right="0"/>
        <w:jc w:val="left"/>
        <w:rPr>
          <w:b w:val="0"/>
          <w:bCs w:val="0"/>
        </w:rPr>
      </w:pPr>
      <w:bookmarkStart w:name="23、长期待摊费用" w:id="208"/>
      <w:bookmarkEnd w:id="208"/>
      <w:r>
        <w:rPr>
          <w:b w:val="0"/>
          <w:bCs w:val="0"/>
        </w:rPr>
      </w:r>
      <w:r>
        <w:rPr>
          <w:rFonts w:ascii="Times New Roman" w:hAnsi="Times New Roman" w:cs="Times New Roman" w:eastAsia="Times New Roman" w:hint="default"/>
        </w:rPr>
        <w:t>23</w:t>
      </w:r>
      <w:r>
        <w:rPr/>
        <w:t>、长期待摊费用</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0" w:firstLine="360"/>
        <w:jc w:val="left"/>
      </w:pPr>
      <w:r>
        <w:rPr>
          <w:spacing w:val="-2"/>
        </w:rPr>
        <w:t>长期待摊费用为已经发生但应由本期和以后各期负担的分摊期限在一年以上的各项费用。本公司长期待摊费用包括租入</w:t>
      </w:r>
      <w:r>
        <w:rPr/>
        <w:t> 固定资产装修和游戏版权金。</w:t>
      </w:r>
    </w:p>
    <w:p>
      <w:pPr>
        <w:spacing w:line="518" w:lineRule="auto" w:before="95"/>
        <w:ind w:left="514" w:right="7512" w:firstLine="1"/>
        <w:jc w:val="left"/>
        <w:rPr>
          <w:rFonts w:ascii="宋体" w:hAnsi="宋体" w:cs="宋体" w:eastAsia="宋体" w:hint="default"/>
          <w:sz w:val="18"/>
          <w:szCs w:val="18"/>
        </w:rPr>
      </w:pPr>
      <w:r>
        <w:rPr>
          <w:rFonts w:ascii="宋体" w:hAnsi="宋体" w:cs="宋体" w:eastAsia="宋体" w:hint="default"/>
          <w:b/>
          <w:bCs/>
          <w:sz w:val="18"/>
          <w:szCs w:val="18"/>
        </w:rPr>
        <w:t>1.</w:t>
      </w:r>
      <w:r>
        <w:rPr>
          <w:rFonts w:ascii="宋体" w:hAnsi="宋体" w:cs="宋体" w:eastAsia="宋体" w:hint="default"/>
          <w:b/>
          <w:bCs/>
          <w:sz w:val="18"/>
          <w:szCs w:val="18"/>
        </w:rPr>
        <w:t>摊销方法</w:t>
      </w:r>
      <w:r>
        <w:rPr>
          <w:rFonts w:ascii="宋体" w:hAnsi="宋体" w:cs="宋体" w:eastAsia="宋体" w:hint="default"/>
          <w:b/>
          <w:bCs/>
          <w:w w:val="99"/>
          <w:sz w:val="18"/>
          <w:szCs w:val="18"/>
        </w:rPr>
        <w:t> </w:t>
      </w:r>
      <w:r>
        <w:rPr>
          <w:rFonts w:ascii="宋体" w:hAnsi="宋体" w:cs="宋体" w:eastAsia="宋体" w:hint="default"/>
          <w:sz w:val="18"/>
          <w:szCs w:val="18"/>
        </w:rPr>
        <w:t>长期待摊费用在受益期内平均摊销。 </w:t>
      </w:r>
      <w:r>
        <w:rPr>
          <w:rFonts w:ascii="宋体" w:hAnsi="宋体" w:cs="宋体" w:eastAsia="宋体" w:hint="default"/>
          <w:b/>
          <w:bCs/>
          <w:sz w:val="18"/>
          <w:szCs w:val="18"/>
        </w:rPr>
        <w:t>2.</w:t>
      </w:r>
      <w:r>
        <w:rPr>
          <w:rFonts w:ascii="宋体" w:hAnsi="宋体" w:cs="宋体" w:eastAsia="宋体" w:hint="default"/>
          <w:b/>
          <w:bCs/>
          <w:sz w:val="18"/>
          <w:szCs w:val="18"/>
        </w:rPr>
        <w:t>摊销年限</w:t>
      </w:r>
      <w:r>
        <w:rPr>
          <w:rFonts w:ascii="宋体" w:hAnsi="宋体" w:cs="宋体" w:eastAsia="宋体" w:hint="default"/>
          <w:sz w:val="18"/>
          <w:szCs w:val="18"/>
        </w:rPr>
      </w:r>
    </w:p>
    <w:p>
      <w:pPr>
        <w:pStyle w:val="BodyText"/>
        <w:spacing w:line="477" w:lineRule="auto" w:before="63"/>
        <w:ind w:left="514" w:right="3912"/>
        <w:jc w:val="left"/>
      </w:pPr>
      <w:r>
        <w:rPr/>
        <w:t>经营租赁方式租入的固定资产改良支出，按最佳预期经济利益实现方式合理摊销。 购入游戏版权金，在授权期内合理摊销。</w:t>
      </w:r>
    </w:p>
    <w:p>
      <w:pPr>
        <w:spacing w:after="0" w:line="477" w:lineRule="auto"/>
        <w:jc w:val="left"/>
        <w:sectPr>
          <w:pgSz w:w="11910" w:h="16840"/>
          <w:pgMar w:header="851" w:footer="979" w:top="1400" w:bottom="1160" w:left="98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24、职工薪酬" w:id="209"/>
      <w:bookmarkEnd w:id="209"/>
      <w:r>
        <w:rPr>
          <w:b w:val="0"/>
          <w:bCs w:val="0"/>
        </w:rPr>
      </w:r>
      <w:r>
        <w:rPr>
          <w:rFonts w:ascii="Times New Roman" w:hAnsi="Times New Roman" w:cs="Times New Roman" w:eastAsia="Times New Roman" w:hint="default"/>
        </w:rPr>
        <w:t>24</w:t>
      </w:r>
      <w:r>
        <w:rPr/>
        <w:t>、职工薪酬</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短期薪酬的会计处理方法" w:id="210"/>
      <w:bookmarkEnd w:id="210"/>
      <w:r>
        <w:rPr>
          <w:b w:val="0"/>
          <w:bCs w:val="0"/>
        </w:rPr>
      </w:r>
      <w:r>
        <w:rPr/>
        <w:t>（</w:t>
      </w:r>
      <w:r>
        <w:rPr>
          <w:rFonts w:ascii="Times New Roman" w:hAnsi="Times New Roman" w:cs="Times New Roman" w:eastAsia="Times New Roman" w:hint="default"/>
        </w:rPr>
        <w:t>1</w:t>
      </w:r>
      <w:r>
        <w:rPr/>
        <w:t>）短期薪酬的会计处理方法</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left="514" w:right="0"/>
        <w:jc w:val="left"/>
      </w:pPr>
      <w:r>
        <w:rPr/>
        <w:t>本公司在职工为本公司提供服务的会计期间，将实际发生的短期薪酬确认为负债，并计入当期损益或相关资产成本。 </w:t>
      </w:r>
      <w:r>
        <w:rPr>
          <w:spacing w:val="-2"/>
        </w:rPr>
        <w:t>本公司为职工缴纳的社会保险费和住房公积金，以及按规定提取的工会经费和职工教育经费，在职工为本公司提供服务</w:t>
      </w:r>
    </w:p>
    <w:p>
      <w:pPr>
        <w:pStyle w:val="BodyText"/>
        <w:spacing w:line="477" w:lineRule="auto" w:before="54"/>
        <w:ind w:left="514" w:right="4632" w:hanging="360"/>
        <w:jc w:val="left"/>
      </w:pPr>
      <w:r>
        <w:rPr/>
        <w:t>的会计期间，根据规定的计提基础和计提比例计算确定相应的职工薪酬金额。 职工福利费为非货币性福利的，如能够可靠计量的，按照公允价值计量。</w:t>
      </w:r>
    </w:p>
    <w:p>
      <w:pPr>
        <w:spacing w:line="240" w:lineRule="auto" w:before="3"/>
        <w:rPr>
          <w:rFonts w:ascii="宋体" w:hAnsi="宋体" w:cs="宋体" w:eastAsia="宋体" w:hint="default"/>
          <w:sz w:val="19"/>
          <w:szCs w:val="19"/>
        </w:rPr>
      </w:pPr>
    </w:p>
    <w:p>
      <w:pPr>
        <w:pStyle w:val="Heading3"/>
        <w:spacing w:line="240" w:lineRule="auto"/>
        <w:ind w:right="0"/>
        <w:jc w:val="left"/>
        <w:rPr>
          <w:b w:val="0"/>
          <w:bCs w:val="0"/>
        </w:rPr>
      </w:pPr>
      <w:bookmarkStart w:name="（2）离职后福利的会计处理方法" w:id="211"/>
      <w:bookmarkEnd w:id="211"/>
      <w:r>
        <w:rPr>
          <w:b w:val="0"/>
          <w:bCs w:val="0"/>
        </w:rPr>
      </w:r>
      <w:r>
        <w:rPr/>
        <w:t>（</w:t>
      </w:r>
      <w:r>
        <w:rPr>
          <w:rFonts w:ascii="Times New Roman" w:hAnsi="Times New Roman" w:cs="Times New Roman" w:eastAsia="Times New Roman" w:hint="default"/>
        </w:rPr>
        <w:t>2</w:t>
      </w:r>
      <w:r>
        <w:rPr/>
        <w:t>）离职后福利的会计处理方法</w:t>
      </w:r>
      <w:r>
        <w:rPr>
          <w:b w:val="0"/>
          <w:bCs w:val="0"/>
        </w:rPr>
      </w:r>
    </w:p>
    <w:p>
      <w:pPr>
        <w:spacing w:line="240" w:lineRule="auto" w:before="6"/>
        <w:rPr>
          <w:rFonts w:ascii="宋体" w:hAnsi="宋体" w:cs="宋体" w:eastAsia="宋体" w:hint="default"/>
          <w:b/>
          <w:bCs/>
          <w:sz w:val="32"/>
          <w:szCs w:val="32"/>
        </w:rPr>
      </w:pPr>
    </w:p>
    <w:p>
      <w:pPr>
        <w:pStyle w:val="BodyText"/>
        <w:spacing w:line="451" w:lineRule="auto"/>
        <w:ind w:left="514" w:right="0"/>
        <w:jc w:val="left"/>
      </w:pPr>
      <w:r>
        <w:rPr/>
        <w:t>（</w:t>
      </w:r>
      <w:r>
        <w:rPr>
          <w:rFonts w:ascii="Times New Roman" w:hAnsi="Times New Roman" w:cs="Times New Roman" w:eastAsia="Times New Roman" w:hint="default"/>
        </w:rPr>
        <w:t>1</w:t>
      </w:r>
      <w:r>
        <w:rPr/>
        <w:t>）设定提存计划 </w:t>
      </w:r>
      <w:r>
        <w:rPr>
          <w:spacing w:val="-2"/>
        </w:rPr>
        <w:t>本公司按当地政府的相关规定为职工缴纳基本养老保险和失业保险，在职工为本公司提供服务的会计期间，按以当地规</w:t>
      </w:r>
    </w:p>
    <w:p>
      <w:pPr>
        <w:pStyle w:val="BodyText"/>
        <w:spacing w:line="477" w:lineRule="auto" w:before="74"/>
        <w:ind w:left="514" w:right="0" w:hanging="360"/>
        <w:jc w:val="left"/>
      </w:pPr>
      <w:r>
        <w:rPr/>
        <w:t>定的缴纳基数和比例计算应缴纳金额，确认为负债，并计入当期损益或相关资产成本。 除基本养老保险外，本公司还依据国家企业年金制度的相关政策建立了企业年金缴费制度（补充养老保险）</w:t>
      </w:r>
      <w:r>
        <w:rPr>
          <w:rFonts w:ascii="Times New Roman" w:hAnsi="Times New Roman" w:cs="Times New Roman" w:eastAsia="Times New Roman" w:hint="default"/>
        </w:rPr>
        <w:t>/</w:t>
      </w:r>
      <w:r>
        <w:rPr/>
        <w:t>企业年金</w:t>
      </w:r>
    </w:p>
    <w:p>
      <w:pPr>
        <w:pStyle w:val="BodyText"/>
        <w:spacing w:line="240" w:lineRule="auto" w:before="21"/>
        <w:ind w:right="0"/>
        <w:jc w:val="left"/>
      </w:pPr>
      <w:r>
        <w:rPr>
          <w:spacing w:val="-3"/>
        </w:rPr>
        <w:t>计划。本公司按职工工资总额的一定比例向当地社会保险机构缴费</w:t>
      </w:r>
      <w:r>
        <w:rPr>
          <w:rFonts w:ascii="Times New Roman" w:hAnsi="Times New Roman" w:cs="Times New Roman" w:eastAsia="Times New Roman" w:hint="default"/>
          <w:spacing w:val="-3"/>
        </w:rPr>
        <w:t>/</w:t>
      </w:r>
      <w:r>
        <w:rPr>
          <w:spacing w:val="-3"/>
        </w:rPr>
        <w:t>年金计划缴费，相应支出计入当期损益或相关资产成本。</w:t>
      </w:r>
    </w:p>
    <w:p>
      <w:pPr>
        <w:spacing w:line="240" w:lineRule="auto" w:before="9"/>
        <w:rPr>
          <w:rFonts w:ascii="宋体" w:hAnsi="宋体" w:cs="宋体" w:eastAsia="宋体" w:hint="default"/>
          <w:sz w:val="16"/>
          <w:szCs w:val="16"/>
        </w:rPr>
      </w:pPr>
    </w:p>
    <w:p>
      <w:pPr>
        <w:pStyle w:val="BodyText"/>
        <w:spacing w:line="451" w:lineRule="auto"/>
        <w:ind w:left="514" w:right="0"/>
        <w:jc w:val="left"/>
      </w:pPr>
      <w:r>
        <w:rPr/>
        <w:t>（</w:t>
      </w:r>
      <w:r>
        <w:rPr>
          <w:rFonts w:ascii="Times New Roman" w:hAnsi="Times New Roman" w:cs="Times New Roman" w:eastAsia="Times New Roman" w:hint="default"/>
        </w:rPr>
        <w:t>2</w:t>
      </w:r>
      <w:r>
        <w:rPr/>
        <w:t>）设定受益计划 </w:t>
      </w:r>
      <w:r>
        <w:rPr>
          <w:spacing w:val="-2"/>
        </w:rPr>
        <w:t>本公司根据预期累计福利单位法确定的公式将设定受益计划产生的福利义务归属于职工提供服务的期间，并计入当期损</w:t>
      </w:r>
    </w:p>
    <w:p>
      <w:pPr>
        <w:pStyle w:val="BodyText"/>
        <w:spacing w:line="477" w:lineRule="auto" w:before="74"/>
        <w:ind w:left="514" w:right="1032" w:hanging="360"/>
        <w:jc w:val="left"/>
      </w:pPr>
      <w:r>
        <w:rPr/>
        <w:t>益或相关资产成本。 设定受益计划义务现值减去设定受益计划资产公允价值所形成的赤字或盈余确认为一项设定受益计划净负债或净资产。</w:t>
      </w:r>
    </w:p>
    <w:p>
      <w:pPr>
        <w:pStyle w:val="BodyText"/>
        <w:spacing w:line="477" w:lineRule="auto" w:before="54"/>
        <w:ind w:left="514" w:right="0" w:hanging="360"/>
        <w:jc w:val="left"/>
      </w:pPr>
      <w:r>
        <w:rPr/>
        <w:t>设定受益计划存在盈余的，本公司以设定受益计划的盈余和资产上限两项的孰低者计量设定受益计划净资产。 </w:t>
      </w:r>
      <w:r>
        <w:rPr>
          <w:spacing w:val="-2"/>
        </w:rPr>
        <w:t>所有设定受益计划义务，包括预期在职工提供服务的年度报告期间结束后的十二个月内支付的义务，根据资产负债表日</w:t>
      </w:r>
    </w:p>
    <w:p>
      <w:pPr>
        <w:pStyle w:val="BodyText"/>
        <w:spacing w:line="477" w:lineRule="auto" w:before="54"/>
        <w:ind w:left="514" w:right="0" w:hanging="360"/>
        <w:jc w:val="left"/>
      </w:pPr>
      <w:r>
        <w:rPr/>
        <w:t>与设定受益计划义务期限和币种相匹配的国债或活跃市场上的高质量公司债券的市场收益率予以折现。 </w:t>
      </w:r>
      <w:r>
        <w:rPr>
          <w:spacing w:val="-2"/>
        </w:rPr>
        <w:t>设定受益计划产生的服务成本和设定受益计划净负债或净资产的利息净额计入当期损益或相关资产成本；重新计量设定</w:t>
      </w:r>
    </w:p>
    <w:p>
      <w:pPr>
        <w:pStyle w:val="BodyText"/>
        <w:spacing w:line="477" w:lineRule="auto" w:before="54"/>
        <w:ind w:right="0"/>
        <w:jc w:val="left"/>
      </w:pPr>
      <w:r>
        <w:rPr>
          <w:spacing w:val="-2"/>
        </w:rPr>
        <w:t>受益计划净负债或净资产所产生的变动计入其他综合收益，并且在后续会计期间不转回至损益，在原设定受益计划终止时在</w:t>
      </w:r>
      <w:r>
        <w:rPr>
          <w:spacing w:val="-64"/>
        </w:rPr>
        <w:t> </w:t>
      </w:r>
      <w:r>
        <w:rPr>
          <w:spacing w:val="-64"/>
        </w:rPr>
      </w:r>
      <w:r>
        <w:rPr/>
        <w:t>权益范围内将原计入其他综合收益的部分全部结转至未分配利润。</w:t>
      </w:r>
    </w:p>
    <w:p>
      <w:pPr>
        <w:pStyle w:val="BodyText"/>
        <w:spacing w:line="240" w:lineRule="auto" w:before="54"/>
        <w:ind w:left="514" w:right="0"/>
        <w:jc w:val="left"/>
      </w:pPr>
      <w:r>
        <w:rPr/>
        <w:t>在设定受益计划结算时，按在结算日确定的设定受益计划义务现值和结算价格两者的差额，确认结算利得或损失。</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3）辞退福利的会计处理方法" w:id="212"/>
      <w:bookmarkEnd w:id="212"/>
      <w:r>
        <w:rPr>
          <w:b w:val="0"/>
          <w:bCs w:val="0"/>
        </w:rPr>
      </w:r>
      <w:r>
        <w:rPr/>
        <w:t>（</w:t>
      </w:r>
      <w:r>
        <w:rPr>
          <w:rFonts w:ascii="Times New Roman" w:hAnsi="Times New Roman" w:cs="Times New Roman" w:eastAsia="Times New Roman" w:hint="default"/>
        </w:rPr>
        <w:t>3</w:t>
      </w:r>
      <w:r>
        <w:rPr/>
        <w:t>）辞退福利的会计处理方法</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0" w:firstLine="360"/>
        <w:jc w:val="left"/>
      </w:pPr>
      <w:r>
        <w:rPr>
          <w:spacing w:val="-2"/>
        </w:rPr>
        <w:t>本公司在不能单方面撤回因解除劳动关系计划或裁减建议所提供的辞退福利时，或确认与涉及支付辞退福利的重组相关</w:t>
      </w:r>
      <w:r>
        <w:rPr/>
        <w:t> 的成本或费用时（两者孰早），确认辞退福利产生的职工薪酬负债，并计入当期损益。</w:t>
      </w:r>
    </w:p>
    <w:p>
      <w:pPr>
        <w:spacing w:after="0" w:line="477" w:lineRule="auto"/>
        <w:jc w:val="left"/>
        <w:sectPr>
          <w:pgSz w:w="11910" w:h="16840"/>
          <w:pgMar w:header="851" w:footer="979" w:top="1400" w:bottom="1160" w:left="98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4）其他长期职工福利的会计处理方法" w:id="213"/>
      <w:bookmarkEnd w:id="213"/>
      <w:r>
        <w:rPr>
          <w:b w:val="0"/>
          <w:bCs w:val="0"/>
        </w:rPr>
      </w:r>
      <w:r>
        <w:rPr/>
        <w:t>（</w:t>
      </w:r>
      <w:r>
        <w:rPr>
          <w:rFonts w:ascii="Times New Roman" w:hAnsi="Times New Roman" w:cs="Times New Roman" w:eastAsia="Times New Roman" w:hint="default"/>
        </w:rPr>
        <w:t>4</w:t>
      </w:r>
      <w:r>
        <w:rPr/>
        <w:t>）其他长期职工福利的会计处理方法</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514"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25、预计负债" w:id="214"/>
      <w:bookmarkEnd w:id="214"/>
      <w:r>
        <w:rPr>
          <w:b w:val="0"/>
          <w:bCs w:val="0"/>
        </w:rPr>
      </w:r>
      <w:r>
        <w:rPr>
          <w:rFonts w:ascii="Times New Roman" w:hAnsi="Times New Roman" w:cs="Times New Roman" w:eastAsia="Times New Roman" w:hint="default"/>
        </w:rPr>
        <w:t>25</w:t>
      </w:r>
      <w:r>
        <w:rPr/>
        <w:t>、预计负债</w:t>
      </w:r>
      <w:r>
        <w:rPr>
          <w:b w:val="0"/>
          <w:bCs w:val="0"/>
        </w:rPr>
      </w:r>
    </w:p>
    <w:p>
      <w:pPr>
        <w:spacing w:line="240" w:lineRule="auto" w:before="7"/>
        <w:rPr>
          <w:rFonts w:ascii="宋体" w:hAnsi="宋体" w:cs="宋体" w:eastAsia="宋体" w:hint="default"/>
          <w:b/>
          <w:bCs/>
          <w:sz w:val="32"/>
          <w:szCs w:val="32"/>
        </w:rPr>
      </w:pPr>
    </w:p>
    <w:p>
      <w:pPr>
        <w:pStyle w:val="BodyText"/>
        <w:spacing w:line="489" w:lineRule="auto"/>
        <w:ind w:left="514" w:right="1572" w:firstLine="1"/>
        <w:jc w:val="left"/>
      </w:pPr>
      <w:r>
        <w:rPr>
          <w:rFonts w:ascii="Times New Roman" w:hAnsi="Times New Roman" w:cs="Times New Roman" w:eastAsia="Times New Roman" w:hint="default"/>
          <w:b/>
          <w:bCs/>
        </w:rPr>
        <w:t>1</w:t>
      </w:r>
      <w:r>
        <w:rPr>
          <w:rFonts w:ascii="宋体" w:hAnsi="宋体" w:cs="宋体" w:eastAsia="宋体" w:hint="default"/>
          <w:b/>
          <w:bCs/>
        </w:rPr>
        <w:t>、预计负债的确认标准</w:t>
      </w:r>
      <w:r>
        <w:rPr>
          <w:rFonts w:ascii="宋体" w:hAnsi="宋体" w:cs="宋体" w:eastAsia="宋体" w:hint="default"/>
          <w:b/>
          <w:bCs/>
          <w:w w:val="99"/>
        </w:rPr>
        <w:t> </w:t>
      </w:r>
      <w:r>
        <w:rPr/>
        <w:t>与诉讼、债务担保、亏损合同、重组事项等或有事项相关的义务同时满足下列条件时，本公司确认为预计负债：</w:t>
      </w:r>
    </w:p>
    <w:p>
      <w:pPr>
        <w:pStyle w:val="BodyText"/>
        <w:spacing w:line="240" w:lineRule="auto" w:before="45"/>
        <w:ind w:left="514" w:right="0"/>
        <w:jc w:val="left"/>
      </w:pPr>
      <w:r>
        <w:rPr/>
        <w:t>（</w:t>
      </w:r>
      <w:r>
        <w:rPr>
          <w:rFonts w:ascii="Times New Roman" w:hAnsi="Times New Roman" w:cs="Times New Roman" w:eastAsia="Times New Roman" w:hint="default"/>
        </w:rPr>
        <w:t>1</w:t>
      </w:r>
      <w:r>
        <w:rPr/>
        <w:t>）该义务是本公司承担的现时义务；</w:t>
      </w:r>
    </w:p>
    <w:p>
      <w:pPr>
        <w:spacing w:line="240" w:lineRule="auto" w:before="9"/>
        <w:rPr>
          <w:rFonts w:ascii="宋体" w:hAnsi="宋体" w:cs="宋体" w:eastAsia="宋体" w:hint="default"/>
          <w:sz w:val="16"/>
          <w:szCs w:val="16"/>
        </w:rPr>
      </w:pPr>
    </w:p>
    <w:p>
      <w:pPr>
        <w:pStyle w:val="BodyText"/>
        <w:spacing w:line="240" w:lineRule="auto"/>
        <w:ind w:left="514" w:right="0"/>
        <w:jc w:val="left"/>
      </w:pPr>
      <w:r>
        <w:rPr/>
        <w:t>（</w:t>
      </w:r>
      <w:r>
        <w:rPr>
          <w:rFonts w:ascii="Times New Roman" w:hAnsi="Times New Roman" w:cs="Times New Roman" w:eastAsia="Times New Roman" w:hint="default"/>
        </w:rPr>
        <w:t>2</w:t>
      </w:r>
      <w:r>
        <w:rPr/>
        <w:t>）履行该义务很可能导致经济利益流出本公司；</w:t>
      </w:r>
    </w:p>
    <w:p>
      <w:pPr>
        <w:spacing w:line="240" w:lineRule="auto" w:before="9"/>
        <w:rPr>
          <w:rFonts w:ascii="宋体" w:hAnsi="宋体" w:cs="宋体" w:eastAsia="宋体" w:hint="default"/>
          <w:sz w:val="16"/>
          <w:szCs w:val="16"/>
        </w:rPr>
      </w:pPr>
    </w:p>
    <w:p>
      <w:pPr>
        <w:pStyle w:val="BodyText"/>
        <w:spacing w:line="240" w:lineRule="auto"/>
        <w:ind w:left="514" w:right="0"/>
        <w:jc w:val="left"/>
      </w:pPr>
      <w:r>
        <w:rPr/>
        <w:t>（</w:t>
      </w:r>
      <w:r>
        <w:rPr>
          <w:rFonts w:ascii="Times New Roman" w:hAnsi="Times New Roman" w:cs="Times New Roman" w:eastAsia="Times New Roman" w:hint="default"/>
        </w:rPr>
        <w:t>3</w:t>
      </w:r>
      <w:r>
        <w:rPr/>
        <w:t>）该义务的金额能够可靠地计量。</w:t>
      </w:r>
    </w:p>
    <w:p>
      <w:pPr>
        <w:spacing w:line="240" w:lineRule="auto" w:before="11"/>
        <w:rPr>
          <w:rFonts w:ascii="宋体" w:hAnsi="宋体" w:cs="宋体" w:eastAsia="宋体" w:hint="default"/>
          <w:sz w:val="19"/>
          <w:szCs w:val="19"/>
        </w:rPr>
      </w:pPr>
    </w:p>
    <w:p>
      <w:pPr>
        <w:spacing w:line="487" w:lineRule="auto" w:before="0"/>
        <w:ind w:left="514" w:right="4272"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、各类预计负债的计量方法</w:t>
      </w:r>
      <w:r>
        <w:rPr>
          <w:rFonts w:ascii="宋体" w:hAnsi="宋体" w:cs="宋体" w:eastAsia="宋体" w:hint="default"/>
          <w:b/>
          <w:bCs/>
          <w:w w:val="99"/>
          <w:sz w:val="18"/>
          <w:szCs w:val="18"/>
        </w:rPr>
        <w:t> </w:t>
      </w:r>
      <w:r>
        <w:rPr>
          <w:rFonts w:ascii="宋体" w:hAnsi="宋体" w:cs="宋体" w:eastAsia="宋体" w:hint="default"/>
          <w:sz w:val="18"/>
          <w:szCs w:val="18"/>
        </w:rPr>
        <w:t>本公司预计负债按履行相关现时义务所需的支出的最佳估计数进行初始计量。</w:t>
      </w:r>
    </w:p>
    <w:p>
      <w:pPr>
        <w:pStyle w:val="BodyText"/>
        <w:spacing w:line="477" w:lineRule="auto" w:before="47"/>
        <w:ind w:right="0" w:firstLine="360"/>
        <w:jc w:val="left"/>
      </w:pPr>
      <w:r>
        <w:rPr>
          <w:spacing w:val="-2"/>
        </w:rPr>
        <w:t>本公司在确定最佳估计数时，综合考虑与或有事项有关的风险、不确定性和货币时间价值等因素。对于货币时间价值影</w:t>
      </w:r>
      <w:r>
        <w:rPr/>
        <w:t> 响重大的，通过对相关未来现金流出进行折现后确定最佳估计数。</w:t>
      </w:r>
    </w:p>
    <w:p>
      <w:pPr>
        <w:pStyle w:val="BodyText"/>
        <w:spacing w:line="477" w:lineRule="auto" w:before="54"/>
        <w:ind w:left="514" w:right="0"/>
        <w:jc w:val="left"/>
      </w:pPr>
      <w:r>
        <w:rPr/>
        <w:t>最佳估计数分别以下情况处理： </w:t>
      </w:r>
      <w:r>
        <w:rPr>
          <w:spacing w:val="-2"/>
        </w:rPr>
        <w:t>所需支出存在一个连续范围（或区间），且该范围内各种结果发生的可能性相同的，则最佳估计数按照该范围的中间值</w:t>
      </w:r>
    </w:p>
    <w:p>
      <w:pPr>
        <w:pStyle w:val="BodyText"/>
        <w:spacing w:line="477" w:lineRule="auto" w:before="54"/>
        <w:ind w:left="514" w:right="0" w:hanging="360"/>
        <w:jc w:val="left"/>
      </w:pPr>
      <w:r>
        <w:rPr/>
        <w:t>即上下限金额的平均数确定。 </w:t>
      </w:r>
      <w:r>
        <w:rPr>
          <w:spacing w:val="-2"/>
        </w:rPr>
        <w:t>所需支出不存在一个连续范围（或区间），或虽然存在一个连续范围但该范围内各种结果发生的可能性不相同的，如或</w:t>
      </w:r>
    </w:p>
    <w:p>
      <w:pPr>
        <w:pStyle w:val="BodyText"/>
        <w:spacing w:line="477" w:lineRule="auto" w:before="54"/>
        <w:ind w:right="0"/>
        <w:jc w:val="left"/>
      </w:pPr>
      <w:r>
        <w:rPr>
          <w:spacing w:val="-2"/>
        </w:rPr>
        <w:t>有事项涉及单个项目的，则最佳估计数按照最可能发生金额确定；如或有事项涉及多个项目的，则最佳估计数按各种可能结</w:t>
      </w:r>
      <w:r>
        <w:rPr>
          <w:spacing w:val="-66"/>
        </w:rPr>
        <w:t> </w:t>
      </w:r>
      <w:r>
        <w:rPr>
          <w:spacing w:val="-66"/>
        </w:rPr>
      </w:r>
      <w:r>
        <w:rPr/>
        <w:t>果及相关概率计算确定。</w:t>
      </w:r>
    </w:p>
    <w:p>
      <w:pPr>
        <w:pStyle w:val="BodyText"/>
        <w:spacing w:line="477" w:lineRule="auto" w:before="54"/>
        <w:ind w:right="1032" w:firstLine="360"/>
        <w:jc w:val="left"/>
      </w:pPr>
      <w:r>
        <w:rPr/>
        <w:t>本公司清偿预计负债所需支出全部或部分预期由第三方补偿的，补偿金额在基本确定能够收到时，作为资产单独确认， 确认的补偿金额不超过预计负债的账面价值。</w:t>
      </w:r>
    </w:p>
    <w:p>
      <w:pPr>
        <w:pStyle w:val="BodyText"/>
        <w:spacing w:line="240" w:lineRule="auto" w:before="54"/>
        <w:ind w:left="514" w:right="0"/>
        <w:jc w:val="left"/>
      </w:pPr>
      <w:r>
        <w:rPr/>
        <w:t>详见本附注</w:t>
      </w:r>
      <w:r>
        <w:rPr>
          <w:rFonts w:ascii="Times New Roman" w:hAnsi="Times New Roman" w:cs="Times New Roman" w:eastAsia="Times New Roman" w:hint="default"/>
        </w:rPr>
        <w:t>“</w:t>
      </w:r>
      <w:r>
        <w:rPr/>
        <w:t>七、</w:t>
      </w:r>
      <w:r>
        <w:rPr>
          <w:rFonts w:ascii="Times New Roman" w:hAnsi="Times New Roman" w:cs="Times New Roman" w:eastAsia="Times New Roman" w:hint="default"/>
        </w:rPr>
        <w:t>(</w:t>
      </w:r>
      <w:r>
        <w:rPr/>
        <w:t>四十一</w:t>
      </w:r>
      <w:r>
        <w:rPr>
          <w:rFonts w:ascii="Times New Roman" w:hAnsi="Times New Roman" w:cs="Times New Roman" w:eastAsia="Times New Roman" w:hint="default"/>
        </w:rPr>
        <w:t>)  </w:t>
      </w:r>
      <w:r>
        <w:rPr/>
        <w:t>预计负债</w:t>
      </w:r>
      <w:r>
        <w:rPr>
          <w:rFonts w:ascii="Times New Roman" w:hAnsi="Times New Roman" w:cs="Times New Roman" w:eastAsia="Times New Roman" w:hint="default"/>
        </w:rPr>
        <w:t>”</w:t>
      </w:r>
      <w:r>
        <w:rPr/>
        <w:t>。</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3"/>
          <w:szCs w:val="13"/>
        </w:rPr>
      </w:pPr>
    </w:p>
    <w:p>
      <w:pPr>
        <w:pStyle w:val="Heading3"/>
        <w:spacing w:line="240" w:lineRule="auto"/>
        <w:ind w:right="0"/>
        <w:jc w:val="left"/>
        <w:rPr>
          <w:b w:val="0"/>
          <w:bCs w:val="0"/>
        </w:rPr>
      </w:pPr>
      <w:bookmarkStart w:name="26、股份支付" w:id="215"/>
      <w:bookmarkEnd w:id="215"/>
      <w:r>
        <w:rPr>
          <w:b w:val="0"/>
          <w:bCs w:val="0"/>
        </w:rPr>
      </w:r>
      <w:r>
        <w:rPr>
          <w:rFonts w:ascii="Times New Roman" w:hAnsi="Times New Roman" w:cs="Times New Roman" w:eastAsia="Times New Roman" w:hint="default"/>
        </w:rPr>
        <w:t>26</w:t>
      </w:r>
      <w:r>
        <w:rPr/>
        <w:t>、股份支付</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0" w:firstLine="360"/>
        <w:jc w:val="left"/>
      </w:pPr>
      <w:r>
        <w:rPr>
          <w:spacing w:val="-2"/>
        </w:rPr>
        <w:t>本公司的股份支付是为了获取职工或其他方提供服务而授予权益工具或者承担以权益工具为基础确定的负债的交易。本</w:t>
      </w:r>
      <w:r>
        <w:rPr/>
        <w:t> 公司的股份支付分为以权益结算的股份支付。</w:t>
      </w:r>
    </w:p>
    <w:p>
      <w:pPr>
        <w:spacing w:line="477" w:lineRule="auto" w:before="54"/>
        <w:ind w:left="514" w:right="0" w:firstLine="1"/>
        <w:jc w:val="left"/>
        <w:rPr>
          <w:rFonts w:ascii="宋体" w:hAnsi="宋体" w:cs="宋体" w:eastAsia="宋体" w:hint="default"/>
          <w:sz w:val="18"/>
          <w:szCs w:val="18"/>
        </w:rPr>
      </w:pPr>
      <w:r>
        <w:rPr>
          <w:rFonts w:ascii="宋体" w:hAnsi="宋体" w:cs="宋体" w:eastAsia="宋体" w:hint="default"/>
          <w:b/>
          <w:bCs/>
          <w:sz w:val="18"/>
          <w:szCs w:val="18"/>
        </w:rPr>
        <w:t>以权益结算的股份支付及权益工具</w:t>
      </w:r>
      <w:r>
        <w:rPr>
          <w:rFonts w:ascii="宋体" w:hAnsi="宋体" w:cs="宋体" w:eastAsia="宋体" w:hint="default"/>
          <w:b/>
          <w:bCs/>
          <w:w w:val="99"/>
          <w:sz w:val="18"/>
          <w:szCs w:val="18"/>
        </w:rPr>
        <w:t> </w:t>
      </w:r>
      <w:r>
        <w:rPr>
          <w:rFonts w:ascii="宋体" w:hAnsi="宋体" w:cs="宋体" w:eastAsia="宋体" w:hint="default"/>
          <w:spacing w:val="-2"/>
          <w:sz w:val="18"/>
          <w:szCs w:val="18"/>
        </w:rPr>
        <w:t>以权益结算的股份支付换取职工提供服务的，以授予职工权益工具的公允价值计量。本公司以限制性股票进行股份支付</w:t>
      </w:r>
    </w:p>
    <w:p>
      <w:pPr>
        <w:pStyle w:val="BodyText"/>
        <w:spacing w:line="240" w:lineRule="auto" w:before="54"/>
        <w:ind w:right="0"/>
        <w:jc w:val="left"/>
      </w:pPr>
      <w:r>
        <w:rPr/>
        <w:t>的，职工出资认购股票，股票在达到解锁条件并解锁前不得上市流通或转让；如果最终股权激励计划规定的解锁条件未能达</w:t>
      </w:r>
    </w:p>
    <w:p>
      <w:pPr>
        <w:spacing w:after="0" w:line="240" w:lineRule="auto"/>
        <w:jc w:val="left"/>
        <w:sectPr>
          <w:pgSz w:w="11910" w:h="16840"/>
          <w:pgMar w:header="851" w:footer="979" w:top="1400" w:bottom="1160" w:left="98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BodyText"/>
        <w:spacing w:line="477" w:lineRule="auto" w:before="83"/>
        <w:ind w:right="1131"/>
        <w:jc w:val="both"/>
      </w:pPr>
      <w:r>
        <w:rPr>
          <w:spacing w:val="-2"/>
        </w:rPr>
        <w:t>到，则本公司按照事先约定的价格回购股票。本公司取得职工认购限制性股票支付的款项时，按照取得的认股款确认股本和</w:t>
      </w:r>
      <w:r>
        <w:rPr>
          <w:spacing w:val="-66"/>
        </w:rPr>
        <w:t> </w:t>
      </w:r>
      <w:r>
        <w:rPr>
          <w:spacing w:val="-66"/>
        </w:rPr>
      </w:r>
      <w:r>
        <w:rPr>
          <w:spacing w:val="-2"/>
        </w:rPr>
        <w:t>资本公积（股本溢价），同时就回购义务全额确认一项负债并确认库存股。在等待期内每个资产负债表日，本公司根据最新</w:t>
      </w:r>
      <w:r>
        <w:rPr>
          <w:spacing w:val="-65"/>
        </w:rPr>
        <w:t> </w:t>
      </w:r>
      <w:r>
        <w:rPr>
          <w:spacing w:val="-65"/>
        </w:rPr>
      </w:r>
      <w:r>
        <w:rPr/>
        <w:t>取得的可行权职工人数变动</w:t>
      </w:r>
      <w:r>
        <w:rPr>
          <w:spacing w:val="7"/>
        </w:rPr>
        <w:t> </w:t>
      </w:r>
      <w:r>
        <w:rPr/>
        <w:t>、是否达到规定业绩条件等后续信息对可行权权益工具数量作出最佳估计，以此为基础，按照</w:t>
      </w:r>
      <w:r>
        <w:rPr/>
        <w:t> </w:t>
      </w:r>
      <w:r>
        <w:rPr>
          <w:spacing w:val="-2"/>
        </w:rPr>
        <w:t>授予日的公允价值，将当期取得的服务计入相关成本或费用，相应增加资本公积。在可行权日之后不再对已确认的相关成本</w:t>
      </w:r>
      <w:r>
        <w:rPr>
          <w:spacing w:val="-66"/>
        </w:rPr>
        <w:t> </w:t>
      </w:r>
      <w:r>
        <w:rPr>
          <w:spacing w:val="-66"/>
        </w:rPr>
      </w:r>
      <w:r>
        <w:rPr>
          <w:spacing w:val="-2"/>
        </w:rPr>
        <w:t>或费用和所有者权益总额进行调整。但授予后立即可行权的，在授予日按照公允价值计入相关成本或费用，相应增加资本公</w:t>
      </w:r>
      <w:r>
        <w:rPr>
          <w:spacing w:val="-66"/>
        </w:rPr>
        <w:t> </w:t>
      </w:r>
      <w:r>
        <w:rPr>
          <w:spacing w:val="-66"/>
        </w:rPr>
      </w:r>
      <w:r>
        <w:rPr/>
        <w:t>积。</w:t>
      </w:r>
    </w:p>
    <w:p>
      <w:pPr>
        <w:pStyle w:val="BodyText"/>
        <w:spacing w:line="477" w:lineRule="auto" w:before="54"/>
        <w:ind w:right="0" w:firstLine="360"/>
        <w:jc w:val="left"/>
      </w:pPr>
      <w:r>
        <w:rPr>
          <w:spacing w:val="-2"/>
        </w:rPr>
        <w:t>对于最终未能行权的股份支付，不确认成本或费用，除非行权条件是市场条件或非可行权条件，此时无论是否满足市场</w:t>
      </w:r>
      <w:r>
        <w:rPr/>
        <w:t> 条件或非可行权条件，只要满足所有可行权条件中的非市场条件，即视为可行权。</w:t>
      </w:r>
    </w:p>
    <w:p>
      <w:pPr>
        <w:pStyle w:val="BodyText"/>
        <w:spacing w:line="477" w:lineRule="auto" w:before="54"/>
        <w:ind w:right="0" w:firstLine="360"/>
        <w:jc w:val="left"/>
      </w:pPr>
      <w:r>
        <w:rPr>
          <w:spacing w:val="-2"/>
        </w:rPr>
        <w:t>如果修改了以权益结算的股份支付的条款，至少按照未修改条款的情况确认取得的服务。此外，任何增加所授予权益工</w:t>
      </w:r>
      <w:r>
        <w:rPr/>
        <w:t> 具公允价值的修改，或在修改日对职工有利的变更，均确认取得服务的增加。</w:t>
      </w:r>
    </w:p>
    <w:p>
      <w:pPr>
        <w:pStyle w:val="BodyText"/>
        <w:spacing w:line="477" w:lineRule="auto" w:before="54"/>
        <w:ind w:right="0" w:firstLine="360"/>
        <w:jc w:val="left"/>
      </w:pPr>
      <w:r>
        <w:rPr/>
        <w:t>如果取消了以权益结算的股份支付，则于取消日作为加速行权处理，立即确认尚未确认的金额。职工或其他方能够选择 满足非可行权条件但在等待期内未满足的，作为取消以权益结算的股份支付处理。但是，如果授予新的权益工具，并在新权 </w:t>
      </w:r>
      <w:r>
        <w:rPr>
          <w:spacing w:val="-2"/>
        </w:rPr>
        <w:t>益工具授予日认定所授予的新权益工具是用于替代被取消的权益工具的，则以与处理原权益工具条款和条件修改相同的方式，</w:t>
      </w:r>
      <w:r>
        <w:rPr>
          <w:spacing w:val="-62"/>
        </w:rPr>
        <w:t> </w:t>
      </w:r>
      <w:r>
        <w:rPr>
          <w:spacing w:val="-62"/>
        </w:rPr>
      </w:r>
      <w:r>
        <w:rPr/>
        <w:t>对所授予的替代权益工具进行处理。</w:t>
      </w:r>
    </w:p>
    <w:p>
      <w:pPr>
        <w:spacing w:line="240" w:lineRule="auto" w:before="4"/>
        <w:rPr>
          <w:rFonts w:ascii="宋体" w:hAnsi="宋体" w:cs="宋体" w:eastAsia="宋体" w:hint="default"/>
          <w:sz w:val="19"/>
          <w:szCs w:val="19"/>
        </w:rPr>
      </w:pPr>
    </w:p>
    <w:p>
      <w:pPr>
        <w:pStyle w:val="Heading3"/>
        <w:spacing w:line="240" w:lineRule="auto"/>
        <w:ind w:right="0"/>
        <w:jc w:val="both"/>
        <w:rPr>
          <w:b w:val="0"/>
          <w:bCs w:val="0"/>
        </w:rPr>
      </w:pPr>
      <w:bookmarkStart w:name="27、优先股、永续债等其他金融工具" w:id="216"/>
      <w:bookmarkEnd w:id="216"/>
      <w:r>
        <w:rPr>
          <w:b w:val="0"/>
          <w:bCs w:val="0"/>
        </w:rPr>
      </w:r>
      <w:r>
        <w:rPr>
          <w:rFonts w:ascii="Times New Roman" w:hAnsi="Times New Roman" w:cs="Times New Roman" w:eastAsia="Times New Roman" w:hint="default"/>
        </w:rPr>
        <w:t>27</w:t>
      </w:r>
      <w:r>
        <w:rPr/>
        <w:t>、优先股、永续债等其他金融工具</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514"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both"/>
        <w:rPr>
          <w:b w:val="0"/>
          <w:bCs w:val="0"/>
        </w:rPr>
      </w:pPr>
      <w:bookmarkStart w:name="28、收入" w:id="217"/>
      <w:bookmarkEnd w:id="217"/>
      <w:r>
        <w:rPr>
          <w:b w:val="0"/>
          <w:bCs w:val="0"/>
        </w:rPr>
      </w:r>
      <w:r>
        <w:rPr>
          <w:rFonts w:ascii="Times New Roman" w:hAnsi="Times New Roman" w:cs="Times New Roman" w:eastAsia="Times New Roman" w:hint="default"/>
        </w:rPr>
        <w:t>28</w:t>
      </w:r>
      <w:r>
        <w:rPr/>
        <w:t>、收入</w:t>
      </w:r>
      <w:r>
        <w:rPr>
          <w:b w:val="0"/>
          <w:bCs w:val="0"/>
        </w:rPr>
      </w:r>
    </w:p>
    <w:p>
      <w:pPr>
        <w:spacing w:line="240" w:lineRule="auto" w:before="6"/>
        <w:rPr>
          <w:rFonts w:ascii="宋体" w:hAnsi="宋体" w:cs="宋体" w:eastAsia="宋体" w:hint="default"/>
          <w:b/>
          <w:bCs/>
          <w:sz w:val="32"/>
          <w:szCs w:val="32"/>
        </w:rPr>
      </w:pPr>
    </w:p>
    <w:p>
      <w:pPr>
        <w:spacing w:line="477" w:lineRule="auto" w:before="0"/>
        <w:ind w:left="515" w:right="7333" w:hanging="2"/>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w:t>
      </w:r>
      <w:r>
        <w:rPr>
          <w:rFonts w:ascii="宋体" w:hAnsi="宋体" w:cs="宋体" w:eastAsia="宋体" w:hint="default"/>
          <w:b/>
          <w:bCs/>
          <w:sz w:val="18"/>
          <w:szCs w:val="18"/>
        </w:rPr>
        <w:t>是</w:t>
      </w:r>
      <w:r>
        <w:rPr>
          <w:rFonts w:ascii="宋体" w:hAnsi="宋体" w:cs="宋体" w:eastAsia="宋体" w:hint="default"/>
          <w:b/>
          <w:bCs/>
          <w:w w:val="99"/>
          <w:sz w:val="18"/>
          <w:szCs w:val="18"/>
        </w:rPr>
        <w:t> </w:t>
      </w:r>
      <w:r>
        <w:rPr>
          <w:rFonts w:ascii="宋体" w:hAnsi="宋体" w:cs="宋体" w:eastAsia="宋体" w:hint="default"/>
          <w:b/>
          <w:bCs/>
          <w:sz w:val="18"/>
          <w:szCs w:val="18"/>
        </w:rPr>
        <w:t>软件与信息技术服务业</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互联网游戏业</w:t>
      </w:r>
      <w:r>
        <w:rPr>
          <w:rFonts w:ascii="宋体" w:hAnsi="宋体" w:cs="宋体" w:eastAsia="宋体" w:hint="default"/>
          <w:sz w:val="18"/>
          <w:szCs w:val="18"/>
        </w:rPr>
      </w:r>
    </w:p>
    <w:p>
      <w:pPr>
        <w:pStyle w:val="Heading5"/>
        <w:spacing w:line="240" w:lineRule="auto" w:before="21"/>
        <w:ind w:left="515" w:right="0"/>
        <w:jc w:val="left"/>
        <w:rPr>
          <w:b w:val="0"/>
          <w:bCs w:val="0"/>
        </w:rPr>
      </w:pPr>
      <w:r>
        <w:rPr/>
        <w:t>公司需遵守《深圳证券交易所创业板行业信息披露指引第</w:t>
      </w:r>
      <w:r>
        <w:rPr>
          <w:spacing w:val="-48"/>
        </w:rPr>
        <w:t> </w:t>
      </w:r>
      <w:r>
        <w:rPr>
          <w:rFonts w:ascii="Times New Roman" w:hAnsi="Times New Roman" w:cs="Times New Roman" w:eastAsia="Times New Roman" w:hint="default"/>
        </w:rPr>
        <w:t>5</w:t>
      </w:r>
      <w:r>
        <w:rPr>
          <w:rFonts w:ascii="Times New Roman" w:hAnsi="Times New Roman" w:cs="Times New Roman" w:eastAsia="Times New Roman" w:hint="default"/>
          <w:spacing w:val="-6"/>
        </w:rPr>
        <w:t> </w:t>
      </w:r>
      <w:r>
        <w:rPr/>
        <w:t>号</w:t>
      </w:r>
      <w:r>
        <w:rPr>
          <w:rFonts w:ascii="Times New Roman" w:hAnsi="Times New Roman" w:cs="Times New Roman" w:eastAsia="Times New Roman" w:hint="default"/>
        </w:rPr>
        <w:t>——</w:t>
      </w:r>
      <w:r>
        <w:rPr/>
        <w:t>上市公司从事互联网游戏业务》的披露要求</w:t>
      </w:r>
      <w:r>
        <w:rPr>
          <w:b w:val="0"/>
          <w:bCs w:val="0"/>
        </w:rPr>
      </w:r>
    </w:p>
    <w:p>
      <w:pPr>
        <w:spacing w:line="240" w:lineRule="auto" w:before="9"/>
        <w:rPr>
          <w:rFonts w:ascii="宋体" w:hAnsi="宋体" w:cs="宋体" w:eastAsia="宋体" w:hint="default"/>
          <w:b/>
          <w:bCs/>
          <w:sz w:val="16"/>
          <w:szCs w:val="16"/>
        </w:rPr>
      </w:pPr>
    </w:p>
    <w:p>
      <w:pPr>
        <w:pStyle w:val="Heading5"/>
        <w:spacing w:line="240" w:lineRule="auto"/>
        <w:ind w:left="515" w:right="0"/>
        <w:jc w:val="left"/>
        <w:rPr>
          <w:b w:val="0"/>
          <w:bCs w:val="0"/>
        </w:rPr>
      </w:pPr>
      <w:r>
        <w:rPr/>
        <w:t>公司需遵守《深圳证券交易所行业信息披露指引第</w:t>
      </w:r>
      <w:r>
        <w:rPr>
          <w:spacing w:val="-48"/>
        </w:rPr>
        <w:t> </w:t>
      </w:r>
      <w:r>
        <w:rPr>
          <w:rFonts w:ascii="Times New Roman" w:hAnsi="Times New Roman" w:cs="Times New Roman" w:eastAsia="Times New Roman" w:hint="default"/>
        </w:rPr>
        <w:t>12</w:t>
      </w:r>
      <w:r>
        <w:rPr>
          <w:rFonts w:ascii="Times New Roman" w:hAnsi="Times New Roman" w:cs="Times New Roman" w:eastAsia="Times New Roman" w:hint="default"/>
          <w:spacing w:val="-6"/>
        </w:rPr>
        <w:t> </w:t>
      </w:r>
      <w:r>
        <w:rPr/>
        <w:t>号</w:t>
      </w:r>
      <w:r>
        <w:rPr>
          <w:rFonts w:ascii="Times New Roman" w:hAnsi="Times New Roman" w:cs="Times New Roman" w:eastAsia="Times New Roman" w:hint="default"/>
        </w:rPr>
        <w:t>——</w:t>
      </w:r>
      <w:r>
        <w:rPr/>
        <w:t>上市公司从事软件与信息技术服务业务》的披露要求</w:t>
      </w:r>
      <w:r>
        <w:rPr>
          <w:b w:val="0"/>
          <w:bCs w:val="0"/>
        </w:rPr>
      </w:r>
    </w:p>
    <w:p>
      <w:pPr>
        <w:spacing w:line="240" w:lineRule="auto" w:before="9"/>
        <w:rPr>
          <w:rFonts w:ascii="宋体" w:hAnsi="宋体" w:cs="宋体" w:eastAsia="宋体" w:hint="default"/>
          <w:b/>
          <w:bCs/>
          <w:sz w:val="16"/>
          <w:szCs w:val="16"/>
        </w:rPr>
      </w:pPr>
    </w:p>
    <w:p>
      <w:pPr>
        <w:pStyle w:val="Heading5"/>
        <w:spacing w:line="240" w:lineRule="auto"/>
        <w:ind w:left="515" w:right="0"/>
        <w:jc w:val="left"/>
        <w:rPr>
          <w:b w:val="0"/>
          <w:bCs w:val="0"/>
        </w:rPr>
      </w:pPr>
      <w:r>
        <w:rPr>
          <w:rFonts w:ascii="Times New Roman" w:hAnsi="Times New Roman" w:cs="Times New Roman" w:eastAsia="Times New Roman" w:hint="default"/>
        </w:rPr>
        <w:t>1</w:t>
      </w:r>
      <w:r>
        <w:rPr/>
        <w:t>、公司收入在交易结果能够可靠估计时，按以下原则确认：</w:t>
      </w:r>
      <w:r>
        <w:rPr>
          <w:b w:val="0"/>
          <w:bCs w:val="0"/>
        </w:rPr>
      </w:r>
    </w:p>
    <w:p>
      <w:pPr>
        <w:spacing w:line="240" w:lineRule="auto" w:before="9"/>
        <w:rPr>
          <w:rFonts w:ascii="宋体" w:hAnsi="宋体" w:cs="宋体" w:eastAsia="宋体" w:hint="default"/>
          <w:b/>
          <w:bCs/>
          <w:sz w:val="16"/>
          <w:szCs w:val="16"/>
        </w:rPr>
      </w:pPr>
    </w:p>
    <w:p>
      <w:pPr>
        <w:pStyle w:val="BodyText"/>
        <w:spacing w:line="451" w:lineRule="auto"/>
        <w:ind w:left="514" w:right="0"/>
        <w:jc w:val="left"/>
      </w:pPr>
      <w:r>
        <w:rPr/>
        <w:t>（</w:t>
      </w:r>
      <w:r>
        <w:rPr>
          <w:rFonts w:ascii="Times New Roman" w:hAnsi="Times New Roman" w:cs="Times New Roman" w:eastAsia="Times New Roman" w:hint="default"/>
        </w:rPr>
        <w:t>1</w:t>
      </w:r>
      <w:r>
        <w:rPr/>
        <w:t>）软件产品开发与销售： </w:t>
      </w:r>
      <w:r>
        <w:rPr>
          <w:spacing w:val="-2"/>
        </w:rPr>
        <w:t>软件产品包括自主开发软件产品和定制开发软件产品。自主开发软件产品指公司自行开发研制的软件产品；定制开发软</w:t>
      </w:r>
    </w:p>
    <w:p>
      <w:pPr>
        <w:pStyle w:val="BodyText"/>
        <w:spacing w:line="477" w:lineRule="auto" w:before="74"/>
        <w:ind w:left="514" w:right="0" w:hanging="360"/>
        <w:jc w:val="left"/>
      </w:pPr>
      <w:r>
        <w:rPr/>
        <w:t>件产品指公司根据买方的实际需求进行定制、开发的软件产品。 </w:t>
      </w:r>
      <w:r>
        <w:rPr>
          <w:spacing w:val="-2"/>
        </w:rPr>
        <w:t>对于自主开发软件产品的销售，公司在软件产品的主要风险和报酬已转移给买方，不再保留与之相联系的管理权和控制</w:t>
      </w:r>
    </w:p>
    <w:p>
      <w:pPr>
        <w:pStyle w:val="BodyText"/>
        <w:spacing w:line="240" w:lineRule="auto" w:before="54"/>
        <w:ind w:right="0"/>
        <w:jc w:val="both"/>
      </w:pPr>
      <w:r>
        <w:rPr/>
        <w:t>权，取得明确的收款证据，相关成本能够可靠地计量时，确认收入。</w:t>
      </w:r>
    </w:p>
    <w:p>
      <w:pPr>
        <w:spacing w:after="0" w:line="240" w:lineRule="auto"/>
        <w:jc w:val="both"/>
        <w:sectPr>
          <w:pgSz w:w="11910" w:h="16840"/>
          <w:pgMar w:header="851" w:footer="979" w:top="1400" w:bottom="1160" w:left="980" w:right="0"/>
        </w:sectPr>
      </w:pPr>
    </w:p>
    <w:p>
      <w:pPr>
        <w:pStyle w:val="BodyText"/>
        <w:spacing w:line="463" w:lineRule="auto" w:before="140"/>
        <w:ind w:left="514" w:right="4452"/>
        <w:jc w:val="left"/>
      </w:pPr>
      <w:r>
        <w:rPr/>
        <w:t>对于定制开发软件产品，经客户验收确认，按完工百分比确认收入。 完工百分比确认方法：完工百分比</w:t>
      </w:r>
      <w:r>
        <w:rPr>
          <w:rFonts w:ascii="Times New Roman" w:hAnsi="Times New Roman" w:cs="Times New Roman" w:eastAsia="Times New Roman" w:hint="default"/>
        </w:rPr>
        <w:t>=</w:t>
      </w:r>
      <w:r>
        <w:rPr/>
        <w:t>（已发生工时</w:t>
      </w:r>
      <w:r>
        <w:rPr>
          <w:rFonts w:ascii="Times New Roman" w:hAnsi="Times New Roman" w:cs="Times New Roman" w:eastAsia="Times New Roman" w:hint="default"/>
        </w:rPr>
        <w:t>/</w:t>
      </w:r>
      <w:r>
        <w:rPr/>
        <w:t>项目总工时）</w:t>
      </w:r>
      <w:r>
        <w:rPr>
          <w:rFonts w:ascii="Times New Roman" w:hAnsi="Times New Roman" w:cs="Times New Roman" w:eastAsia="Times New Roman" w:hint="default"/>
        </w:rPr>
        <w:t>*100%</w:t>
      </w:r>
      <w:r>
        <w:rPr/>
        <w:t>。 对于包含在系统集成中的软件产品，按系统集成的收入确认原则确认收入。</w:t>
      </w:r>
    </w:p>
    <w:p>
      <w:pPr>
        <w:pStyle w:val="BodyText"/>
        <w:spacing w:line="451" w:lineRule="auto" w:before="65"/>
        <w:ind w:left="514" w:right="0"/>
        <w:jc w:val="left"/>
      </w:pPr>
      <w:r>
        <w:rPr/>
        <w:t>（</w:t>
      </w:r>
      <w:r>
        <w:rPr>
          <w:rFonts w:ascii="Times New Roman" w:hAnsi="Times New Roman" w:cs="Times New Roman" w:eastAsia="Times New Roman" w:hint="default"/>
        </w:rPr>
        <w:t>2</w:t>
      </w:r>
      <w:r>
        <w:rPr/>
        <w:t>）技术服务收入： </w:t>
      </w:r>
      <w:r>
        <w:rPr>
          <w:spacing w:val="-5"/>
        </w:rPr>
        <w:t>技术服务包括公司向客户提供的与</w:t>
      </w:r>
      <w:r>
        <w:rPr>
          <w:rFonts w:ascii="Times New Roman" w:hAnsi="Times New Roman" w:cs="Times New Roman" w:eastAsia="Times New Roman" w:hint="default"/>
          <w:spacing w:val="-5"/>
        </w:rPr>
        <w:t>IT</w:t>
      </w:r>
      <w:r>
        <w:rPr>
          <w:spacing w:val="-5"/>
        </w:rPr>
        <w:t>运维管理相关的技术支持、技术咨询、技术开发、系统维护、运营管理等服务内容。</w:t>
      </w:r>
      <w:r>
        <w:rPr>
          <w:spacing w:val="-77"/>
        </w:rPr>
        <w:t> </w:t>
      </w:r>
      <w:r>
        <w:rPr>
          <w:spacing w:val="-77"/>
        </w:rPr>
      </w:r>
      <w:r>
        <w:rPr>
          <w:spacing w:val="-2"/>
        </w:rPr>
        <w:t>公司在已根据合同约定提供了相应服务，取得明确的收款证据，相关成本能够可靠地计量时，确认收入。合同明确约定</w:t>
      </w:r>
    </w:p>
    <w:p>
      <w:pPr>
        <w:pStyle w:val="BodyText"/>
        <w:spacing w:line="477" w:lineRule="auto" w:before="74"/>
        <w:ind w:right="1115"/>
        <w:jc w:val="left"/>
      </w:pPr>
      <w:r>
        <w:rPr>
          <w:spacing w:val="-2"/>
        </w:rPr>
        <w:t>服务期限的，在合同约定的服务期限内，按进度确认收入；合同明确约定服务成果需经客户验收确认的，根据客户验收情况</w:t>
      </w:r>
      <w:r>
        <w:rPr>
          <w:spacing w:val="-66"/>
        </w:rPr>
        <w:t> </w:t>
      </w:r>
      <w:r>
        <w:rPr>
          <w:spacing w:val="-66"/>
        </w:rPr>
      </w:r>
      <w:r>
        <w:rPr/>
        <w:t>确认收入。</w:t>
      </w:r>
    </w:p>
    <w:p>
      <w:pPr>
        <w:pStyle w:val="BodyText"/>
        <w:spacing w:line="451" w:lineRule="auto" w:before="54"/>
        <w:ind w:left="514" w:right="5532"/>
        <w:jc w:val="left"/>
      </w:pPr>
      <w:r>
        <w:rPr/>
        <w:t>（</w:t>
      </w:r>
      <w:r>
        <w:rPr>
          <w:rFonts w:ascii="Times New Roman" w:hAnsi="Times New Roman" w:cs="Times New Roman" w:eastAsia="Times New Roman" w:hint="default"/>
        </w:rPr>
        <w:t>3</w:t>
      </w:r>
      <w:r>
        <w:rPr/>
        <w:t>）系统集成收入： 系统集成包括外购软硬件产品和公司软件产品的销售及安装。</w:t>
      </w:r>
    </w:p>
    <w:p>
      <w:pPr>
        <w:pStyle w:val="BodyText"/>
        <w:spacing w:line="477" w:lineRule="auto" w:before="74"/>
        <w:ind w:right="0" w:firstLine="360"/>
        <w:jc w:val="left"/>
      </w:pPr>
      <w:r>
        <w:rPr>
          <w:spacing w:val="-4"/>
        </w:rPr>
        <w:t>对于系统集成，公司根据合同的约定，在系统集成中的外购软硬件产品和公司软件产品的主要风险和报酬已转移给买方，</w:t>
      </w:r>
      <w:r>
        <w:rPr/>
        <w:t> </w:t>
      </w:r>
      <w:r>
        <w:rPr>
          <w:spacing w:val="-2"/>
        </w:rPr>
        <w:t>不再保留与之相联系的继续管理权和控制权，系统已按合同约定的条件安装调试、取得了买方的验收确认，相关成本能够可</w:t>
      </w:r>
      <w:r>
        <w:rPr>
          <w:spacing w:val="-66"/>
        </w:rPr>
        <w:t> </w:t>
      </w:r>
      <w:r>
        <w:rPr>
          <w:spacing w:val="-66"/>
        </w:rPr>
      </w:r>
      <w:r>
        <w:rPr/>
        <w:t>靠地计量时，按完工百分比确认收入。</w:t>
      </w:r>
    </w:p>
    <w:p>
      <w:pPr>
        <w:pStyle w:val="BodyText"/>
        <w:spacing w:line="451" w:lineRule="auto" w:before="54"/>
        <w:ind w:left="514" w:right="0"/>
        <w:jc w:val="left"/>
      </w:pPr>
      <w:r>
        <w:rPr/>
        <w:t>完工百分比确认方法：完工百分比</w:t>
      </w:r>
      <w:r>
        <w:rPr>
          <w:rFonts w:ascii="Times New Roman" w:hAnsi="Times New Roman" w:cs="Times New Roman" w:eastAsia="Times New Roman" w:hint="default"/>
        </w:rPr>
        <w:t>=</w:t>
      </w:r>
      <w:r>
        <w:rPr/>
        <w:t>（已发生工时</w:t>
      </w:r>
      <w:r>
        <w:rPr>
          <w:rFonts w:ascii="Times New Roman" w:hAnsi="Times New Roman" w:cs="Times New Roman" w:eastAsia="Times New Roman" w:hint="default"/>
        </w:rPr>
        <w:t>/</w:t>
      </w:r>
      <w:r>
        <w:rPr/>
        <w:t>项目总工时）</w:t>
      </w:r>
      <w:r>
        <w:rPr>
          <w:rFonts w:ascii="Times New Roman" w:hAnsi="Times New Roman" w:cs="Times New Roman" w:eastAsia="Times New Roman" w:hint="default"/>
        </w:rPr>
        <w:t>*100%</w:t>
      </w:r>
      <w:r>
        <w:rPr/>
        <w:t>。 </w:t>
      </w:r>
      <w:r>
        <w:rPr>
          <w:spacing w:val="-2"/>
        </w:rPr>
        <w:t>对于无需提供安装调试的集成购销业务，公司根据合同的约定，在主要风险和报酬已转移给买方，不再保留与之相联系</w:t>
      </w:r>
    </w:p>
    <w:p>
      <w:pPr>
        <w:pStyle w:val="BodyText"/>
        <w:spacing w:line="240" w:lineRule="auto" w:before="74"/>
        <w:ind w:right="0"/>
        <w:jc w:val="left"/>
      </w:pPr>
      <w:r>
        <w:rPr/>
        <w:t>的继续管理权和控制权，取得了买方的收货确认单据，相关成本能够可靠地计量时，一次性确认收入。</w:t>
      </w:r>
    </w:p>
    <w:p>
      <w:pPr>
        <w:spacing w:line="240" w:lineRule="auto" w:before="10"/>
        <w:rPr>
          <w:rFonts w:ascii="宋体" w:hAnsi="宋体" w:cs="宋体" w:eastAsia="宋体" w:hint="default"/>
          <w:sz w:val="17"/>
          <w:szCs w:val="17"/>
        </w:rPr>
      </w:pPr>
    </w:p>
    <w:p>
      <w:pPr>
        <w:pStyle w:val="BodyText"/>
        <w:spacing w:line="451" w:lineRule="auto"/>
        <w:ind w:left="514" w:right="7692"/>
        <w:jc w:val="left"/>
      </w:pPr>
      <w:r>
        <w:rPr/>
        <w:t>（</w:t>
      </w:r>
      <w:r>
        <w:rPr>
          <w:rFonts w:ascii="Times New Roman" w:hAnsi="Times New Roman" w:cs="Times New Roman" w:eastAsia="Times New Roman" w:hint="default"/>
        </w:rPr>
        <w:t>4</w:t>
      </w:r>
      <w:r>
        <w:rPr/>
        <w:t>）移动端游戏收入： 公司目前的移动游戏为联机游戏。</w:t>
      </w:r>
    </w:p>
    <w:p>
      <w:pPr>
        <w:pStyle w:val="BodyText"/>
        <w:spacing w:line="451" w:lineRule="auto" w:before="74"/>
        <w:ind w:left="514" w:right="0"/>
        <w:jc w:val="left"/>
      </w:pPr>
      <w:r>
        <w:rPr/>
        <w:t>联机游戏目前采用</w:t>
      </w:r>
      <w:r>
        <w:rPr>
          <w:rFonts w:ascii="Times New Roman" w:hAnsi="Times New Roman" w:cs="Times New Roman" w:eastAsia="Times New Roman" w:hint="default"/>
        </w:rPr>
        <w:t>“</w:t>
      </w:r>
      <w:r>
        <w:rPr/>
        <w:t>游戏基础功能免费、部分道具收费</w:t>
      </w:r>
      <w:r>
        <w:rPr>
          <w:rFonts w:ascii="Times New Roman" w:hAnsi="Times New Roman" w:cs="Times New Roman" w:eastAsia="Times New Roman" w:hint="default"/>
        </w:rPr>
        <w:t>”</w:t>
      </w:r>
      <w:r>
        <w:rPr/>
        <w:t>的运营模式。 </w:t>
      </w:r>
      <w:r>
        <w:rPr>
          <w:spacing w:val="-2"/>
        </w:rPr>
        <w:t>月末与合作方对账确认后，以协议约定的分成比例为基础，在玩家实际使用付费获得的游戏内货币购买道具及其他合理</w:t>
      </w:r>
    </w:p>
    <w:p>
      <w:pPr>
        <w:pStyle w:val="BodyText"/>
        <w:spacing w:line="240" w:lineRule="auto" w:before="74"/>
        <w:ind w:right="0"/>
        <w:jc w:val="left"/>
      </w:pPr>
      <w:r>
        <w:rPr/>
        <w:t>方式确认收入。</w:t>
      </w:r>
    </w:p>
    <w:p>
      <w:pPr>
        <w:spacing w:line="240" w:lineRule="auto" w:before="10"/>
        <w:rPr>
          <w:rFonts w:ascii="宋体" w:hAnsi="宋体" w:cs="宋体" w:eastAsia="宋体" w:hint="default"/>
          <w:sz w:val="17"/>
          <w:szCs w:val="17"/>
        </w:rPr>
      </w:pPr>
    </w:p>
    <w:p>
      <w:pPr>
        <w:pStyle w:val="Heading5"/>
        <w:spacing w:line="240" w:lineRule="auto"/>
        <w:ind w:left="515" w:right="0"/>
        <w:jc w:val="left"/>
        <w:rPr>
          <w:b w:val="0"/>
          <w:bCs w:val="0"/>
        </w:rPr>
      </w:pPr>
      <w:r>
        <w:rPr>
          <w:rFonts w:ascii="Times New Roman" w:hAnsi="Times New Roman" w:cs="Times New Roman" w:eastAsia="Times New Roman" w:hint="default"/>
        </w:rPr>
        <w:t>2</w:t>
      </w:r>
      <w:r>
        <w:rPr/>
        <w:t>、上述交易如交易结果不能够可靠估计的，分下列情况处理：</w:t>
      </w:r>
      <w:r>
        <w:rPr>
          <w:b w:val="0"/>
          <w:bCs w:val="0"/>
        </w:rPr>
      </w:r>
    </w:p>
    <w:p>
      <w:pPr>
        <w:spacing w:line="240" w:lineRule="auto" w:before="9"/>
        <w:rPr>
          <w:rFonts w:ascii="宋体" w:hAnsi="宋体" w:cs="宋体" w:eastAsia="宋体" w:hint="default"/>
          <w:b/>
          <w:bCs/>
          <w:sz w:val="16"/>
          <w:szCs w:val="16"/>
        </w:rPr>
      </w:pPr>
    </w:p>
    <w:p>
      <w:pPr>
        <w:pStyle w:val="BodyText"/>
        <w:spacing w:line="240" w:lineRule="auto"/>
        <w:ind w:left="514" w:right="0"/>
        <w:jc w:val="left"/>
      </w:pPr>
      <w:r>
        <w:rPr/>
        <w:t>（</w:t>
      </w:r>
      <w:r>
        <w:rPr>
          <w:rFonts w:ascii="Times New Roman" w:hAnsi="Times New Roman" w:cs="Times New Roman" w:eastAsia="Times New Roman" w:hint="default"/>
        </w:rPr>
        <w:t>1</w:t>
      </w:r>
      <w:r>
        <w:rPr/>
        <w:t>）已经发生的成本预计能够得到补偿的，按照已经发生的成本金额确认收入，并按相同金额结转成本。</w:t>
      </w:r>
    </w:p>
    <w:p>
      <w:pPr>
        <w:spacing w:line="240" w:lineRule="auto" w:before="9"/>
        <w:rPr>
          <w:rFonts w:ascii="宋体" w:hAnsi="宋体" w:cs="宋体" w:eastAsia="宋体" w:hint="default"/>
          <w:sz w:val="16"/>
          <w:szCs w:val="16"/>
        </w:rPr>
      </w:pPr>
    </w:p>
    <w:p>
      <w:pPr>
        <w:pStyle w:val="BodyText"/>
        <w:spacing w:line="240" w:lineRule="auto"/>
        <w:ind w:left="514" w:right="0"/>
        <w:jc w:val="left"/>
      </w:pPr>
      <w:r>
        <w:rPr/>
        <w:t>（</w:t>
      </w:r>
      <w:r>
        <w:rPr>
          <w:rFonts w:ascii="Times New Roman" w:hAnsi="Times New Roman" w:cs="Times New Roman" w:eastAsia="Times New Roman" w:hint="default"/>
        </w:rPr>
        <w:t>2</w:t>
      </w:r>
      <w:r>
        <w:rPr/>
        <w:t>）已经发生的成本预计不能够得到补偿的，将已经发生的成本计入当期损益，不确认收入。</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3"/>
          <w:szCs w:val="13"/>
        </w:rPr>
      </w:pPr>
    </w:p>
    <w:p>
      <w:pPr>
        <w:pStyle w:val="Heading3"/>
        <w:spacing w:line="240" w:lineRule="auto"/>
        <w:ind w:right="0"/>
        <w:jc w:val="left"/>
        <w:rPr>
          <w:b w:val="0"/>
          <w:bCs w:val="0"/>
        </w:rPr>
      </w:pPr>
      <w:bookmarkStart w:name="29、政府补助" w:id="218"/>
      <w:bookmarkEnd w:id="218"/>
      <w:r>
        <w:rPr>
          <w:b w:val="0"/>
          <w:bCs w:val="0"/>
        </w:rPr>
      </w:r>
      <w:r>
        <w:rPr>
          <w:rFonts w:ascii="Times New Roman" w:hAnsi="Times New Roman" w:cs="Times New Roman" w:eastAsia="Times New Roman" w:hint="default"/>
        </w:rPr>
        <w:t>29</w:t>
      </w:r>
      <w:r>
        <w:rPr/>
        <w:t>、政府补助</w:t>
      </w:r>
      <w:r>
        <w:rPr>
          <w:b w:val="0"/>
          <w:bCs w:val="0"/>
        </w:rPr>
      </w:r>
    </w:p>
    <w:p>
      <w:pPr>
        <w:spacing w:line="240" w:lineRule="auto" w:before="6"/>
        <w:rPr>
          <w:rFonts w:ascii="宋体" w:hAnsi="宋体" w:cs="宋体" w:eastAsia="宋体" w:hint="default"/>
          <w:b/>
          <w:bCs/>
          <w:sz w:val="32"/>
          <w:szCs w:val="32"/>
        </w:rPr>
      </w:pPr>
    </w:p>
    <w:p>
      <w:pPr>
        <w:pStyle w:val="BodyText"/>
        <w:spacing w:line="451" w:lineRule="auto"/>
        <w:ind w:left="514" w:right="1115" w:firstLine="1"/>
        <w:jc w:val="left"/>
      </w:pPr>
      <w:r>
        <w:rPr>
          <w:rFonts w:ascii="Times New Roman" w:hAnsi="Times New Roman" w:cs="Times New Roman" w:eastAsia="Times New Roman" w:hint="default"/>
          <w:b/>
          <w:bCs/>
        </w:rPr>
        <w:t>1</w:t>
      </w:r>
      <w:r>
        <w:rPr>
          <w:rFonts w:ascii="宋体" w:hAnsi="宋体" w:cs="宋体" w:eastAsia="宋体" w:hint="default"/>
          <w:b/>
          <w:bCs/>
        </w:rPr>
        <w:t>、类型</w:t>
      </w:r>
      <w:r>
        <w:rPr>
          <w:rFonts w:ascii="宋体" w:hAnsi="宋体" w:cs="宋体" w:eastAsia="宋体" w:hint="default"/>
          <w:b/>
          <w:bCs/>
          <w:spacing w:val="1"/>
          <w:w w:val="99"/>
        </w:rPr>
        <w:t> </w:t>
      </w:r>
      <w:r>
        <w:rPr>
          <w:spacing w:val="-2"/>
        </w:rPr>
        <w:t>政府补助，是本公司从政府无偿取得的货币性资产与非货币性资产。分为与资产相关的政府补助和与收益相关的政府补</w:t>
      </w:r>
    </w:p>
    <w:p>
      <w:pPr>
        <w:pStyle w:val="BodyText"/>
        <w:spacing w:line="240" w:lineRule="auto" w:before="74"/>
        <w:ind w:right="0"/>
        <w:jc w:val="left"/>
      </w:pPr>
      <w:r>
        <w:rPr/>
        <w:t>助。</w:t>
      </w:r>
    </w:p>
    <w:p>
      <w:pPr>
        <w:spacing w:line="240" w:lineRule="auto" w:before="10"/>
        <w:rPr>
          <w:rFonts w:ascii="宋体" w:hAnsi="宋体" w:cs="宋体" w:eastAsia="宋体" w:hint="default"/>
          <w:sz w:val="17"/>
          <w:szCs w:val="17"/>
        </w:rPr>
      </w:pPr>
    </w:p>
    <w:p>
      <w:pPr>
        <w:pStyle w:val="BodyText"/>
        <w:spacing w:line="240" w:lineRule="auto"/>
        <w:ind w:left="514" w:right="0"/>
        <w:jc w:val="left"/>
      </w:pPr>
      <w:r>
        <w:rPr/>
        <w:t>与资产相关的政府补助</w:t>
      </w:r>
      <w:r>
        <w:rPr>
          <w:spacing w:val="-88"/>
        </w:rPr>
        <w:t>，</w:t>
      </w:r>
      <w:r>
        <w:rPr/>
        <w:t>是指本公司取得的</w:t>
      </w:r>
      <w:r>
        <w:rPr>
          <w:spacing w:val="-88"/>
        </w:rPr>
        <w:t>、</w:t>
      </w:r>
      <w:r>
        <w:rPr/>
        <w:t>用于购建或以其他方式形成长期资产的政府补助</w:t>
      </w:r>
      <w:r>
        <w:rPr>
          <w:spacing w:val="-88"/>
        </w:rPr>
        <w:t>。</w:t>
      </w:r>
      <w:r>
        <w:rPr/>
        <w:t>与收益相关的政府补助，</w:t>
      </w:r>
    </w:p>
    <w:p>
      <w:pPr>
        <w:spacing w:after="0" w:line="240" w:lineRule="auto"/>
        <w:jc w:val="left"/>
        <w:sectPr>
          <w:pgSz w:w="11910" w:h="16840"/>
          <w:pgMar w:header="851" w:footer="979" w:top="1400" w:bottom="1160" w:left="980" w:right="0"/>
        </w:sectPr>
      </w:pPr>
    </w:p>
    <w:p>
      <w:pPr>
        <w:pStyle w:val="BodyText"/>
        <w:spacing w:line="240" w:lineRule="auto" w:before="140"/>
        <w:ind w:right="0"/>
        <w:jc w:val="left"/>
      </w:pPr>
      <w:r>
        <w:rPr/>
        <w:t>是指除与资产相关的政府补助之外的政府补助。</w:t>
      </w:r>
    </w:p>
    <w:p>
      <w:pPr>
        <w:spacing w:line="240" w:lineRule="auto" w:before="10"/>
        <w:rPr>
          <w:rFonts w:ascii="宋体" w:hAnsi="宋体" w:cs="宋体" w:eastAsia="宋体" w:hint="default"/>
          <w:sz w:val="17"/>
          <w:szCs w:val="17"/>
        </w:rPr>
      </w:pPr>
    </w:p>
    <w:p>
      <w:pPr>
        <w:pStyle w:val="BodyText"/>
        <w:spacing w:line="451" w:lineRule="auto"/>
        <w:ind w:left="514" w:right="1115" w:firstLine="1"/>
        <w:jc w:val="left"/>
      </w:pPr>
      <w:r>
        <w:rPr>
          <w:rFonts w:ascii="Times New Roman" w:hAnsi="Times New Roman" w:cs="Times New Roman" w:eastAsia="Times New Roman" w:hint="default"/>
          <w:b/>
          <w:bCs/>
        </w:rPr>
        <w:t>2</w:t>
      </w:r>
      <w:r>
        <w:rPr>
          <w:rFonts w:ascii="宋体" w:hAnsi="宋体" w:cs="宋体" w:eastAsia="宋体" w:hint="default"/>
          <w:b/>
          <w:bCs/>
        </w:rPr>
        <w:t>、确认时点</w:t>
      </w:r>
      <w:r>
        <w:rPr>
          <w:rFonts w:ascii="宋体" w:hAnsi="宋体" w:cs="宋体" w:eastAsia="宋体" w:hint="default"/>
          <w:b/>
          <w:bCs/>
          <w:w w:val="99"/>
        </w:rPr>
        <w:t> </w:t>
      </w:r>
      <w:r>
        <w:rPr>
          <w:spacing w:val="-2"/>
        </w:rPr>
        <w:t>与资产相关的政府补助，在实际收到或者获得了收取政府补助的权利并基本确定能收到时冲减相关资产账面价值或确认</w:t>
      </w:r>
    </w:p>
    <w:p>
      <w:pPr>
        <w:pStyle w:val="BodyText"/>
        <w:spacing w:line="477" w:lineRule="auto" w:before="74"/>
        <w:ind w:right="0"/>
        <w:jc w:val="left"/>
      </w:pPr>
      <w:r>
        <w:rPr>
          <w:spacing w:val="-2"/>
        </w:rPr>
        <w:t>为递延收益。确认为递延收益的，按照所建造或购买的资产使用年限分期计入当期损益（与本公司日常活动相关的，计入其</w:t>
      </w:r>
      <w:r>
        <w:rPr>
          <w:spacing w:val="-66"/>
        </w:rPr>
        <w:t> </w:t>
      </w:r>
      <w:r>
        <w:rPr>
          <w:spacing w:val="-66"/>
        </w:rPr>
      </w:r>
      <w:r>
        <w:rPr/>
        <w:t>他收益；与本公司日常活动无关的，计入营业外收入）。</w:t>
      </w:r>
    </w:p>
    <w:p>
      <w:pPr>
        <w:pStyle w:val="BodyText"/>
        <w:spacing w:line="463" w:lineRule="auto" w:before="54"/>
        <w:ind w:right="1129" w:firstLine="360"/>
        <w:jc w:val="both"/>
      </w:pPr>
      <w:r>
        <w:rPr/>
        <w:t>与收益相关的政府补助，在实际收到或者获得了收取政府补助的权利并基本确定能收到时予以确认。其中：（</w:t>
      </w:r>
      <w:r>
        <w:rPr>
          <w:rFonts w:ascii="Times New Roman" w:hAnsi="Times New Roman" w:cs="Times New Roman" w:eastAsia="Times New Roman" w:hint="default"/>
        </w:rPr>
        <w:t>1</w:t>
      </w:r>
      <w:r>
        <w:rPr/>
        <w:t>）用于 </w:t>
      </w:r>
      <w:r>
        <w:rPr>
          <w:spacing w:val="-2"/>
        </w:rPr>
        <w:t>补偿企业以后期间的相关费用或损失的，取得时确认为递延收益，在确认相关费用的期间计入当期损益（与本公司日常活动</w:t>
      </w:r>
      <w:r>
        <w:rPr>
          <w:spacing w:val="-65"/>
        </w:rPr>
        <w:t> </w:t>
      </w:r>
      <w:r>
        <w:rPr>
          <w:spacing w:val="-65"/>
        </w:rPr>
      </w:r>
      <w:r>
        <w:rPr/>
        <w:t>相关的，计入其他收益；与本公司日常活动无关的，计入营业外收入）或冲减相关成本费用或损失；（</w:t>
      </w:r>
      <w:r>
        <w:rPr>
          <w:rFonts w:ascii="Times New Roman" w:hAnsi="Times New Roman" w:cs="Times New Roman" w:eastAsia="Times New Roman" w:hint="default"/>
        </w:rPr>
        <w:t>2</w:t>
      </w:r>
      <w:r>
        <w:rPr/>
        <w:t>）用于补偿企业已</w:t>
      </w:r>
      <w:r>
        <w:rPr>
          <w:spacing w:val="-81"/>
        </w:rPr>
        <w:t> </w:t>
      </w:r>
      <w:r>
        <w:rPr>
          <w:spacing w:val="-81"/>
        </w:rPr>
      </w:r>
      <w:r>
        <w:rPr>
          <w:spacing w:val="-5"/>
        </w:rPr>
        <w:t>发生的相关费用或损失的，取得时直接计入当期损益（与本公司日常活动相关的，计入其他收益；与本公司日常活动无关的，</w:t>
      </w:r>
      <w:r>
        <w:rPr>
          <w:spacing w:val="-82"/>
        </w:rPr>
        <w:t> </w:t>
      </w:r>
      <w:r>
        <w:rPr>
          <w:spacing w:val="-82"/>
        </w:rPr>
      </w:r>
      <w:r>
        <w:rPr/>
        <w:t>计入营业外收入）或冲减相关成本费用或损失。</w:t>
      </w:r>
    </w:p>
    <w:p>
      <w:pPr>
        <w:pStyle w:val="BodyText"/>
        <w:spacing w:line="451" w:lineRule="auto" w:before="65"/>
        <w:ind w:left="514" w:right="1115" w:firstLine="1"/>
        <w:jc w:val="left"/>
      </w:pPr>
      <w:r>
        <w:rPr>
          <w:rFonts w:ascii="Times New Roman" w:hAnsi="Times New Roman" w:cs="Times New Roman" w:eastAsia="Times New Roman" w:hint="default"/>
          <w:b/>
          <w:bCs/>
        </w:rPr>
        <w:t>3</w:t>
      </w:r>
      <w:r>
        <w:rPr>
          <w:rFonts w:ascii="宋体" w:hAnsi="宋体" w:cs="宋体" w:eastAsia="宋体" w:hint="default"/>
          <w:b/>
          <w:bCs/>
        </w:rPr>
        <w:t>、会计处理</w:t>
      </w:r>
      <w:r>
        <w:rPr>
          <w:rFonts w:ascii="宋体" w:hAnsi="宋体" w:cs="宋体" w:eastAsia="宋体" w:hint="default"/>
          <w:b/>
          <w:bCs/>
          <w:w w:val="99"/>
        </w:rPr>
        <w:t> </w:t>
      </w:r>
      <w:r>
        <w:rPr>
          <w:spacing w:val="-2"/>
        </w:rPr>
        <w:t>与资产相关的政府补助，冲减相关资产账面价值或确认为递延收益。确认为递延收益的，在相关资产使用寿命内按照合</w:t>
      </w:r>
    </w:p>
    <w:p>
      <w:pPr>
        <w:pStyle w:val="BodyText"/>
        <w:spacing w:line="477" w:lineRule="auto" w:before="74"/>
        <w:ind w:left="0" w:right="1130"/>
        <w:jc w:val="right"/>
      </w:pPr>
      <w:r>
        <w:rPr>
          <w:spacing w:val="-8"/>
        </w:rPr>
        <w:t>理、系统的方法分期计入当期损益（与本公司日常活动相关的，计入其他收益；与本公司日常活动无关的，计入营业外收入）；</w:t>
      </w:r>
      <w:r>
        <w:rPr/>
        <w:t> </w:t>
      </w:r>
      <w:r>
        <w:rPr>
          <w:spacing w:val="-2"/>
        </w:rPr>
        <w:t>与收益相关的政府补助，用于补偿本公司以后期间的相关成本费用或损失的，确认为递延收益，并在确认相关成本费用</w:t>
      </w:r>
      <w:r>
        <w:rPr/>
        <w:t> </w:t>
      </w:r>
      <w:r>
        <w:rPr>
          <w:spacing w:val="-2"/>
        </w:rPr>
        <w:t>或损失的期间，计入当期损益（与本公司日常活动相关的，计入其他收益；与本公司日常活动无关的，计入营业外收入）或</w:t>
      </w:r>
      <w:r>
        <w:rPr>
          <w:spacing w:val="-78"/>
        </w:rPr>
        <w:t> </w:t>
      </w:r>
      <w:r>
        <w:rPr>
          <w:spacing w:val="-78"/>
        </w:rPr>
      </w:r>
      <w:r>
        <w:rPr>
          <w:spacing w:val="-5"/>
        </w:rPr>
        <w:t>冲减相关成本费用或损失；用于补偿本公司已发生的相关成本费用或损失的，直接计入当期损益（与本公司日常活动相关的，</w:t>
      </w:r>
    </w:p>
    <w:p>
      <w:pPr>
        <w:pStyle w:val="BodyText"/>
        <w:spacing w:line="240" w:lineRule="auto" w:before="54"/>
        <w:ind w:right="0"/>
        <w:jc w:val="left"/>
      </w:pPr>
      <w:r>
        <w:rPr/>
        <w:t>计入其他收益；与本公司日常活动无关的，计入营业外收入）或冲减相关成本费用或损失。</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30、递延所得税资产/递延所得税负债" w:id="219"/>
      <w:bookmarkEnd w:id="219"/>
      <w:r>
        <w:rPr>
          <w:b w:val="0"/>
          <w:bCs w:val="0"/>
        </w:rPr>
      </w:r>
      <w:r>
        <w:rPr>
          <w:rFonts w:ascii="Times New Roman" w:hAnsi="Times New Roman" w:cs="Times New Roman" w:eastAsia="Times New Roman" w:hint="default"/>
        </w:rPr>
        <w:t>30</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0" w:firstLine="360"/>
        <w:jc w:val="left"/>
      </w:pPr>
      <w:r>
        <w:rPr>
          <w:spacing w:val="-2"/>
        </w:rPr>
        <w:t>对于可抵扣暂时性差异确认递延所得税资产，以未来期间很可能取得的用来抵扣可抵扣暂时性差异的应纳税所得额为限。</w:t>
      </w:r>
      <w:r>
        <w:rPr/>
        <w:t> 对于能够结转以后年度的可抵扣亏损和税款抵减，以很可能获得用来抵扣可抵扣亏损和税款抵减的未来应纳税所得额为限，</w:t>
      </w:r>
      <w:r>
        <w:rPr>
          <w:spacing w:val="-85"/>
        </w:rPr>
        <w:t> </w:t>
      </w:r>
      <w:r>
        <w:rPr>
          <w:spacing w:val="-85"/>
        </w:rPr>
      </w:r>
      <w:r>
        <w:rPr/>
        <w:t>确认相应的递延所得税资产。</w:t>
      </w:r>
    </w:p>
    <w:p>
      <w:pPr>
        <w:pStyle w:val="BodyText"/>
        <w:spacing w:line="477" w:lineRule="auto" w:before="54"/>
        <w:ind w:left="514" w:right="0"/>
        <w:jc w:val="left"/>
      </w:pPr>
      <w:r>
        <w:rPr/>
        <w:t>对于应纳税暂时性差异，除特殊情况外，确认递延所得税负债。 </w:t>
      </w:r>
      <w:r>
        <w:rPr>
          <w:spacing w:val="-2"/>
        </w:rPr>
        <w:t>不确认递延所得税资产或递延所得税负债的特殊情况包括：商誉的初始确认；除企业合并以外的发生时既不影响会计利</w:t>
      </w:r>
    </w:p>
    <w:p>
      <w:pPr>
        <w:pStyle w:val="BodyText"/>
        <w:spacing w:line="477" w:lineRule="auto" w:before="54"/>
        <w:ind w:left="514" w:right="0" w:hanging="360"/>
        <w:jc w:val="left"/>
      </w:pPr>
      <w:r>
        <w:rPr/>
        <w:t>润也不影响应纳税所得额（或可抵扣亏损）的其他交易或事项。 </w:t>
      </w:r>
      <w:r>
        <w:rPr>
          <w:spacing w:val="-2"/>
        </w:rPr>
        <w:t>当拥有以净额结算的法定权利，且意图以净额结算或取得资产、清偿负债同时进行时，当期所得税资产及当期所得税负</w:t>
      </w:r>
    </w:p>
    <w:p>
      <w:pPr>
        <w:pStyle w:val="BodyText"/>
        <w:spacing w:line="477" w:lineRule="auto" w:before="54"/>
        <w:ind w:left="514" w:right="0" w:hanging="360"/>
        <w:jc w:val="left"/>
      </w:pPr>
      <w:r>
        <w:rPr/>
        <w:t>债以抵销后的净额列报。 </w:t>
      </w:r>
      <w:r>
        <w:rPr>
          <w:spacing w:val="-2"/>
        </w:rPr>
        <w:t>当拥有以净额结算当期所得税资产及当期所得税负债的法定权利，且递延所得税资产及递延所得税负债是与同一税收征</w:t>
      </w:r>
    </w:p>
    <w:p>
      <w:pPr>
        <w:pStyle w:val="BodyText"/>
        <w:spacing w:line="477" w:lineRule="auto" w:before="54"/>
        <w:ind w:right="0"/>
        <w:jc w:val="left"/>
      </w:pPr>
      <w:r>
        <w:rPr>
          <w:spacing w:val="-2"/>
        </w:rPr>
        <w:t>管部门对同一纳税主体征收的所得税相关或者是对不同的纳税主体相关，但在未来每一具有重要性的递延所得税资产及负债</w:t>
      </w:r>
      <w:r>
        <w:rPr>
          <w:spacing w:val="-64"/>
        </w:rPr>
        <w:t> </w:t>
      </w:r>
      <w:r>
        <w:rPr>
          <w:spacing w:val="-64"/>
        </w:rPr>
      </w:r>
      <w:r>
        <w:rPr>
          <w:spacing w:val="-2"/>
        </w:rPr>
        <w:t>转回的期间内，涉及的纳税主体意图以净额结算当期所得税资产和负债或是同时取得资产、清偿负债时，递延所得税资产及</w:t>
      </w:r>
    </w:p>
    <w:p>
      <w:pPr>
        <w:spacing w:after="0" w:line="477" w:lineRule="auto"/>
        <w:jc w:val="left"/>
        <w:sectPr>
          <w:pgSz w:w="11910" w:h="16840"/>
          <w:pgMar w:header="851" w:footer="979" w:top="1400" w:bottom="1160" w:left="980" w:right="0"/>
        </w:sectPr>
      </w:pPr>
    </w:p>
    <w:p>
      <w:pPr>
        <w:pStyle w:val="BodyText"/>
        <w:spacing w:line="240" w:lineRule="auto" w:before="140"/>
        <w:ind w:right="0"/>
        <w:jc w:val="left"/>
      </w:pPr>
      <w:r>
        <w:rPr/>
        <w:t>递延所得税负债以抵销后的净额列报。</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31、租赁" w:id="220"/>
      <w:bookmarkEnd w:id="220"/>
      <w:r>
        <w:rPr>
          <w:b w:val="0"/>
          <w:bCs w:val="0"/>
        </w:rPr>
      </w:r>
      <w:r>
        <w:rPr>
          <w:rFonts w:ascii="Times New Roman" w:hAnsi="Times New Roman" w:cs="Times New Roman" w:eastAsia="Times New Roman" w:hint="default"/>
        </w:rPr>
        <w:t>31</w:t>
      </w:r>
      <w:r>
        <w:rPr/>
        <w:t>、租赁</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经营租赁的会计处理方法" w:id="221"/>
      <w:bookmarkEnd w:id="221"/>
      <w:r>
        <w:rPr>
          <w:b w:val="0"/>
          <w:bCs w:val="0"/>
        </w:rPr>
      </w:r>
      <w:r>
        <w:rPr/>
        <w:t>（</w:t>
      </w:r>
      <w:r>
        <w:rPr>
          <w:rFonts w:ascii="Times New Roman" w:hAnsi="Times New Roman" w:cs="Times New Roman" w:eastAsia="Times New Roman" w:hint="default"/>
        </w:rPr>
        <w:t>1</w:t>
      </w:r>
      <w:r>
        <w:rPr/>
        <w:t>）经营租赁的会计处理方法</w:t>
      </w:r>
      <w:r>
        <w:rPr>
          <w:b w:val="0"/>
          <w:bCs w:val="0"/>
        </w:rPr>
      </w:r>
    </w:p>
    <w:p>
      <w:pPr>
        <w:spacing w:line="240" w:lineRule="auto" w:before="6"/>
        <w:rPr>
          <w:rFonts w:ascii="宋体" w:hAnsi="宋体" w:cs="宋体" w:eastAsia="宋体" w:hint="default"/>
          <w:b/>
          <w:bCs/>
          <w:sz w:val="32"/>
          <w:szCs w:val="32"/>
        </w:rPr>
      </w:pPr>
    </w:p>
    <w:p>
      <w:pPr>
        <w:pStyle w:val="BodyText"/>
        <w:spacing w:line="451" w:lineRule="auto"/>
        <w:ind w:right="1131" w:firstLine="360"/>
        <w:jc w:val="both"/>
      </w:pPr>
      <w:r>
        <w:rPr/>
        <w:t>（</w:t>
      </w:r>
      <w:r>
        <w:rPr>
          <w:rFonts w:ascii="Times New Roman" w:hAnsi="Times New Roman" w:cs="Times New Roman" w:eastAsia="Times New Roman" w:hint="default"/>
        </w:rPr>
        <w:t>1</w:t>
      </w:r>
      <w:r>
        <w:rPr/>
        <w:t>）公司租入资产所支付的租赁费，在不扣除免租期的整个租赁期内，按直线法进行分摊，计入当期费用。公司支付 的与租赁交易相关的初始直接费用，计入当期费用。</w:t>
      </w:r>
    </w:p>
    <w:p>
      <w:pPr>
        <w:pStyle w:val="BodyText"/>
        <w:spacing w:line="477" w:lineRule="auto" w:before="74"/>
        <w:ind w:right="1132" w:firstLine="360"/>
        <w:jc w:val="both"/>
      </w:pPr>
      <w:r>
        <w:rPr>
          <w:spacing w:val="-2"/>
        </w:rPr>
        <w:t>资产出租方承担了应由公司承担的与租赁相关的费用时，公司将该部分费用从租金总额中扣除，按扣除后的租金费用在</w:t>
      </w:r>
      <w:r>
        <w:rPr/>
        <w:t> 租赁期内分摊，计入当期费用。</w:t>
      </w:r>
    </w:p>
    <w:p>
      <w:pPr>
        <w:pStyle w:val="BodyText"/>
        <w:spacing w:line="463" w:lineRule="auto" w:before="54"/>
        <w:ind w:right="1131" w:firstLine="360"/>
        <w:jc w:val="both"/>
      </w:pPr>
      <w:r>
        <w:rPr/>
        <w:t>（</w:t>
      </w:r>
      <w:r>
        <w:rPr>
          <w:rFonts w:ascii="Times New Roman" w:hAnsi="Times New Roman" w:cs="Times New Roman" w:eastAsia="Times New Roman" w:hint="default"/>
        </w:rPr>
        <w:t>2</w:t>
      </w:r>
      <w:r>
        <w:rPr/>
        <w:t>）公司出租资产所收取的租赁费，在不扣除免租期的整个租赁期内，按直线法进行分摊，确认为租赁相关收入。公 </w:t>
      </w:r>
      <w:r>
        <w:rPr>
          <w:spacing w:val="-2"/>
        </w:rPr>
        <w:t>司支付的与租赁交易相关的初始直接费用，计入当期费用；如金额较大的，则予以资本化，在整个租赁期间内按照与租赁相</w:t>
      </w:r>
      <w:r>
        <w:rPr>
          <w:spacing w:val="-66"/>
        </w:rPr>
        <w:t> </w:t>
      </w:r>
      <w:r>
        <w:rPr>
          <w:spacing w:val="-66"/>
        </w:rPr>
      </w:r>
      <w:r>
        <w:rPr/>
        <w:t>关收入确认相同的基础分期计入当期收益。</w:t>
      </w:r>
    </w:p>
    <w:p>
      <w:pPr>
        <w:pStyle w:val="BodyText"/>
        <w:spacing w:line="477" w:lineRule="auto" w:before="65"/>
        <w:ind w:right="1132" w:firstLine="360"/>
        <w:jc w:val="both"/>
      </w:pPr>
      <w:r>
        <w:rPr>
          <w:spacing w:val="-2"/>
        </w:rPr>
        <w:t>公司承担了应由承租方承担的与租赁相关的费用时，公司将该部分费用从租金收入总额中扣除，按扣除后的租金费用在</w:t>
      </w:r>
      <w:r>
        <w:rPr/>
        <w:t> 租赁期内分配。</w:t>
      </w:r>
    </w:p>
    <w:p>
      <w:pPr>
        <w:spacing w:line="240" w:lineRule="auto" w:before="3"/>
        <w:rPr>
          <w:rFonts w:ascii="宋体" w:hAnsi="宋体" w:cs="宋体" w:eastAsia="宋体" w:hint="default"/>
          <w:sz w:val="19"/>
          <w:szCs w:val="19"/>
        </w:rPr>
      </w:pPr>
    </w:p>
    <w:p>
      <w:pPr>
        <w:pStyle w:val="Heading3"/>
        <w:spacing w:line="240" w:lineRule="auto"/>
        <w:ind w:right="0"/>
        <w:jc w:val="left"/>
        <w:rPr>
          <w:b w:val="0"/>
          <w:bCs w:val="0"/>
        </w:rPr>
      </w:pPr>
      <w:bookmarkStart w:name="（2）融资租赁的会计处理方法" w:id="222"/>
      <w:bookmarkEnd w:id="222"/>
      <w:r>
        <w:rPr>
          <w:b w:val="0"/>
          <w:bCs w:val="0"/>
        </w:rPr>
      </w:r>
      <w:r>
        <w:rPr/>
        <w:t>（</w:t>
      </w:r>
      <w:r>
        <w:rPr>
          <w:rFonts w:ascii="Times New Roman" w:hAnsi="Times New Roman" w:cs="Times New Roman" w:eastAsia="Times New Roman" w:hint="default"/>
        </w:rPr>
        <w:t>2</w:t>
      </w:r>
      <w:r>
        <w:rPr/>
        <w:t>）融资租赁的会计处理方法</w:t>
      </w:r>
      <w:r>
        <w:rPr>
          <w:b w:val="0"/>
          <w:bCs w:val="0"/>
        </w:rPr>
      </w:r>
    </w:p>
    <w:p>
      <w:pPr>
        <w:spacing w:line="240" w:lineRule="auto" w:before="6"/>
        <w:rPr>
          <w:rFonts w:ascii="宋体" w:hAnsi="宋体" w:cs="宋体" w:eastAsia="宋体" w:hint="default"/>
          <w:b/>
          <w:bCs/>
          <w:sz w:val="32"/>
          <w:szCs w:val="32"/>
        </w:rPr>
      </w:pPr>
    </w:p>
    <w:p>
      <w:pPr>
        <w:pStyle w:val="BodyText"/>
        <w:spacing w:line="463" w:lineRule="auto"/>
        <w:ind w:right="1131" w:firstLine="360"/>
        <w:jc w:val="both"/>
      </w:pPr>
      <w:r>
        <w:rPr/>
        <w:t>（</w:t>
      </w:r>
      <w:r>
        <w:rPr>
          <w:rFonts w:ascii="Times New Roman" w:hAnsi="Times New Roman" w:cs="Times New Roman" w:eastAsia="Times New Roman" w:hint="default"/>
        </w:rPr>
        <w:t>1</w:t>
      </w:r>
      <w:r>
        <w:rPr/>
        <w:t>）融资租入资产：公司在承租开始日，将租赁资产公允价值与最低租赁付款额现值两者中较低者作为租入资产的入 </w:t>
      </w:r>
      <w:r>
        <w:rPr>
          <w:spacing w:val="-2"/>
        </w:rPr>
        <w:t>账价值，将最低租赁付款额作为长期应付款的入账价值，其差额作为未确认的融资费用。公司采用实际利率法对未确认的融</w:t>
      </w:r>
      <w:r>
        <w:rPr>
          <w:spacing w:val="-66"/>
        </w:rPr>
        <w:t> </w:t>
      </w:r>
      <w:r>
        <w:rPr>
          <w:spacing w:val="-66"/>
        </w:rPr>
      </w:r>
      <w:r>
        <w:rPr/>
        <w:t>资费用，在资产租赁期间内摊销，计入财务费用。公司发生的初始直接费用，计入租入资产价值。</w:t>
      </w:r>
    </w:p>
    <w:p>
      <w:pPr>
        <w:pStyle w:val="BodyText"/>
        <w:spacing w:line="463" w:lineRule="auto" w:before="65"/>
        <w:ind w:right="1132" w:firstLine="360"/>
        <w:jc w:val="both"/>
      </w:pPr>
      <w:r>
        <w:rPr>
          <w:spacing w:val="-4"/>
        </w:rPr>
        <w:t>（</w:t>
      </w:r>
      <w:r>
        <w:rPr>
          <w:rFonts w:ascii="Times New Roman" w:hAnsi="Times New Roman" w:cs="Times New Roman" w:eastAsia="Times New Roman" w:hint="default"/>
          <w:spacing w:val="-4"/>
        </w:rPr>
        <w:t>2</w:t>
      </w:r>
      <w:r>
        <w:rPr>
          <w:spacing w:val="-4"/>
        </w:rPr>
        <w:t>）融资租出资产：公司在租赁开始日，将应收融资租赁款，未担保余值之和与其现值的差额确认为未实现融资收益，</w:t>
      </w:r>
      <w:r>
        <w:rPr/>
        <w:t> </w:t>
      </w:r>
      <w:r>
        <w:rPr>
          <w:spacing w:val="-2"/>
        </w:rPr>
        <w:t>在将来收到租金的各期间内确认为租赁收入。公司发生的与出租交易相关的初始直接费用，计入应收融资租赁款的初始计量</w:t>
      </w:r>
      <w:r>
        <w:rPr>
          <w:spacing w:val="-64"/>
        </w:rPr>
        <w:t> </w:t>
      </w:r>
      <w:r>
        <w:rPr>
          <w:spacing w:val="-64"/>
        </w:rPr>
      </w:r>
      <w:r>
        <w:rPr/>
        <w:t>中，并减少租赁期内确认的收益金额。</w:t>
      </w:r>
    </w:p>
    <w:p>
      <w:pPr>
        <w:spacing w:line="240" w:lineRule="auto" w:before="1"/>
        <w:rPr>
          <w:rFonts w:ascii="宋体" w:hAnsi="宋体" w:cs="宋体" w:eastAsia="宋体" w:hint="default"/>
          <w:sz w:val="20"/>
          <w:szCs w:val="20"/>
        </w:rPr>
      </w:pPr>
    </w:p>
    <w:p>
      <w:pPr>
        <w:pStyle w:val="Heading3"/>
        <w:spacing w:line="240" w:lineRule="auto"/>
        <w:ind w:right="0"/>
        <w:jc w:val="left"/>
        <w:rPr>
          <w:b w:val="0"/>
          <w:bCs w:val="0"/>
        </w:rPr>
      </w:pPr>
      <w:bookmarkStart w:name="32、其他重要的会计政策和会计估计" w:id="223"/>
      <w:bookmarkEnd w:id="223"/>
      <w:r>
        <w:rPr>
          <w:b w:val="0"/>
          <w:bCs w:val="0"/>
        </w:rPr>
      </w:r>
      <w:r>
        <w:rPr>
          <w:rFonts w:ascii="Times New Roman" w:hAnsi="Times New Roman" w:cs="Times New Roman" w:eastAsia="Times New Roman" w:hint="default"/>
        </w:rPr>
        <w:t>32</w:t>
      </w:r>
      <w:r>
        <w:rPr/>
        <w:t>、其他重要的会计政策和会计估计</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514"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33、重要会计政策和会计估计变更" w:id="224"/>
      <w:bookmarkEnd w:id="224"/>
      <w:r>
        <w:rPr>
          <w:b w:val="0"/>
          <w:bCs w:val="0"/>
        </w:rPr>
      </w:r>
      <w:r>
        <w:rPr>
          <w:rFonts w:ascii="Times New Roman" w:hAnsi="Times New Roman" w:cs="Times New Roman" w:eastAsia="Times New Roman" w:hint="default"/>
        </w:rPr>
        <w:t>33</w:t>
      </w:r>
      <w:r>
        <w:rPr/>
        <w:t>、重要会计政策和会计估计变更</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重要会计政策变更" w:id="225"/>
      <w:bookmarkEnd w:id="225"/>
      <w:r>
        <w:rPr>
          <w:b w:val="0"/>
          <w:bCs w:val="0"/>
        </w:rPr>
      </w:r>
      <w:r>
        <w:rPr/>
        <w:t>（</w:t>
      </w:r>
      <w:r>
        <w:rPr>
          <w:rFonts w:ascii="Times New Roman" w:hAnsi="Times New Roman" w:cs="Times New Roman" w:eastAsia="Times New Roman" w:hint="default"/>
        </w:rPr>
        <w:t>1</w:t>
      </w:r>
      <w:r>
        <w:rPr/>
        <w:t>）重要会计政策变更</w:t>
      </w:r>
      <w:r>
        <w:rPr>
          <w:b w:val="0"/>
          <w:bCs w:val="0"/>
        </w:rPr>
      </w:r>
    </w:p>
    <w:p>
      <w:pPr>
        <w:spacing w:line="240" w:lineRule="auto" w:before="9"/>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21" w:type="dxa"/>
        <w:tblLayout w:type="fixed"/>
        <w:tblCellMar>
          <w:top w:w="0" w:type="dxa"/>
          <w:left w:w="0" w:type="dxa"/>
          <w:bottom w:w="0" w:type="dxa"/>
          <w:right w:w="0" w:type="dxa"/>
        </w:tblCellMar>
        <w:tblLook w:val="01E0"/>
      </w:tblPr>
      <w:tblGrid>
        <w:gridCol w:w="5954"/>
        <w:gridCol w:w="3729"/>
      </w:tblGrid>
      <w:tr>
        <w:trPr>
          <w:trHeight w:val="402" w:hRule="exact"/>
        </w:trPr>
        <w:tc>
          <w:tcPr>
            <w:tcW w:w="59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891"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37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 w:right="0"/>
              <w:jc w:val="center"/>
              <w:rPr>
                <w:rFonts w:ascii="宋体" w:hAnsi="宋体" w:cs="宋体" w:eastAsia="宋体" w:hint="default"/>
                <w:sz w:val="18"/>
                <w:szCs w:val="18"/>
              </w:rPr>
            </w:pPr>
            <w:r>
              <w:rPr>
                <w:rFonts w:ascii="宋体" w:hAnsi="宋体" w:cs="宋体" w:eastAsia="宋体" w:hint="default"/>
                <w:sz w:val="18"/>
                <w:szCs w:val="18"/>
              </w:rPr>
              <w:t>审批程序</w:t>
            </w:r>
          </w:p>
        </w:tc>
      </w:tr>
    </w:tbl>
    <w:p>
      <w:pPr>
        <w:spacing w:after="0" w:line="240" w:lineRule="auto"/>
        <w:jc w:val="center"/>
        <w:rPr>
          <w:rFonts w:ascii="宋体" w:hAnsi="宋体" w:cs="宋体" w:eastAsia="宋体" w:hint="default"/>
          <w:sz w:val="18"/>
          <w:szCs w:val="18"/>
        </w:rPr>
        <w:sectPr>
          <w:pgSz w:w="11910" w:h="16840"/>
          <w:pgMar w:header="851" w:footer="979" w:top="1400" w:bottom="1160" w:left="980" w:right="0"/>
        </w:sectPr>
      </w:pPr>
    </w:p>
    <w:p>
      <w:pPr>
        <w:spacing w:line="240" w:lineRule="auto" w:before="11"/>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5954"/>
        <w:gridCol w:w="3741"/>
      </w:tblGrid>
      <w:tr>
        <w:trPr>
          <w:trHeight w:val="2283" w:hRule="exact"/>
        </w:trPr>
        <w:tc>
          <w:tcPr>
            <w:tcW w:w="595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0" w:lineRule="auto" w:before="129"/>
              <w:ind w:left="22" w:right="28"/>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）资产负债表中</w:t>
            </w:r>
            <w:r>
              <w:rPr>
                <w:rFonts w:ascii="Times New Roman" w:hAnsi="Times New Roman" w:cs="Times New Roman" w:eastAsia="Times New Roman" w:hint="default"/>
                <w:sz w:val="18"/>
                <w:szCs w:val="18"/>
              </w:rPr>
              <w:t>“</w:t>
            </w:r>
            <w:r>
              <w:rPr>
                <w:rFonts w:ascii="宋体" w:hAnsi="宋体" w:cs="宋体" w:eastAsia="宋体" w:hint="default"/>
                <w:sz w:val="18"/>
                <w:szCs w:val="18"/>
              </w:rPr>
              <w:t>应收票据</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应收账款</w:t>
            </w:r>
            <w:r>
              <w:rPr>
                <w:rFonts w:ascii="Times New Roman" w:hAnsi="Times New Roman" w:cs="Times New Roman" w:eastAsia="Times New Roman" w:hint="default"/>
                <w:sz w:val="18"/>
                <w:szCs w:val="18"/>
              </w:rPr>
              <w:t>”</w:t>
            </w:r>
            <w:r>
              <w:rPr>
                <w:rFonts w:ascii="宋体" w:hAnsi="宋体" w:cs="宋体" w:eastAsia="宋体" w:hint="default"/>
                <w:sz w:val="18"/>
                <w:szCs w:val="18"/>
              </w:rPr>
              <w:t>合并列示为</w:t>
            </w:r>
            <w:r>
              <w:rPr>
                <w:rFonts w:ascii="Times New Roman" w:hAnsi="Times New Roman" w:cs="Times New Roman" w:eastAsia="Times New Roman" w:hint="default"/>
                <w:sz w:val="18"/>
                <w:szCs w:val="18"/>
              </w:rPr>
              <w:t>“</w:t>
            </w:r>
            <w:r>
              <w:rPr>
                <w:rFonts w:ascii="宋体" w:hAnsi="宋体" w:cs="宋体" w:eastAsia="宋体" w:hint="default"/>
                <w:sz w:val="18"/>
                <w:szCs w:val="18"/>
              </w:rPr>
              <w:t>应收票据及应收账 款</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应付票据</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应付账款</w:t>
            </w:r>
            <w:r>
              <w:rPr>
                <w:rFonts w:ascii="Times New Roman" w:hAnsi="Times New Roman" w:cs="Times New Roman" w:eastAsia="Times New Roman" w:hint="default"/>
                <w:sz w:val="18"/>
                <w:szCs w:val="18"/>
              </w:rPr>
              <w:t>”</w:t>
            </w:r>
            <w:r>
              <w:rPr>
                <w:rFonts w:ascii="宋体" w:hAnsi="宋体" w:cs="宋体" w:eastAsia="宋体" w:hint="default"/>
                <w:sz w:val="18"/>
                <w:szCs w:val="18"/>
              </w:rPr>
              <w:t>合并列示为</w:t>
            </w:r>
            <w:r>
              <w:rPr>
                <w:rFonts w:ascii="Times New Roman" w:hAnsi="Times New Roman" w:cs="Times New Roman" w:eastAsia="Times New Roman" w:hint="default"/>
                <w:sz w:val="18"/>
                <w:szCs w:val="18"/>
              </w:rPr>
              <w:t>“</w:t>
            </w:r>
            <w:r>
              <w:rPr>
                <w:rFonts w:ascii="宋体" w:hAnsi="宋体" w:cs="宋体" w:eastAsia="宋体" w:hint="default"/>
                <w:sz w:val="18"/>
                <w:szCs w:val="18"/>
              </w:rPr>
              <w:t>应付票据及应付账款</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应收利 息</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应收股利</w:t>
            </w:r>
            <w:r>
              <w:rPr>
                <w:rFonts w:ascii="Times New Roman" w:hAnsi="Times New Roman" w:cs="Times New Roman" w:eastAsia="Times New Roman" w:hint="default"/>
                <w:sz w:val="18"/>
                <w:szCs w:val="18"/>
              </w:rPr>
              <w:t>”</w:t>
            </w:r>
            <w:r>
              <w:rPr>
                <w:rFonts w:ascii="宋体" w:hAnsi="宋体" w:cs="宋体" w:eastAsia="宋体" w:hint="default"/>
                <w:sz w:val="18"/>
                <w:szCs w:val="18"/>
              </w:rPr>
              <w:t>并入</w:t>
            </w:r>
            <w:r>
              <w:rPr>
                <w:rFonts w:ascii="Times New Roman" w:hAnsi="Times New Roman" w:cs="Times New Roman" w:eastAsia="Times New Roman" w:hint="default"/>
                <w:sz w:val="18"/>
                <w:szCs w:val="18"/>
              </w:rPr>
              <w:t>“</w:t>
            </w:r>
            <w:r>
              <w:rPr>
                <w:rFonts w:ascii="宋体" w:hAnsi="宋体" w:cs="宋体" w:eastAsia="宋体" w:hint="default"/>
                <w:sz w:val="18"/>
                <w:szCs w:val="18"/>
              </w:rPr>
              <w:t>其他应收款</w:t>
            </w:r>
            <w:r>
              <w:rPr>
                <w:rFonts w:ascii="Times New Roman" w:hAnsi="Times New Roman" w:cs="Times New Roman" w:eastAsia="Times New Roman" w:hint="default"/>
                <w:sz w:val="18"/>
                <w:szCs w:val="18"/>
              </w:rPr>
              <w:t>”</w:t>
            </w:r>
            <w:r>
              <w:rPr>
                <w:rFonts w:ascii="宋体" w:hAnsi="宋体" w:cs="宋体" w:eastAsia="宋体" w:hint="default"/>
                <w:sz w:val="18"/>
                <w:szCs w:val="18"/>
              </w:rPr>
              <w:t>列示；</w:t>
            </w:r>
            <w:r>
              <w:rPr>
                <w:rFonts w:ascii="Times New Roman" w:hAnsi="Times New Roman" w:cs="Times New Roman" w:eastAsia="Times New Roman" w:hint="default"/>
                <w:sz w:val="18"/>
                <w:szCs w:val="18"/>
              </w:rPr>
              <w:t>“</w:t>
            </w:r>
            <w:r>
              <w:rPr>
                <w:rFonts w:ascii="宋体" w:hAnsi="宋体" w:cs="宋体" w:eastAsia="宋体" w:hint="default"/>
                <w:sz w:val="18"/>
                <w:szCs w:val="18"/>
              </w:rPr>
              <w:t>应付利息</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应付股利</w:t>
            </w:r>
            <w:r>
              <w:rPr>
                <w:rFonts w:ascii="Times New Roman" w:hAnsi="Times New Roman" w:cs="Times New Roman" w:eastAsia="Times New Roman" w:hint="default"/>
                <w:sz w:val="18"/>
                <w:szCs w:val="18"/>
              </w:rPr>
              <w:t>”</w:t>
            </w:r>
            <w:r>
              <w:rPr>
                <w:rFonts w:ascii="宋体" w:hAnsi="宋体" w:cs="宋体" w:eastAsia="宋体" w:hint="default"/>
                <w:sz w:val="18"/>
                <w:szCs w:val="18"/>
              </w:rPr>
              <w:t>并入</w:t>
            </w:r>
            <w:r>
              <w:rPr>
                <w:rFonts w:ascii="Times New Roman" w:hAnsi="Times New Roman" w:cs="Times New Roman" w:eastAsia="Times New Roman" w:hint="default"/>
                <w:sz w:val="18"/>
                <w:szCs w:val="18"/>
              </w:rPr>
              <w:t>“</w:t>
            </w:r>
            <w:r>
              <w:rPr>
                <w:rFonts w:ascii="宋体" w:hAnsi="宋体" w:cs="宋体" w:eastAsia="宋体" w:hint="default"/>
                <w:sz w:val="18"/>
                <w:szCs w:val="18"/>
              </w:rPr>
              <w:t>其 他应付款</w:t>
            </w:r>
            <w:r>
              <w:rPr>
                <w:rFonts w:ascii="Times New Roman" w:hAnsi="Times New Roman" w:cs="Times New Roman" w:eastAsia="Times New Roman" w:hint="default"/>
                <w:sz w:val="18"/>
                <w:szCs w:val="18"/>
              </w:rPr>
              <w:t>”</w:t>
            </w:r>
            <w:r>
              <w:rPr>
                <w:rFonts w:ascii="宋体" w:hAnsi="宋体" w:cs="宋体" w:eastAsia="宋体" w:hint="default"/>
                <w:sz w:val="18"/>
                <w:szCs w:val="18"/>
              </w:rPr>
              <w:t>列示；</w:t>
            </w:r>
            <w:r>
              <w:rPr>
                <w:rFonts w:ascii="Times New Roman" w:hAnsi="Times New Roman" w:cs="Times New Roman" w:eastAsia="Times New Roman" w:hint="default"/>
                <w:sz w:val="18"/>
                <w:szCs w:val="18"/>
              </w:rPr>
              <w:t>“</w:t>
            </w:r>
            <w:r>
              <w:rPr>
                <w:rFonts w:ascii="宋体" w:hAnsi="宋体" w:cs="宋体" w:eastAsia="宋体" w:hint="default"/>
                <w:sz w:val="18"/>
                <w:szCs w:val="18"/>
              </w:rPr>
              <w:t>固定资产清理</w:t>
            </w:r>
            <w:r>
              <w:rPr>
                <w:rFonts w:ascii="Times New Roman" w:hAnsi="Times New Roman" w:cs="Times New Roman" w:eastAsia="Times New Roman" w:hint="default"/>
                <w:sz w:val="18"/>
                <w:szCs w:val="18"/>
              </w:rPr>
              <w:t>”</w:t>
            </w:r>
            <w:r>
              <w:rPr>
                <w:rFonts w:ascii="宋体" w:hAnsi="宋体" w:cs="宋体" w:eastAsia="宋体" w:hint="default"/>
                <w:sz w:val="18"/>
                <w:szCs w:val="18"/>
              </w:rPr>
              <w:t>并入</w:t>
            </w:r>
            <w:r>
              <w:rPr>
                <w:rFonts w:ascii="Times New Roman" w:hAnsi="Times New Roman" w:cs="Times New Roman" w:eastAsia="Times New Roman" w:hint="default"/>
                <w:sz w:val="18"/>
                <w:szCs w:val="18"/>
              </w:rPr>
              <w:t>“</w:t>
            </w:r>
            <w:r>
              <w:rPr>
                <w:rFonts w:ascii="宋体" w:hAnsi="宋体" w:cs="宋体" w:eastAsia="宋体" w:hint="default"/>
                <w:sz w:val="18"/>
                <w:szCs w:val="18"/>
              </w:rPr>
              <w:t>固定资产</w:t>
            </w:r>
            <w:r>
              <w:rPr>
                <w:rFonts w:ascii="Times New Roman" w:hAnsi="Times New Roman" w:cs="Times New Roman" w:eastAsia="Times New Roman" w:hint="default"/>
                <w:sz w:val="18"/>
                <w:szCs w:val="18"/>
              </w:rPr>
              <w:t>”</w:t>
            </w:r>
            <w:r>
              <w:rPr>
                <w:rFonts w:ascii="宋体" w:hAnsi="宋体" w:cs="宋体" w:eastAsia="宋体" w:hint="default"/>
                <w:sz w:val="18"/>
                <w:szCs w:val="18"/>
              </w:rPr>
              <w:t>列示；</w:t>
            </w:r>
            <w:r>
              <w:rPr>
                <w:rFonts w:ascii="Times New Roman" w:hAnsi="Times New Roman" w:cs="Times New Roman" w:eastAsia="Times New Roman" w:hint="default"/>
                <w:sz w:val="18"/>
                <w:szCs w:val="18"/>
              </w:rPr>
              <w:t>“</w:t>
            </w:r>
            <w:r>
              <w:rPr>
                <w:rFonts w:ascii="宋体" w:hAnsi="宋体" w:cs="宋体" w:eastAsia="宋体" w:hint="default"/>
                <w:sz w:val="18"/>
                <w:szCs w:val="18"/>
              </w:rPr>
              <w:t>工程物资</w:t>
            </w:r>
            <w:r>
              <w:rPr>
                <w:rFonts w:ascii="Times New Roman" w:hAnsi="Times New Roman" w:cs="Times New Roman" w:eastAsia="Times New Roman" w:hint="default"/>
                <w:sz w:val="18"/>
                <w:szCs w:val="18"/>
              </w:rPr>
              <w:t>”</w:t>
            </w:r>
            <w:r>
              <w:rPr>
                <w:rFonts w:ascii="宋体" w:hAnsi="宋体" w:cs="宋体" w:eastAsia="宋体" w:hint="default"/>
                <w:sz w:val="18"/>
                <w:szCs w:val="18"/>
              </w:rPr>
              <w:t>并入</w:t>
            </w:r>
            <w:r>
              <w:rPr>
                <w:rFonts w:ascii="Times New Roman" w:hAnsi="Times New Roman" w:cs="Times New Roman" w:eastAsia="Times New Roman" w:hint="default"/>
                <w:sz w:val="18"/>
                <w:szCs w:val="18"/>
              </w:rPr>
              <w:t>“</w:t>
            </w:r>
            <w:r>
              <w:rPr>
                <w:rFonts w:ascii="宋体" w:hAnsi="宋体" w:cs="宋体" w:eastAsia="宋体" w:hint="default"/>
                <w:sz w:val="18"/>
                <w:szCs w:val="18"/>
              </w:rPr>
              <w:t>在 建工程</w:t>
            </w:r>
            <w:r>
              <w:rPr>
                <w:rFonts w:ascii="Times New Roman" w:hAnsi="Times New Roman" w:cs="Times New Roman" w:eastAsia="Times New Roman" w:hint="default"/>
                <w:sz w:val="18"/>
                <w:szCs w:val="18"/>
              </w:rPr>
              <w:t>”</w:t>
            </w:r>
            <w:r>
              <w:rPr>
                <w:rFonts w:ascii="宋体" w:hAnsi="宋体" w:cs="宋体" w:eastAsia="宋体" w:hint="default"/>
                <w:sz w:val="18"/>
                <w:szCs w:val="18"/>
              </w:rPr>
              <w:t>列示；</w:t>
            </w:r>
            <w:r>
              <w:rPr>
                <w:rFonts w:ascii="Times New Roman" w:hAnsi="Times New Roman" w:cs="Times New Roman" w:eastAsia="Times New Roman" w:hint="default"/>
                <w:sz w:val="18"/>
                <w:szCs w:val="18"/>
              </w:rPr>
              <w:t>“</w:t>
            </w:r>
            <w:r>
              <w:rPr>
                <w:rFonts w:ascii="宋体" w:hAnsi="宋体" w:cs="宋体" w:eastAsia="宋体" w:hint="default"/>
                <w:sz w:val="18"/>
                <w:szCs w:val="18"/>
              </w:rPr>
              <w:t>专项应付款</w:t>
            </w:r>
            <w:r>
              <w:rPr>
                <w:rFonts w:ascii="Times New Roman" w:hAnsi="Times New Roman" w:cs="Times New Roman" w:eastAsia="Times New Roman" w:hint="default"/>
                <w:sz w:val="18"/>
                <w:szCs w:val="18"/>
              </w:rPr>
              <w:t>”</w:t>
            </w:r>
            <w:r>
              <w:rPr>
                <w:rFonts w:ascii="宋体" w:hAnsi="宋体" w:cs="宋体" w:eastAsia="宋体" w:hint="default"/>
                <w:sz w:val="18"/>
                <w:szCs w:val="18"/>
              </w:rPr>
              <w:t>并入</w:t>
            </w:r>
            <w:r>
              <w:rPr>
                <w:rFonts w:ascii="Times New Roman" w:hAnsi="Times New Roman" w:cs="Times New Roman" w:eastAsia="Times New Roman" w:hint="default"/>
                <w:sz w:val="18"/>
                <w:szCs w:val="18"/>
              </w:rPr>
              <w:t>“</w:t>
            </w:r>
            <w:r>
              <w:rPr>
                <w:rFonts w:ascii="宋体" w:hAnsi="宋体" w:cs="宋体" w:eastAsia="宋体" w:hint="default"/>
                <w:sz w:val="18"/>
                <w:szCs w:val="18"/>
              </w:rPr>
              <w:t>长期应付款</w:t>
            </w:r>
            <w:r>
              <w:rPr>
                <w:rFonts w:ascii="Times New Roman" w:hAnsi="Times New Roman" w:cs="Times New Roman" w:eastAsia="Times New Roman" w:hint="default"/>
                <w:sz w:val="18"/>
                <w:szCs w:val="18"/>
              </w:rPr>
              <w:t>”</w:t>
            </w:r>
            <w:r>
              <w:rPr>
                <w:rFonts w:ascii="宋体" w:hAnsi="宋体" w:cs="宋体" w:eastAsia="宋体" w:hint="default"/>
                <w:sz w:val="18"/>
                <w:szCs w:val="18"/>
              </w:rPr>
              <w:t>列示。比较数据相应调整。</w:t>
            </w:r>
          </w:p>
        </w:tc>
        <w:tc>
          <w:tcPr>
            <w:tcW w:w="3741" w:type="dxa"/>
            <w:tcBorders>
              <w:top w:val="single" w:sz="10" w:space="0" w:color="000000"/>
              <w:left w:val="single" w:sz="4" w:space="0" w:color="000000"/>
              <w:bottom w:val="single" w:sz="4" w:space="0" w:color="000000"/>
              <w:right w:val="single" w:sz="4" w:space="0" w:color="000000"/>
            </w:tcBorders>
          </w:tcPr>
          <w:p>
            <w:pPr>
              <w:pStyle w:val="TableParagraph"/>
              <w:spacing w:line="309" w:lineRule="auto" w:before="52"/>
              <w:ind w:left="24" w:right="20"/>
              <w:jc w:val="left"/>
              <w:rPr>
                <w:rFonts w:ascii="宋体" w:hAnsi="宋体" w:cs="宋体" w:eastAsia="宋体" w:hint="default"/>
                <w:sz w:val="18"/>
                <w:szCs w:val="18"/>
              </w:rPr>
            </w:pPr>
            <w:r>
              <w:rPr>
                <w:rFonts w:ascii="宋体" w:hAnsi="宋体" w:cs="宋体" w:eastAsia="宋体" w:hint="default"/>
                <w:sz w:val="18"/>
                <w:szCs w:val="18"/>
              </w:rPr>
              <w:t>公司于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日召开第六届董事会第 四十四会议及第六届监事会第十次会议，审议 </w:t>
            </w:r>
            <w:r>
              <w:rPr>
                <w:rFonts w:ascii="宋体" w:hAnsi="宋体" w:cs="宋体" w:eastAsia="宋体" w:hint="default"/>
                <w:spacing w:val="-5"/>
                <w:sz w:val="18"/>
                <w:szCs w:val="18"/>
              </w:rPr>
              <w:t>通过了《关于公司会计政策变更的议案》。根据</w:t>
            </w:r>
          </w:p>
          <w:p>
            <w:pPr>
              <w:pStyle w:val="TableParagraph"/>
              <w:spacing w:line="319" w:lineRule="auto" w:before="24"/>
              <w:ind w:left="24" w:right="20"/>
              <w:jc w:val="left"/>
              <w:rPr>
                <w:rFonts w:ascii="宋体" w:hAnsi="宋体" w:cs="宋体" w:eastAsia="宋体" w:hint="default"/>
                <w:sz w:val="18"/>
                <w:szCs w:val="18"/>
              </w:rPr>
            </w:pPr>
            <w:r>
              <w:rPr>
                <w:rFonts w:ascii="宋体" w:hAnsi="宋体" w:cs="宋体" w:eastAsia="宋体" w:hint="default"/>
                <w:sz w:val="18"/>
                <w:szCs w:val="18"/>
              </w:rPr>
              <w:t>《深圳证券交易</w:t>
            </w:r>
            <w:r>
              <w:rPr>
                <w:rFonts w:ascii="宋体" w:hAnsi="宋体" w:cs="宋体" w:eastAsia="宋体" w:hint="default"/>
                <w:spacing w:val="8"/>
                <w:sz w:val="18"/>
                <w:szCs w:val="18"/>
              </w:rPr>
              <w:t> </w:t>
            </w:r>
            <w:r>
              <w:rPr>
                <w:rFonts w:ascii="宋体" w:hAnsi="宋体" w:cs="宋体" w:eastAsia="宋体" w:hint="default"/>
                <w:spacing w:val="-14"/>
                <w:sz w:val="18"/>
                <w:szCs w:val="18"/>
              </w:rPr>
              <w:t>所创业板股票上市规则》、《深</w:t>
            </w:r>
            <w:r>
              <w:rPr>
                <w:rFonts w:ascii="宋体" w:hAnsi="宋体" w:cs="宋体" w:eastAsia="宋体" w:hint="default"/>
                <w:sz w:val="18"/>
                <w:szCs w:val="18"/>
              </w:rPr>
              <w:t> 圳证券交易所创业板上市公司规范运作指引》 等有</w:t>
            </w:r>
            <w:r>
              <w:rPr>
                <w:rFonts w:ascii="宋体" w:hAnsi="宋体" w:cs="宋体" w:eastAsia="宋体" w:hint="default"/>
                <w:spacing w:val="-6"/>
                <w:sz w:val="18"/>
                <w:szCs w:val="18"/>
              </w:rPr>
              <w:t> </w:t>
            </w:r>
            <w:r>
              <w:rPr>
                <w:rFonts w:ascii="宋体" w:hAnsi="宋体" w:cs="宋体" w:eastAsia="宋体" w:hint="default"/>
                <w:sz w:val="18"/>
                <w:szCs w:val="18"/>
              </w:rPr>
              <w:t>关规定，公司本次会计政策变更由董事会</w:t>
            </w:r>
            <w:r>
              <w:rPr>
                <w:rFonts w:ascii="宋体" w:hAnsi="宋体" w:cs="宋体" w:eastAsia="宋体" w:hint="default"/>
                <w:sz w:val="18"/>
                <w:szCs w:val="18"/>
              </w:rPr>
              <w:t> 审议，无需提交股东大会审议。</w:t>
            </w:r>
          </w:p>
        </w:tc>
      </w:tr>
    </w:tbl>
    <w:p>
      <w:pPr>
        <w:pStyle w:val="BodyText"/>
        <w:spacing w:line="240" w:lineRule="auto" w:before="88"/>
        <w:ind w:left="494" w:right="1032"/>
        <w:jc w:val="left"/>
      </w:pPr>
      <w:r>
        <w:rPr/>
        <w:t>本公司执行上述规定的主要影响如下：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pStyle w:val="BodyText"/>
        <w:spacing w:line="240" w:lineRule="auto"/>
        <w:ind w:left="0" w:right="1040"/>
        <w:jc w:val="right"/>
      </w:pPr>
      <w:r>
        <w:rPr/>
        <w:pict>
          <v:shape style="position:absolute;margin-left:55.860001pt;margin-top:-81.468269pt;width:484.05pt;height:177.55pt;mso-position-horizontal-relative:page;mso-position-vertical-relative:paragraph;z-index:323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5010"/>
                    <w:gridCol w:w="4649"/>
                  </w:tblGrid>
                  <w:tr>
                    <w:trPr>
                      <w:trHeight w:val="346" w:hRule="exact"/>
                    </w:trPr>
                    <w:tc>
                      <w:tcPr>
                        <w:tcW w:w="501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0"/>
                          <w:ind w:left="1416"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4649"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0"/>
                          <w:ind w:left="1146" w:right="0"/>
                          <w:jc w:val="left"/>
                          <w:rPr>
                            <w:rFonts w:ascii="宋体" w:hAnsi="宋体" w:cs="宋体" w:eastAsia="宋体" w:hint="default"/>
                            <w:sz w:val="18"/>
                            <w:szCs w:val="18"/>
                          </w:rPr>
                        </w:pPr>
                        <w:r>
                          <w:rPr>
                            <w:rFonts w:ascii="宋体" w:hAnsi="宋体" w:cs="宋体" w:eastAsia="宋体" w:hint="default"/>
                            <w:sz w:val="18"/>
                            <w:szCs w:val="18"/>
                          </w:rPr>
                          <w:t>受影响的报表项目名称和金额</w:t>
                        </w:r>
                      </w:p>
                    </w:tc>
                  </w:tr>
                  <w:tr>
                    <w:trPr>
                      <w:trHeight w:val="2219" w:hRule="exact"/>
                    </w:trPr>
                    <w:tc>
                      <w:tcPr>
                        <w:tcW w:w="501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2"/>
                          <w:ind w:left="2" w:right="-17"/>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）资产负债表中</w:t>
                        </w:r>
                        <w:r>
                          <w:rPr>
                            <w:rFonts w:ascii="Times New Roman" w:hAnsi="Times New Roman" w:cs="Times New Roman" w:eastAsia="Times New Roman" w:hint="default"/>
                            <w:sz w:val="18"/>
                            <w:szCs w:val="18"/>
                          </w:rPr>
                          <w:t>“</w:t>
                        </w:r>
                        <w:r>
                          <w:rPr>
                            <w:rFonts w:ascii="宋体" w:hAnsi="宋体" w:cs="宋体" w:eastAsia="宋体" w:hint="default"/>
                            <w:sz w:val="18"/>
                            <w:szCs w:val="18"/>
                          </w:rPr>
                          <w:t>应收票据</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应收账款</w:t>
                        </w:r>
                        <w:r>
                          <w:rPr>
                            <w:rFonts w:ascii="Times New Roman" w:hAnsi="Times New Roman" w:cs="Times New Roman" w:eastAsia="Times New Roman" w:hint="default"/>
                            <w:sz w:val="18"/>
                            <w:szCs w:val="18"/>
                          </w:rPr>
                          <w:t>”</w:t>
                        </w:r>
                        <w:r>
                          <w:rPr>
                            <w:rFonts w:ascii="宋体" w:hAnsi="宋体" w:cs="宋体" w:eastAsia="宋体" w:hint="default"/>
                            <w:sz w:val="18"/>
                            <w:szCs w:val="18"/>
                          </w:rPr>
                          <w:t>合并列示为</w:t>
                        </w:r>
                        <w:r>
                          <w:rPr>
                            <w:rFonts w:ascii="Times New Roman" w:hAnsi="Times New Roman" w:cs="Times New Roman" w:eastAsia="Times New Roman" w:hint="default"/>
                            <w:sz w:val="18"/>
                            <w:szCs w:val="18"/>
                          </w:rPr>
                          <w:t>“</w:t>
                        </w:r>
                        <w:r>
                          <w:rPr>
                            <w:rFonts w:ascii="宋体" w:hAnsi="宋体" w:cs="宋体" w:eastAsia="宋体" w:hint="default"/>
                            <w:sz w:val="18"/>
                            <w:szCs w:val="18"/>
                          </w:rPr>
                          <w:t>应收票 据及应收账款</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应付票据</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应付账款</w:t>
                        </w:r>
                        <w:r>
                          <w:rPr>
                            <w:rFonts w:ascii="Times New Roman" w:hAnsi="Times New Roman" w:cs="Times New Roman" w:eastAsia="Times New Roman" w:hint="default"/>
                            <w:sz w:val="18"/>
                            <w:szCs w:val="18"/>
                          </w:rPr>
                          <w:t>”</w:t>
                        </w:r>
                        <w:r>
                          <w:rPr>
                            <w:rFonts w:ascii="宋体" w:hAnsi="宋体" w:cs="宋体" w:eastAsia="宋体" w:hint="default"/>
                            <w:sz w:val="18"/>
                            <w:szCs w:val="18"/>
                          </w:rPr>
                          <w:t>合并列示为</w:t>
                        </w:r>
                        <w:r>
                          <w:rPr>
                            <w:rFonts w:ascii="Times New Roman" w:hAnsi="Times New Roman" w:cs="Times New Roman" w:eastAsia="Times New Roman" w:hint="default"/>
                            <w:sz w:val="18"/>
                            <w:szCs w:val="18"/>
                          </w:rPr>
                          <w:t>“</w:t>
                        </w:r>
                        <w:r>
                          <w:rPr>
                            <w:rFonts w:ascii="宋体" w:hAnsi="宋体" w:cs="宋体" w:eastAsia="宋体" w:hint="default"/>
                            <w:sz w:val="18"/>
                            <w:szCs w:val="18"/>
                          </w:rPr>
                          <w:t>应付票据 </w:t>
                        </w:r>
                        <w:r>
                          <w:rPr>
                            <w:rFonts w:ascii="宋体" w:hAnsi="宋体" w:cs="宋体" w:eastAsia="宋体" w:hint="default"/>
                            <w:spacing w:val="-2"/>
                            <w:sz w:val="18"/>
                            <w:szCs w:val="18"/>
                          </w:rPr>
                          <w:t>及应付账款</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应收利息</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和</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应收股利</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并入</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其他应收款</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列示；</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Times New Roman" w:hAnsi="Times New Roman" w:cs="Times New Roman" w:eastAsia="Times New Roman" w:hint="default"/>
                            <w:sz w:val="18"/>
                            <w:szCs w:val="18"/>
                          </w:rPr>
                          <w:t>“</w:t>
                        </w:r>
                        <w:r>
                          <w:rPr>
                            <w:rFonts w:ascii="宋体" w:hAnsi="宋体" w:cs="宋体" w:eastAsia="宋体" w:hint="default"/>
                            <w:sz w:val="18"/>
                            <w:szCs w:val="18"/>
                          </w:rPr>
                          <w:t>应付利息</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应付股利</w:t>
                        </w:r>
                        <w:r>
                          <w:rPr>
                            <w:rFonts w:ascii="Times New Roman" w:hAnsi="Times New Roman" w:cs="Times New Roman" w:eastAsia="Times New Roman" w:hint="default"/>
                            <w:sz w:val="18"/>
                            <w:szCs w:val="18"/>
                          </w:rPr>
                          <w:t>”</w:t>
                        </w:r>
                        <w:r>
                          <w:rPr>
                            <w:rFonts w:ascii="宋体" w:hAnsi="宋体" w:cs="宋体" w:eastAsia="宋体" w:hint="default"/>
                            <w:sz w:val="18"/>
                            <w:szCs w:val="18"/>
                          </w:rPr>
                          <w:t>并入</w:t>
                        </w:r>
                        <w:r>
                          <w:rPr>
                            <w:rFonts w:ascii="Times New Roman" w:hAnsi="Times New Roman" w:cs="Times New Roman" w:eastAsia="Times New Roman" w:hint="default"/>
                            <w:sz w:val="18"/>
                            <w:szCs w:val="18"/>
                          </w:rPr>
                          <w:t>“</w:t>
                        </w:r>
                        <w:r>
                          <w:rPr>
                            <w:rFonts w:ascii="宋体" w:hAnsi="宋体" w:cs="宋体" w:eastAsia="宋体" w:hint="default"/>
                            <w:sz w:val="18"/>
                            <w:szCs w:val="18"/>
                          </w:rPr>
                          <w:t>其他应付款</w:t>
                        </w:r>
                        <w:r>
                          <w:rPr>
                            <w:rFonts w:ascii="Times New Roman" w:hAnsi="Times New Roman" w:cs="Times New Roman" w:eastAsia="Times New Roman" w:hint="default"/>
                            <w:sz w:val="18"/>
                            <w:szCs w:val="18"/>
                          </w:rPr>
                          <w:t>”</w:t>
                        </w:r>
                        <w:r>
                          <w:rPr>
                            <w:rFonts w:ascii="宋体" w:hAnsi="宋体" w:cs="宋体" w:eastAsia="宋体" w:hint="default"/>
                            <w:sz w:val="18"/>
                            <w:szCs w:val="18"/>
                          </w:rPr>
                          <w:t>列示；</w:t>
                        </w:r>
                        <w:r>
                          <w:rPr>
                            <w:rFonts w:ascii="Times New Roman" w:hAnsi="Times New Roman" w:cs="Times New Roman" w:eastAsia="Times New Roman" w:hint="default"/>
                            <w:sz w:val="18"/>
                            <w:szCs w:val="18"/>
                          </w:rPr>
                          <w:t>“</w:t>
                        </w:r>
                        <w:r>
                          <w:rPr>
                            <w:rFonts w:ascii="宋体" w:hAnsi="宋体" w:cs="宋体" w:eastAsia="宋体" w:hint="default"/>
                            <w:sz w:val="18"/>
                            <w:szCs w:val="18"/>
                          </w:rPr>
                          <w:t>固定资产清 理</w:t>
                        </w:r>
                        <w:r>
                          <w:rPr>
                            <w:rFonts w:ascii="Times New Roman" w:hAnsi="Times New Roman" w:cs="Times New Roman" w:eastAsia="Times New Roman" w:hint="default"/>
                            <w:sz w:val="18"/>
                            <w:szCs w:val="18"/>
                          </w:rPr>
                          <w:t>”</w:t>
                        </w:r>
                        <w:r>
                          <w:rPr>
                            <w:rFonts w:ascii="宋体" w:hAnsi="宋体" w:cs="宋体" w:eastAsia="宋体" w:hint="default"/>
                            <w:sz w:val="18"/>
                            <w:szCs w:val="18"/>
                          </w:rPr>
                          <w:t>并入</w:t>
                        </w:r>
                        <w:r>
                          <w:rPr>
                            <w:rFonts w:ascii="Times New Roman" w:hAnsi="Times New Roman" w:cs="Times New Roman" w:eastAsia="Times New Roman" w:hint="default"/>
                            <w:sz w:val="18"/>
                            <w:szCs w:val="18"/>
                          </w:rPr>
                          <w:t>“</w:t>
                        </w:r>
                        <w:r>
                          <w:rPr>
                            <w:rFonts w:ascii="宋体" w:hAnsi="宋体" w:cs="宋体" w:eastAsia="宋体" w:hint="default"/>
                            <w:sz w:val="18"/>
                            <w:szCs w:val="18"/>
                          </w:rPr>
                          <w:t>固定资产</w:t>
                        </w:r>
                        <w:r>
                          <w:rPr>
                            <w:rFonts w:ascii="Times New Roman" w:hAnsi="Times New Roman" w:cs="Times New Roman" w:eastAsia="Times New Roman" w:hint="default"/>
                            <w:sz w:val="18"/>
                            <w:szCs w:val="18"/>
                          </w:rPr>
                          <w:t>”</w:t>
                        </w:r>
                        <w:r>
                          <w:rPr>
                            <w:rFonts w:ascii="宋体" w:hAnsi="宋体" w:cs="宋体" w:eastAsia="宋体" w:hint="default"/>
                            <w:sz w:val="18"/>
                            <w:szCs w:val="18"/>
                          </w:rPr>
                          <w:t>列示；</w:t>
                        </w:r>
                        <w:r>
                          <w:rPr>
                            <w:rFonts w:ascii="Times New Roman" w:hAnsi="Times New Roman" w:cs="Times New Roman" w:eastAsia="Times New Roman" w:hint="default"/>
                            <w:sz w:val="18"/>
                            <w:szCs w:val="18"/>
                          </w:rPr>
                          <w:t>“</w:t>
                        </w:r>
                        <w:r>
                          <w:rPr>
                            <w:rFonts w:ascii="宋体" w:hAnsi="宋体" w:cs="宋体" w:eastAsia="宋体" w:hint="default"/>
                            <w:sz w:val="18"/>
                            <w:szCs w:val="18"/>
                          </w:rPr>
                          <w:t>工程物资</w:t>
                        </w:r>
                        <w:r>
                          <w:rPr>
                            <w:rFonts w:ascii="Times New Roman" w:hAnsi="Times New Roman" w:cs="Times New Roman" w:eastAsia="Times New Roman" w:hint="default"/>
                            <w:sz w:val="18"/>
                            <w:szCs w:val="18"/>
                          </w:rPr>
                          <w:t>”</w:t>
                        </w:r>
                        <w:r>
                          <w:rPr>
                            <w:rFonts w:ascii="宋体" w:hAnsi="宋体" w:cs="宋体" w:eastAsia="宋体" w:hint="default"/>
                            <w:sz w:val="18"/>
                            <w:szCs w:val="18"/>
                          </w:rPr>
                          <w:t>并入</w:t>
                        </w:r>
                        <w:r>
                          <w:rPr>
                            <w:rFonts w:ascii="Times New Roman" w:hAnsi="Times New Roman" w:cs="Times New Roman" w:eastAsia="Times New Roman" w:hint="default"/>
                            <w:sz w:val="18"/>
                            <w:szCs w:val="18"/>
                          </w:rPr>
                          <w:t>“</w:t>
                        </w:r>
                        <w:r>
                          <w:rPr>
                            <w:rFonts w:ascii="宋体" w:hAnsi="宋体" w:cs="宋体" w:eastAsia="宋体" w:hint="default"/>
                            <w:sz w:val="18"/>
                            <w:szCs w:val="18"/>
                          </w:rPr>
                          <w:t>在建工程</w:t>
                        </w:r>
                        <w:r>
                          <w:rPr>
                            <w:rFonts w:ascii="Times New Roman" w:hAnsi="Times New Roman" w:cs="Times New Roman" w:eastAsia="Times New Roman" w:hint="default"/>
                            <w:sz w:val="18"/>
                            <w:szCs w:val="18"/>
                          </w:rPr>
                          <w:t>”</w:t>
                        </w:r>
                        <w:r>
                          <w:rPr>
                            <w:rFonts w:ascii="宋体" w:hAnsi="宋体" w:cs="宋体" w:eastAsia="宋体" w:hint="default"/>
                            <w:sz w:val="18"/>
                            <w:szCs w:val="18"/>
                          </w:rPr>
                          <w:t>列示；</w:t>
                        </w:r>
                        <w:r>
                          <w:rPr>
                            <w:rFonts w:ascii="Times New Roman" w:hAnsi="Times New Roman" w:cs="Times New Roman" w:eastAsia="Times New Roman" w:hint="default"/>
                            <w:sz w:val="18"/>
                            <w:szCs w:val="18"/>
                          </w:rPr>
                          <w:t>“</w:t>
                        </w:r>
                        <w:r>
                          <w:rPr>
                            <w:rFonts w:ascii="宋体" w:hAnsi="宋体" w:cs="宋体" w:eastAsia="宋体" w:hint="default"/>
                            <w:sz w:val="18"/>
                            <w:szCs w:val="18"/>
                          </w:rPr>
                          <w:t>专 项应付款</w:t>
                        </w:r>
                        <w:r>
                          <w:rPr>
                            <w:rFonts w:ascii="Times New Roman" w:hAnsi="Times New Roman" w:cs="Times New Roman" w:eastAsia="Times New Roman" w:hint="default"/>
                            <w:sz w:val="18"/>
                            <w:szCs w:val="18"/>
                          </w:rPr>
                          <w:t>”</w:t>
                        </w:r>
                        <w:r>
                          <w:rPr>
                            <w:rFonts w:ascii="宋体" w:hAnsi="宋体" w:cs="宋体" w:eastAsia="宋体" w:hint="default"/>
                            <w:sz w:val="18"/>
                            <w:szCs w:val="18"/>
                          </w:rPr>
                          <w:t>并入</w:t>
                        </w:r>
                        <w:r>
                          <w:rPr>
                            <w:rFonts w:ascii="Times New Roman" w:hAnsi="Times New Roman" w:cs="Times New Roman" w:eastAsia="Times New Roman" w:hint="default"/>
                            <w:sz w:val="18"/>
                            <w:szCs w:val="18"/>
                          </w:rPr>
                          <w:t>“</w:t>
                        </w:r>
                        <w:r>
                          <w:rPr>
                            <w:rFonts w:ascii="宋体" w:hAnsi="宋体" w:cs="宋体" w:eastAsia="宋体" w:hint="default"/>
                            <w:sz w:val="18"/>
                            <w:szCs w:val="18"/>
                          </w:rPr>
                          <w:t>长期应付款</w:t>
                        </w:r>
                        <w:r>
                          <w:rPr>
                            <w:rFonts w:ascii="Times New Roman" w:hAnsi="Times New Roman" w:cs="Times New Roman" w:eastAsia="Times New Roman" w:hint="default"/>
                            <w:sz w:val="18"/>
                            <w:szCs w:val="18"/>
                          </w:rPr>
                          <w:t>”</w:t>
                        </w:r>
                        <w:r>
                          <w:rPr>
                            <w:rFonts w:ascii="宋体" w:hAnsi="宋体" w:cs="宋体" w:eastAsia="宋体" w:hint="default"/>
                            <w:sz w:val="18"/>
                            <w:szCs w:val="18"/>
                          </w:rPr>
                          <w:t>列示。比较数据相应调整。</w:t>
                        </w:r>
                      </w:p>
                    </w:tc>
                    <w:tc>
                      <w:tcPr>
                        <w:tcW w:w="4649"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2"/>
                          <w:ind w:left="2" w:right="1"/>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应收票据</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应收账款</w:t>
                        </w:r>
                        <w:r>
                          <w:rPr>
                            <w:rFonts w:ascii="Times New Roman" w:hAnsi="Times New Roman" w:cs="Times New Roman" w:eastAsia="Times New Roman" w:hint="default"/>
                            <w:sz w:val="18"/>
                            <w:szCs w:val="18"/>
                          </w:rPr>
                          <w:t>”</w:t>
                        </w:r>
                        <w:r>
                          <w:rPr>
                            <w:rFonts w:ascii="宋体" w:hAnsi="宋体" w:cs="宋体" w:eastAsia="宋体" w:hint="default"/>
                            <w:sz w:val="18"/>
                            <w:szCs w:val="18"/>
                          </w:rPr>
                          <w:t>合并列示为</w:t>
                        </w:r>
                        <w:r>
                          <w:rPr>
                            <w:rFonts w:ascii="Times New Roman" w:hAnsi="Times New Roman" w:cs="Times New Roman" w:eastAsia="Times New Roman" w:hint="default"/>
                            <w:sz w:val="18"/>
                            <w:szCs w:val="18"/>
                          </w:rPr>
                          <w:t>“</w:t>
                        </w:r>
                        <w:r>
                          <w:rPr>
                            <w:rFonts w:ascii="宋体" w:hAnsi="宋体" w:cs="宋体" w:eastAsia="宋体" w:hint="default"/>
                            <w:sz w:val="18"/>
                            <w:szCs w:val="18"/>
                          </w:rPr>
                          <w:t>应收票据及应收账 </w:t>
                        </w:r>
                        <w:r>
                          <w:rPr>
                            <w:rFonts w:ascii="宋体" w:hAnsi="宋体" w:cs="宋体" w:eastAsia="宋体" w:hint="default"/>
                            <w:spacing w:val="-4"/>
                            <w:sz w:val="18"/>
                            <w:szCs w:val="18"/>
                          </w:rPr>
                          <w:t>款</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，本期金额</w:t>
                        </w:r>
                        <w:r>
                          <w:rPr>
                            <w:rFonts w:ascii="Times New Roman" w:hAnsi="Times New Roman" w:cs="Times New Roman" w:eastAsia="Times New Roman" w:hint="default"/>
                            <w:spacing w:val="-4"/>
                            <w:sz w:val="18"/>
                            <w:szCs w:val="18"/>
                          </w:rPr>
                          <w:t>1,144,124,855.16</w:t>
                        </w:r>
                        <w:r>
                          <w:rPr>
                            <w:rFonts w:ascii="宋体" w:hAnsi="宋体" w:cs="宋体" w:eastAsia="宋体" w:hint="default"/>
                            <w:spacing w:val="-4"/>
                            <w:sz w:val="18"/>
                            <w:szCs w:val="18"/>
                          </w:rPr>
                          <w:t>元，上期金额</w:t>
                        </w:r>
                        <w:r>
                          <w:rPr>
                            <w:rFonts w:ascii="Times New Roman" w:hAnsi="Times New Roman" w:cs="Times New Roman" w:eastAsia="Times New Roman" w:hint="default"/>
                            <w:spacing w:val="-4"/>
                            <w:sz w:val="18"/>
                            <w:szCs w:val="18"/>
                          </w:rPr>
                          <w:t>1,124,561,042.37</w:t>
                        </w:r>
                      </w:p>
                      <w:p>
                        <w:pPr>
                          <w:pStyle w:val="TableParagraph"/>
                          <w:spacing w:line="304" w:lineRule="auto" w:before="13"/>
                          <w:ind w:left="2" w:right="90"/>
                          <w:jc w:val="left"/>
                          <w:rPr>
                            <w:rFonts w:ascii="宋体" w:hAnsi="宋体" w:cs="宋体" w:eastAsia="宋体" w:hint="default"/>
                            <w:sz w:val="18"/>
                            <w:szCs w:val="18"/>
                          </w:rPr>
                        </w:pPr>
                        <w:r>
                          <w:rPr>
                            <w:rFonts w:ascii="宋体" w:hAnsi="宋体" w:cs="宋体" w:eastAsia="宋体" w:hint="default"/>
                            <w:sz w:val="18"/>
                            <w:szCs w:val="18"/>
                          </w:rPr>
                          <w:t>元； </w:t>
                        </w:r>
                        <w:r>
                          <w:rPr>
                            <w:rFonts w:ascii="Times New Roman" w:hAnsi="Times New Roman" w:cs="Times New Roman" w:eastAsia="Times New Roman" w:hint="default"/>
                            <w:sz w:val="18"/>
                            <w:szCs w:val="18"/>
                          </w:rPr>
                          <w:t>“</w:t>
                        </w:r>
                        <w:r>
                          <w:rPr>
                            <w:rFonts w:ascii="宋体" w:hAnsi="宋体" w:cs="宋体" w:eastAsia="宋体" w:hint="default"/>
                            <w:sz w:val="18"/>
                            <w:szCs w:val="18"/>
                          </w:rPr>
                          <w:t>应付票据</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应付账款</w:t>
                        </w:r>
                        <w:r>
                          <w:rPr>
                            <w:rFonts w:ascii="Times New Roman" w:hAnsi="Times New Roman" w:cs="Times New Roman" w:eastAsia="Times New Roman" w:hint="default"/>
                            <w:sz w:val="18"/>
                            <w:szCs w:val="18"/>
                          </w:rPr>
                          <w:t>”</w:t>
                        </w:r>
                        <w:r>
                          <w:rPr>
                            <w:rFonts w:ascii="宋体" w:hAnsi="宋体" w:cs="宋体" w:eastAsia="宋体" w:hint="default"/>
                            <w:sz w:val="18"/>
                            <w:szCs w:val="18"/>
                          </w:rPr>
                          <w:t>合并列示为</w:t>
                        </w:r>
                        <w:r>
                          <w:rPr>
                            <w:rFonts w:ascii="Times New Roman" w:hAnsi="Times New Roman" w:cs="Times New Roman" w:eastAsia="Times New Roman" w:hint="default"/>
                            <w:sz w:val="18"/>
                            <w:szCs w:val="18"/>
                          </w:rPr>
                          <w:t>“</w:t>
                        </w:r>
                        <w:r>
                          <w:rPr>
                            <w:rFonts w:ascii="宋体" w:hAnsi="宋体" w:cs="宋体" w:eastAsia="宋体" w:hint="default"/>
                            <w:sz w:val="18"/>
                            <w:szCs w:val="18"/>
                          </w:rPr>
                          <w:t>应付票据及应付账 </w:t>
                        </w:r>
                        <w:r>
                          <w:rPr>
                            <w:rFonts w:ascii="宋体" w:hAnsi="宋体" w:cs="宋体" w:eastAsia="宋体" w:hint="default"/>
                            <w:spacing w:val="-4"/>
                            <w:sz w:val="18"/>
                            <w:szCs w:val="18"/>
                          </w:rPr>
                          <w:t>款</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，本期金额</w:t>
                        </w:r>
                        <w:r>
                          <w:rPr>
                            <w:rFonts w:ascii="Times New Roman" w:hAnsi="Times New Roman" w:cs="Times New Roman" w:eastAsia="Times New Roman" w:hint="default"/>
                            <w:spacing w:val="-4"/>
                            <w:sz w:val="18"/>
                            <w:szCs w:val="18"/>
                          </w:rPr>
                          <w:t>273,604,713.99</w:t>
                        </w:r>
                        <w:r>
                          <w:rPr>
                            <w:rFonts w:ascii="宋体" w:hAnsi="宋体" w:cs="宋体" w:eastAsia="宋体" w:hint="default"/>
                            <w:spacing w:val="-4"/>
                            <w:sz w:val="18"/>
                            <w:szCs w:val="18"/>
                          </w:rPr>
                          <w:t>元，上期金额</w:t>
                        </w:r>
                        <w:r>
                          <w:rPr>
                            <w:rFonts w:ascii="Times New Roman" w:hAnsi="Times New Roman" w:cs="Times New Roman" w:eastAsia="Times New Roman" w:hint="default"/>
                            <w:spacing w:val="-4"/>
                            <w:sz w:val="18"/>
                            <w:szCs w:val="18"/>
                          </w:rPr>
                          <w:t>215,120,889.30</w:t>
                        </w:r>
                        <w:r>
                          <w:rPr>
                            <w:rFonts w:ascii="宋体" w:hAnsi="宋体" w:cs="宋体" w:eastAsia="宋体" w:hint="default"/>
                            <w:spacing w:val="-4"/>
                            <w:sz w:val="18"/>
                            <w:szCs w:val="18"/>
                          </w:rPr>
                          <w:t>元</w:t>
                        </w:r>
                        <w:r>
                          <w:rPr>
                            <w:rFonts w:ascii="宋体" w:hAnsi="宋体" w:cs="宋体" w:eastAsia="宋体" w:hint="default"/>
                            <w:spacing w:val="-59"/>
                            <w:sz w:val="18"/>
                            <w:szCs w:val="18"/>
                          </w:rPr>
                          <w:t> </w:t>
                        </w:r>
                        <w:r>
                          <w:rPr>
                            <w:rFonts w:ascii="宋体" w:hAnsi="宋体" w:cs="宋体" w:eastAsia="宋体" w:hint="default"/>
                            <w:sz w:val="18"/>
                            <w:szCs w:val="18"/>
                          </w:rPr>
                          <w:t>调增</w:t>
                        </w:r>
                        <w:r>
                          <w:rPr>
                            <w:rFonts w:ascii="Times New Roman" w:hAnsi="Times New Roman" w:cs="Times New Roman" w:eastAsia="Times New Roman" w:hint="default"/>
                            <w:sz w:val="18"/>
                            <w:szCs w:val="18"/>
                          </w:rPr>
                          <w:t>“</w:t>
                        </w:r>
                        <w:r>
                          <w:rPr>
                            <w:rFonts w:ascii="宋体" w:hAnsi="宋体" w:cs="宋体" w:eastAsia="宋体" w:hint="default"/>
                            <w:sz w:val="18"/>
                            <w:szCs w:val="18"/>
                          </w:rPr>
                          <w:t>其他应付款</w:t>
                        </w:r>
                        <w:r>
                          <w:rPr>
                            <w:rFonts w:ascii="Times New Roman" w:hAnsi="Times New Roman" w:cs="Times New Roman" w:eastAsia="Times New Roman" w:hint="default"/>
                            <w:sz w:val="18"/>
                            <w:szCs w:val="18"/>
                          </w:rPr>
                          <w:t>”</w:t>
                        </w:r>
                        <w:r>
                          <w:rPr>
                            <w:rFonts w:ascii="宋体" w:hAnsi="宋体" w:cs="宋体" w:eastAsia="宋体" w:hint="default"/>
                            <w:sz w:val="18"/>
                            <w:szCs w:val="18"/>
                          </w:rPr>
                          <w:t>本期金额</w:t>
                        </w:r>
                        <w:r>
                          <w:rPr>
                            <w:rFonts w:ascii="Times New Roman" w:hAnsi="Times New Roman" w:cs="Times New Roman" w:eastAsia="Times New Roman" w:hint="default"/>
                            <w:sz w:val="18"/>
                            <w:szCs w:val="18"/>
                          </w:rPr>
                          <w:t>1,825,152.09</w:t>
                        </w:r>
                        <w:r>
                          <w:rPr>
                            <w:rFonts w:ascii="宋体" w:hAnsi="宋体" w:cs="宋体" w:eastAsia="宋体" w:hint="default"/>
                            <w:sz w:val="18"/>
                            <w:szCs w:val="18"/>
                          </w:rPr>
                          <w:t>元，上期金额 </w:t>
                        </w:r>
                        <w:r>
                          <w:rPr>
                            <w:rFonts w:ascii="Times New Roman" w:hAnsi="Times New Roman" w:cs="Times New Roman" w:eastAsia="Times New Roman" w:hint="default"/>
                            <w:sz w:val="18"/>
                            <w:szCs w:val="18"/>
                          </w:rPr>
                          <w:t>20,662,667.36</w:t>
                        </w:r>
                        <w:r>
                          <w:rPr>
                            <w:rFonts w:ascii="宋体" w:hAnsi="宋体" w:cs="宋体" w:eastAsia="宋体" w:hint="default"/>
                            <w:sz w:val="18"/>
                            <w:szCs w:val="18"/>
                          </w:rPr>
                          <w:t>元；</w:t>
                        </w:r>
                      </w:p>
                    </w:tc>
                  </w:tr>
                  <w:tr>
                    <w:trPr>
                      <w:trHeight w:val="971" w:hRule="exact"/>
                    </w:trPr>
                    <w:tc>
                      <w:tcPr>
                        <w:tcW w:w="501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9"/>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）在利润表中新增</w:t>
                        </w:r>
                        <w:r>
                          <w:rPr>
                            <w:rFonts w:ascii="Times New Roman" w:hAnsi="Times New Roman" w:cs="Times New Roman" w:eastAsia="Times New Roman" w:hint="default"/>
                            <w:sz w:val="18"/>
                            <w:szCs w:val="18"/>
                          </w:rPr>
                          <w:t>“</w:t>
                        </w:r>
                        <w:r>
                          <w:rPr>
                            <w:rFonts w:ascii="宋体" w:hAnsi="宋体" w:cs="宋体" w:eastAsia="宋体" w:hint="default"/>
                            <w:sz w:val="18"/>
                            <w:szCs w:val="18"/>
                          </w:rPr>
                          <w:t>研发费用</w:t>
                        </w:r>
                        <w:r>
                          <w:rPr>
                            <w:rFonts w:ascii="Times New Roman" w:hAnsi="Times New Roman" w:cs="Times New Roman" w:eastAsia="Times New Roman" w:hint="default"/>
                            <w:sz w:val="18"/>
                            <w:szCs w:val="18"/>
                          </w:rPr>
                          <w:t>”</w:t>
                        </w:r>
                        <w:r>
                          <w:rPr>
                            <w:rFonts w:ascii="宋体" w:hAnsi="宋体" w:cs="宋体" w:eastAsia="宋体" w:hint="default"/>
                            <w:sz w:val="18"/>
                            <w:szCs w:val="18"/>
                          </w:rPr>
                          <w:t>项目，将原</w:t>
                        </w:r>
                        <w:r>
                          <w:rPr>
                            <w:rFonts w:ascii="Times New Roman" w:hAnsi="Times New Roman" w:cs="Times New Roman" w:eastAsia="Times New Roman" w:hint="default"/>
                            <w:sz w:val="18"/>
                            <w:szCs w:val="18"/>
                          </w:rPr>
                          <w:t>“</w:t>
                        </w:r>
                        <w:r>
                          <w:rPr>
                            <w:rFonts w:ascii="宋体" w:hAnsi="宋体" w:cs="宋体" w:eastAsia="宋体" w:hint="default"/>
                            <w:sz w:val="18"/>
                            <w:szCs w:val="18"/>
                          </w:rPr>
                          <w:t>管理费用</w:t>
                        </w:r>
                        <w:r>
                          <w:rPr>
                            <w:rFonts w:ascii="Times New Roman" w:hAnsi="Times New Roman" w:cs="Times New Roman" w:eastAsia="Times New Roman" w:hint="default"/>
                            <w:sz w:val="18"/>
                            <w:szCs w:val="18"/>
                          </w:rPr>
                          <w:t>”</w:t>
                        </w:r>
                        <w:r>
                          <w:rPr>
                            <w:rFonts w:ascii="宋体" w:hAnsi="宋体" w:cs="宋体" w:eastAsia="宋体" w:hint="default"/>
                            <w:sz w:val="18"/>
                            <w:szCs w:val="18"/>
                          </w:rPr>
                          <w:t>中的研 </w:t>
                        </w:r>
                        <w:r>
                          <w:rPr>
                            <w:rFonts w:ascii="宋体" w:hAnsi="宋体" w:cs="宋体" w:eastAsia="宋体" w:hint="default"/>
                            <w:spacing w:val="-2"/>
                            <w:sz w:val="18"/>
                            <w:szCs w:val="18"/>
                          </w:rPr>
                          <w:t>发费用重分类至</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研发费用</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单独列示；在利润表中财务费用项下</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新增</w:t>
                        </w:r>
                        <w:r>
                          <w:rPr>
                            <w:rFonts w:ascii="Times New Roman" w:hAnsi="Times New Roman" w:cs="Times New Roman" w:eastAsia="Times New Roman" w:hint="default"/>
                            <w:sz w:val="18"/>
                            <w:szCs w:val="18"/>
                          </w:rPr>
                          <w:t>“</w:t>
                        </w:r>
                        <w:r>
                          <w:rPr>
                            <w:rFonts w:ascii="宋体" w:hAnsi="宋体" w:cs="宋体" w:eastAsia="宋体" w:hint="default"/>
                            <w:sz w:val="18"/>
                            <w:szCs w:val="18"/>
                          </w:rPr>
                          <w:t>其中：利息费用</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利息收入</w:t>
                        </w:r>
                        <w:r>
                          <w:rPr>
                            <w:rFonts w:ascii="Times New Roman" w:hAnsi="Times New Roman" w:cs="Times New Roman" w:eastAsia="Times New Roman" w:hint="default"/>
                            <w:sz w:val="18"/>
                            <w:szCs w:val="18"/>
                          </w:rPr>
                          <w:t>”</w:t>
                        </w:r>
                        <w:r>
                          <w:rPr>
                            <w:rFonts w:ascii="宋体" w:hAnsi="宋体" w:cs="宋体" w:eastAsia="宋体" w:hint="default"/>
                            <w:sz w:val="18"/>
                            <w:szCs w:val="18"/>
                          </w:rPr>
                          <w:t>项目。比较数据相应调整。</w:t>
                        </w:r>
                      </w:p>
                    </w:tc>
                    <w:tc>
                      <w:tcPr>
                        <w:tcW w:w="46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调减</w:t>
                        </w:r>
                        <w:r>
                          <w:rPr>
                            <w:rFonts w:ascii="Times New Roman" w:hAnsi="Times New Roman" w:cs="Times New Roman" w:eastAsia="Times New Roman" w:hint="default"/>
                            <w:sz w:val="18"/>
                            <w:szCs w:val="18"/>
                          </w:rPr>
                          <w:t>“</w:t>
                        </w:r>
                        <w:r>
                          <w:rPr>
                            <w:rFonts w:ascii="宋体" w:hAnsi="宋体" w:cs="宋体" w:eastAsia="宋体" w:hint="default"/>
                            <w:sz w:val="18"/>
                            <w:szCs w:val="18"/>
                          </w:rPr>
                          <w:t>管理费用</w:t>
                        </w:r>
                        <w:r>
                          <w:rPr>
                            <w:rFonts w:ascii="Times New Roman" w:hAnsi="Times New Roman" w:cs="Times New Roman" w:eastAsia="Times New Roman" w:hint="default"/>
                            <w:sz w:val="18"/>
                            <w:szCs w:val="18"/>
                          </w:rPr>
                          <w:t>”</w:t>
                        </w:r>
                        <w:r>
                          <w:rPr>
                            <w:rFonts w:ascii="宋体" w:hAnsi="宋体" w:cs="宋体" w:eastAsia="宋体" w:hint="default"/>
                            <w:sz w:val="18"/>
                            <w:szCs w:val="18"/>
                          </w:rPr>
                          <w:t>本期金额</w:t>
                        </w:r>
                        <w:r>
                          <w:rPr>
                            <w:rFonts w:ascii="Times New Roman" w:hAnsi="Times New Roman" w:cs="Times New Roman" w:eastAsia="Times New Roman" w:hint="default"/>
                            <w:sz w:val="18"/>
                            <w:szCs w:val="18"/>
                          </w:rPr>
                          <w:t>102,446,959.62</w:t>
                        </w:r>
                        <w:r>
                          <w:rPr>
                            <w:rFonts w:ascii="宋体" w:hAnsi="宋体" w:cs="宋体" w:eastAsia="宋体" w:hint="default"/>
                            <w:sz w:val="18"/>
                            <w:szCs w:val="18"/>
                          </w:rPr>
                          <w:t>元，上期金额</w:t>
                        </w:r>
                      </w:p>
                      <w:p>
                        <w:pPr>
                          <w:pStyle w:val="TableParagraph"/>
                          <w:spacing w:line="240" w:lineRule="auto" w:before="63"/>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82,559,229.83</w:t>
                        </w:r>
                        <w:r>
                          <w:rPr>
                            <w:rFonts w:ascii="宋体" w:hAnsi="宋体" w:cs="宋体" w:eastAsia="宋体" w:hint="default"/>
                            <w:sz w:val="18"/>
                            <w:szCs w:val="18"/>
                          </w:rPr>
                          <w:t>元，重分类至</w:t>
                        </w:r>
                        <w:r>
                          <w:rPr>
                            <w:rFonts w:ascii="Times New Roman" w:hAnsi="Times New Roman" w:cs="Times New Roman" w:eastAsia="Times New Roman" w:hint="default"/>
                            <w:sz w:val="18"/>
                            <w:szCs w:val="18"/>
                          </w:rPr>
                          <w:t>“</w:t>
                        </w:r>
                        <w:r>
                          <w:rPr>
                            <w:rFonts w:ascii="宋体" w:hAnsi="宋体" w:cs="宋体" w:eastAsia="宋体" w:hint="default"/>
                            <w:sz w:val="18"/>
                            <w:szCs w:val="18"/>
                          </w:rPr>
                          <w:t>研发费用</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3"/>
        <w:spacing w:line="240" w:lineRule="auto" w:before="191"/>
        <w:ind w:left="134" w:right="7680"/>
        <w:jc w:val="left"/>
        <w:rPr>
          <w:b w:val="0"/>
          <w:bCs w:val="0"/>
        </w:rPr>
      </w:pPr>
      <w:bookmarkStart w:name="（2）重要会计估计变更" w:id="226"/>
      <w:bookmarkEnd w:id="226"/>
      <w:r>
        <w:rPr>
          <w:b w:val="0"/>
          <w:bCs w:val="0"/>
        </w:rPr>
      </w:r>
      <w:r>
        <w:rPr/>
        <w:t>（</w:t>
      </w:r>
      <w:r>
        <w:rPr>
          <w:rFonts w:ascii="Times New Roman" w:hAnsi="Times New Roman" w:cs="Times New Roman" w:eastAsia="Times New Roman" w:hint="default"/>
        </w:rPr>
        <w:t>2</w:t>
      </w:r>
      <w:r>
        <w:rPr/>
        <w:t>）重要会计估计变更</w:t>
      </w:r>
      <w:r>
        <w:rPr>
          <w:b w:val="0"/>
          <w:bCs w:val="0"/>
        </w:rPr>
      </w:r>
    </w:p>
    <w:p>
      <w:pPr>
        <w:spacing w:line="240" w:lineRule="auto" w:before="9"/>
        <w:rPr>
          <w:rFonts w:ascii="宋体" w:hAnsi="宋体" w:cs="宋体" w:eastAsia="宋体" w:hint="default"/>
          <w:b/>
          <w:bCs/>
          <w:sz w:val="26"/>
          <w:szCs w:val="26"/>
        </w:rPr>
      </w:pPr>
    </w:p>
    <w:p>
      <w:pPr>
        <w:spacing w:before="0"/>
        <w:ind w:left="134" w:right="768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left="134" w:right="7680"/>
        <w:jc w:val="left"/>
        <w:rPr>
          <w:b w:val="0"/>
          <w:bCs w:val="0"/>
        </w:rPr>
      </w:pPr>
      <w:bookmarkStart w:name="34、其他" w:id="227"/>
      <w:bookmarkEnd w:id="227"/>
      <w:r>
        <w:rPr>
          <w:b w:val="0"/>
          <w:bCs w:val="0"/>
        </w:rPr>
      </w:r>
      <w:r>
        <w:rPr>
          <w:rFonts w:ascii="Times New Roman" w:hAnsi="Times New Roman" w:cs="Times New Roman" w:eastAsia="Times New Roman" w:hint="default"/>
        </w:rPr>
        <w:t>34</w:t>
      </w:r>
      <w:r>
        <w:rPr/>
        <w:t>、其他</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475" w:right="10031"/>
        <w:jc w:val="center"/>
      </w:pPr>
      <w:r>
        <w:rPr/>
        <w:t>无。</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Heading2"/>
        <w:spacing w:line="240" w:lineRule="auto"/>
        <w:ind w:left="134" w:right="7680"/>
        <w:jc w:val="left"/>
        <w:rPr>
          <w:b w:val="0"/>
          <w:bCs w:val="0"/>
        </w:rPr>
      </w:pPr>
      <w:bookmarkStart w:name="六、税项" w:id="228"/>
      <w:bookmarkEnd w:id="228"/>
      <w:r>
        <w:rPr>
          <w:b w:val="0"/>
          <w:bCs w:val="0"/>
        </w:rPr>
      </w:r>
      <w:r>
        <w:rPr/>
        <w:t>六、税项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34" w:right="7680"/>
        <w:jc w:val="left"/>
        <w:rPr>
          <w:b w:val="0"/>
          <w:bCs w:val="0"/>
        </w:rPr>
      </w:pPr>
      <w:bookmarkStart w:name="1、主要税种及税率" w:id="229"/>
      <w:bookmarkEnd w:id="229"/>
      <w:r>
        <w:rPr>
          <w:b w:val="0"/>
          <w:bCs w:val="0"/>
        </w:rPr>
      </w:r>
      <w:r>
        <w:rPr>
          <w:rFonts w:ascii="Times New Roman" w:hAnsi="Times New Roman" w:cs="Times New Roman" w:eastAsia="Times New Roman" w:hint="default"/>
        </w:rPr>
        <w:t>1</w:t>
      </w:r>
      <w:r>
        <w:rPr/>
        <w:t>、主要税种及税率</w:t>
      </w:r>
      <w:r>
        <w:rPr>
          <w:b w:val="0"/>
          <w:bCs w:val="0"/>
        </w:rPr>
      </w:r>
    </w:p>
    <w:p>
      <w:pPr>
        <w:spacing w:line="240" w:lineRule="auto" w:before="9"/>
        <w:rPr>
          <w:rFonts w:ascii="宋体" w:hAnsi="宋体" w:cs="宋体" w:eastAsia="宋体" w:hint="default"/>
          <w:b/>
          <w:bCs/>
          <w:sz w:val="25"/>
          <w:szCs w:val="25"/>
        </w:rPr>
      </w:pPr>
    </w:p>
    <w:tbl>
      <w:tblPr>
        <w:tblW w:w="0" w:type="auto"/>
        <w:jc w:val="left"/>
        <w:tblInd w:w="129" w:type="dxa"/>
        <w:tblLayout w:type="fixed"/>
        <w:tblCellMar>
          <w:top w:w="0" w:type="dxa"/>
          <w:left w:w="0" w:type="dxa"/>
          <w:bottom w:w="0" w:type="dxa"/>
          <w:right w:w="0" w:type="dxa"/>
        </w:tblCellMar>
        <w:tblLook w:val="01E0"/>
      </w:tblPr>
      <w:tblGrid>
        <w:gridCol w:w="1844"/>
        <w:gridCol w:w="5103"/>
        <w:gridCol w:w="2624"/>
      </w:tblGrid>
      <w:tr>
        <w:trPr>
          <w:trHeight w:val="402" w:hRule="exact"/>
        </w:trPr>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税种</w:t>
            </w:r>
          </w:p>
        </w:tc>
        <w:tc>
          <w:tcPr>
            <w:tcW w:w="5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2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161" w:hRule="exact"/>
        </w:trPr>
        <w:tc>
          <w:tcPr>
            <w:tcW w:w="1844" w:type="dxa"/>
            <w:tcBorders>
              <w:top w:val="single" w:sz="4" w:space="0" w:color="000000"/>
              <w:left w:val="single" w:sz="4" w:space="0" w:color="000000"/>
              <w:bottom w:val="nil" w:sz="6" w:space="0" w:color="auto"/>
              <w:right w:val="single" w:sz="4" w:space="0" w:color="000000"/>
            </w:tcBorders>
            <w:shd w:val="clear" w:color="auto" w:fill="D2D2D2"/>
          </w:tcPr>
          <w:p>
            <w:pPr/>
          </w:p>
        </w:tc>
        <w:tc>
          <w:tcPr>
            <w:tcW w:w="5103" w:type="dxa"/>
            <w:vMerge w:val="restart"/>
            <w:tcBorders>
              <w:top w:val="single" w:sz="4" w:space="0" w:color="000000"/>
              <w:left w:val="single" w:sz="10" w:space="0" w:color="D2D2D2"/>
              <w:right w:val="single" w:sz="4" w:space="0" w:color="000000"/>
            </w:tcBorders>
          </w:tcPr>
          <w:p>
            <w:pPr>
              <w:pStyle w:val="TableParagraph"/>
              <w:spacing w:line="316" w:lineRule="auto" w:before="51"/>
              <w:ind w:left="15" w:right="28"/>
              <w:jc w:val="left"/>
              <w:rPr>
                <w:rFonts w:ascii="宋体" w:hAnsi="宋体" w:cs="宋体" w:eastAsia="宋体" w:hint="default"/>
                <w:sz w:val="18"/>
                <w:szCs w:val="18"/>
              </w:rPr>
            </w:pPr>
            <w:r>
              <w:rPr>
                <w:rFonts w:ascii="宋体" w:hAnsi="宋体" w:cs="宋体" w:eastAsia="宋体" w:hint="default"/>
                <w:sz w:val="18"/>
                <w:szCs w:val="18"/>
              </w:rPr>
              <w:t>按税法规定计算的销售货物和应税劳务收入为基础计算销项税 额，在扣除当期允许抵扣的进项税额后，差额部分为应交增值税</w:t>
            </w:r>
          </w:p>
        </w:tc>
        <w:tc>
          <w:tcPr>
            <w:tcW w:w="2624"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16%</w:t>
            </w: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p>
        </w:tc>
      </w:tr>
      <w:tr>
        <w:trPr>
          <w:trHeight w:val="392" w:hRule="exact"/>
        </w:trPr>
        <w:tc>
          <w:tcPr>
            <w:tcW w:w="18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5103" w:type="dxa"/>
            <w:vMerge/>
            <w:tcBorders>
              <w:left w:val="single" w:sz="10" w:space="0" w:color="D2D2D2"/>
              <w:right w:val="single" w:sz="4" w:space="0" w:color="000000"/>
            </w:tcBorders>
          </w:tcPr>
          <w:p>
            <w:pPr/>
          </w:p>
        </w:tc>
        <w:tc>
          <w:tcPr>
            <w:tcW w:w="2624" w:type="dxa"/>
            <w:vMerge/>
            <w:tcBorders>
              <w:left w:val="single" w:sz="4" w:space="0" w:color="000000"/>
              <w:right w:val="single" w:sz="4" w:space="0" w:color="000000"/>
            </w:tcBorders>
          </w:tcPr>
          <w:p>
            <w:pPr/>
          </w:p>
        </w:tc>
      </w:tr>
      <w:tr>
        <w:trPr>
          <w:trHeight w:val="161" w:hRule="exact"/>
        </w:trPr>
        <w:tc>
          <w:tcPr>
            <w:tcW w:w="1844" w:type="dxa"/>
            <w:tcBorders>
              <w:top w:val="nil" w:sz="6" w:space="0" w:color="auto"/>
              <w:left w:val="single" w:sz="4" w:space="0" w:color="000000"/>
              <w:bottom w:val="single" w:sz="4" w:space="0" w:color="000000"/>
              <w:right w:val="single" w:sz="4" w:space="0" w:color="000000"/>
            </w:tcBorders>
            <w:shd w:val="clear" w:color="auto" w:fill="D2D2D2"/>
          </w:tcPr>
          <w:p>
            <w:pPr/>
          </w:p>
        </w:tc>
        <w:tc>
          <w:tcPr>
            <w:tcW w:w="5103" w:type="dxa"/>
            <w:vMerge/>
            <w:tcBorders>
              <w:left w:val="single" w:sz="10" w:space="0" w:color="D2D2D2"/>
              <w:bottom w:val="single" w:sz="4" w:space="0" w:color="000000"/>
              <w:right w:val="single" w:sz="4" w:space="0" w:color="000000"/>
            </w:tcBorders>
          </w:tcPr>
          <w:p>
            <w:pPr/>
          </w:p>
        </w:tc>
        <w:tc>
          <w:tcPr>
            <w:tcW w:w="2624" w:type="dxa"/>
            <w:vMerge/>
            <w:tcBorders>
              <w:left w:val="single" w:sz="4" w:space="0" w:color="000000"/>
              <w:bottom w:val="single" w:sz="4" w:space="0" w:color="000000"/>
              <w:right w:val="single" w:sz="4" w:space="0" w:color="000000"/>
            </w:tcBorders>
          </w:tcPr>
          <w:p>
            <w:pPr/>
          </w:p>
        </w:tc>
      </w:tr>
      <w:tr>
        <w:trPr>
          <w:trHeight w:val="402" w:hRule="exact"/>
        </w:trPr>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51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按实际缴纳的增值税计缴</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7%</w:t>
            </w:r>
          </w:p>
        </w:tc>
      </w:tr>
      <w:tr>
        <w:trPr>
          <w:trHeight w:val="402" w:hRule="exact"/>
        </w:trPr>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51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按应纳税所得额计缴</w:t>
            </w:r>
          </w:p>
        </w:tc>
        <w:tc>
          <w:tcPr>
            <w:tcW w:w="2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【注】</w:t>
            </w:r>
          </w:p>
        </w:tc>
      </w:tr>
    </w:tbl>
    <w:p>
      <w:pPr>
        <w:pStyle w:val="BodyText"/>
        <w:spacing w:line="300" w:lineRule="auto" w:before="51"/>
        <w:ind w:left="134" w:right="1176"/>
        <w:jc w:val="left"/>
      </w:pPr>
      <w:r>
        <w:rPr>
          <w:spacing w:val="-6"/>
        </w:rPr>
        <w:t>注：（</w:t>
      </w:r>
      <w:r>
        <w:rPr>
          <w:rFonts w:ascii="Times New Roman" w:hAnsi="Times New Roman" w:cs="Times New Roman" w:eastAsia="Times New Roman" w:hint="default"/>
          <w:spacing w:val="-6"/>
        </w:rPr>
        <w:t>1</w:t>
      </w:r>
      <w:r>
        <w:rPr>
          <w:spacing w:val="-6"/>
        </w:rPr>
        <w:t>）按照财税〔</w:t>
      </w:r>
      <w:r>
        <w:rPr>
          <w:rFonts w:ascii="Times New Roman" w:hAnsi="Times New Roman" w:cs="Times New Roman" w:eastAsia="Times New Roman" w:hint="default"/>
          <w:spacing w:val="-6"/>
        </w:rPr>
        <w:t>2018</w:t>
      </w:r>
      <w:r>
        <w:rPr>
          <w:spacing w:val="-6"/>
        </w:rPr>
        <w:t>〕</w:t>
      </w:r>
      <w:r>
        <w:rPr>
          <w:rFonts w:ascii="Times New Roman" w:hAnsi="Times New Roman" w:cs="Times New Roman" w:eastAsia="Times New Roman" w:hint="default"/>
          <w:spacing w:val="-6"/>
        </w:rPr>
        <w:t>32</w:t>
      </w:r>
      <w:r>
        <w:rPr>
          <w:rFonts w:ascii="Times New Roman" w:hAnsi="Times New Roman" w:cs="Times New Roman" w:eastAsia="Times New Roman" w:hint="default"/>
          <w:spacing w:val="2"/>
        </w:rPr>
        <w:t> </w:t>
      </w:r>
      <w:r>
        <w:rPr>
          <w:spacing w:val="-6"/>
        </w:rPr>
        <w:t>号《关于调整增值税税率的通知》，自</w:t>
      </w:r>
      <w:r>
        <w:rPr>
          <w:spacing w:val="-43"/>
        </w:rPr>
        <w:t>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w:t>
      </w:r>
      <w:r>
        <w:rPr>
          <w:spacing w:val="-43"/>
        </w:rPr>
        <w:t> </w:t>
      </w:r>
      <w:r>
        <w:rPr>
          <w:rFonts w:ascii="Times New Roman" w:hAnsi="Times New Roman" w:cs="Times New Roman" w:eastAsia="Times New Roman" w:hint="default"/>
        </w:rPr>
        <w:t>5</w:t>
      </w:r>
      <w:r>
        <w:rPr>
          <w:rFonts w:ascii="Times New Roman" w:hAnsi="Times New Roman" w:cs="Times New Roman" w:eastAsia="Times New Roman" w:hint="default"/>
          <w:spacing w:val="3"/>
        </w:rPr>
        <w:t> </w:t>
      </w:r>
      <w:r>
        <w:rPr/>
        <w:t>月</w:t>
      </w:r>
      <w:r>
        <w:rPr>
          <w:spacing w:val="-43"/>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日起，纳税人发生增值税应税销售行为 或者进口货物，原适用</w:t>
      </w:r>
      <w:r>
        <w:rPr>
          <w:spacing w:val="-46"/>
        </w:rPr>
        <w:t> </w:t>
      </w:r>
      <w:r>
        <w:rPr>
          <w:rFonts w:ascii="Times New Roman" w:hAnsi="Times New Roman" w:cs="Times New Roman" w:eastAsia="Times New Roman" w:hint="default"/>
        </w:rPr>
        <w:t>17%</w:t>
      </w:r>
      <w:r>
        <w:rPr/>
        <w:t>税率的，税率调整为</w:t>
      </w:r>
      <w:r>
        <w:rPr>
          <w:spacing w:val="-46"/>
        </w:rPr>
        <w:t> </w:t>
      </w:r>
      <w:r>
        <w:rPr>
          <w:rFonts w:ascii="Times New Roman" w:hAnsi="Times New Roman" w:cs="Times New Roman" w:eastAsia="Times New Roman" w:hint="default"/>
        </w:rPr>
        <w:t>16%</w:t>
      </w:r>
      <w:r>
        <w:rPr/>
        <w:t>。</w:t>
      </w:r>
    </w:p>
    <w:p>
      <w:pPr>
        <w:pStyle w:val="BodyText"/>
        <w:spacing w:line="240" w:lineRule="auto" w:before="53"/>
        <w:ind w:left="404" w:right="1032"/>
        <w:jc w:val="left"/>
      </w:pPr>
      <w:r>
        <w:rPr/>
        <w:t>（</w:t>
      </w:r>
      <w:r>
        <w:rPr>
          <w:rFonts w:ascii="Times New Roman" w:hAnsi="Times New Roman" w:cs="Times New Roman" w:eastAsia="Times New Roman" w:hint="default"/>
        </w:rPr>
        <w:t>2</w:t>
      </w:r>
      <w:r>
        <w:rPr/>
        <w:t>）母公司北京神州泰岳软件股份有限公司法定所得税率为</w:t>
      </w:r>
      <w:r>
        <w:rPr>
          <w:spacing w:val="-46"/>
        </w:rPr>
        <w:t> </w:t>
      </w:r>
      <w:r>
        <w:rPr>
          <w:rFonts w:ascii="Times New Roman" w:hAnsi="Times New Roman" w:cs="Times New Roman" w:eastAsia="Times New Roman" w:hint="default"/>
        </w:rPr>
        <w:t>25%</w:t>
      </w:r>
      <w:r>
        <w:rPr/>
        <w:t>。</w:t>
      </w:r>
    </w:p>
    <w:p>
      <w:pPr>
        <w:spacing w:after="0" w:line="240" w:lineRule="auto"/>
        <w:jc w:val="left"/>
        <w:sectPr>
          <w:pgSz w:w="11910" w:h="16840"/>
          <w:pgMar w:header="851" w:footer="979" w:top="1400" w:bottom="1160" w:left="100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before="6"/>
        <w:ind w:left="424" w:right="0"/>
        <w:jc w:val="left"/>
      </w:pPr>
      <w:r>
        <w:rPr/>
        <w:t>（</w:t>
      </w:r>
      <w:r>
        <w:rPr>
          <w:rFonts w:ascii="Times New Roman" w:hAnsi="Times New Roman" w:cs="Times New Roman" w:eastAsia="Times New Roman" w:hint="default"/>
        </w:rPr>
        <w:t>3</w:t>
      </w:r>
      <w:r>
        <w:rPr/>
        <w:t>）存在不同企业所得税税率纳税主体，披露情况说明如下：</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CAMEL GAMES</w:t>
            </w:r>
            <w:r>
              <w:rPr>
                <w:rFonts w:ascii="Times New Roman"/>
                <w:spacing w:val="-8"/>
                <w:sz w:val="18"/>
              </w:rPr>
              <w:t> </w:t>
            </w:r>
            <w:r>
              <w:rPr>
                <w:rFonts w:ascii="Times New Roman"/>
                <w:sz w:val="18"/>
              </w:rPr>
              <w:t>INC.</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Bridge Minds Consulting Pte</w:t>
            </w:r>
            <w:r>
              <w:rPr>
                <w:rFonts w:ascii="Times New Roman"/>
                <w:spacing w:val="-5"/>
                <w:sz w:val="18"/>
              </w:rPr>
              <w:t> </w:t>
            </w:r>
            <w:r>
              <w:rPr>
                <w:rFonts w:ascii="Times New Roman"/>
                <w:sz w:val="18"/>
              </w:rPr>
              <w:t>Ltd</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17%</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宁波普天通信技术（香港）有限公司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16.5%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神州泰岳（香港）有限公司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16.5%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CAMEL GAMES</w:t>
            </w:r>
            <w:r>
              <w:rPr>
                <w:rFonts w:ascii="Times New Roman"/>
                <w:spacing w:val="-8"/>
                <w:sz w:val="18"/>
              </w:rPr>
              <w:t> </w:t>
            </w:r>
            <w:r>
              <w:rPr>
                <w:rFonts w:ascii="Times New Roman"/>
                <w:sz w:val="18"/>
              </w:rPr>
              <w:t>LIMITED</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16.5%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泰岳小漫（香港）有限公司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16.5%</w:t>
            </w:r>
          </w:p>
        </w:tc>
      </w:tr>
    </w:tbl>
    <w:p>
      <w:pPr>
        <w:pStyle w:val="BodyText"/>
        <w:spacing w:line="300" w:lineRule="auto" w:before="51"/>
        <w:ind w:right="1130"/>
        <w:jc w:val="both"/>
      </w:pPr>
      <w:r>
        <w:rPr>
          <w:rFonts w:ascii="Times New Roman" w:hAnsi="Times New Roman" w:cs="Times New Roman" w:eastAsia="Times New Roman" w:hint="default"/>
        </w:rPr>
        <w:t>*</w:t>
      </w:r>
      <w:r>
        <w:rPr/>
        <w:t>：所在地为美国特拉华州，公司所得税分为联邦所得税和特拉华州所得税。其中：联邦所得税</w:t>
      </w:r>
      <w:r>
        <w:rPr>
          <w:spacing w:val="-53"/>
        </w:rPr>
        <w:t> </w:t>
      </w:r>
      <w:r>
        <w:rPr>
          <w:rFonts w:ascii="Times New Roman" w:hAnsi="Times New Roman" w:cs="Times New Roman" w:eastAsia="Times New Roman" w:hint="default"/>
        </w:rPr>
        <w:t>21%</w:t>
      </w:r>
      <w:r>
        <w:rPr/>
        <w:t>，特拉华州所得税税率 为</w:t>
      </w:r>
      <w:r>
        <w:rPr>
          <w:spacing w:val="-46"/>
        </w:rPr>
        <w:t> </w:t>
      </w:r>
      <w:r>
        <w:rPr>
          <w:rFonts w:ascii="Times New Roman" w:hAnsi="Times New Roman" w:cs="Times New Roman" w:eastAsia="Times New Roman" w:hint="default"/>
        </w:rPr>
        <w:t>8.7%</w:t>
      </w:r>
      <w:r>
        <w:rPr/>
        <w:t>。</w:t>
      </w:r>
    </w:p>
    <w:p>
      <w:pPr>
        <w:pStyle w:val="BodyText"/>
        <w:spacing w:line="240" w:lineRule="auto" w:before="53"/>
        <w:ind w:left="424" w:right="0"/>
        <w:jc w:val="left"/>
      </w:pPr>
      <w:r>
        <w:rPr/>
        <w:t>（</w:t>
      </w:r>
      <w:r>
        <w:rPr>
          <w:rFonts w:ascii="Times New Roman" w:hAnsi="Times New Roman" w:cs="Times New Roman" w:eastAsia="Times New Roman" w:hint="default"/>
        </w:rPr>
        <w:t>4</w:t>
      </w:r>
      <w:r>
        <w:rPr/>
        <w:t>）除上述公司外，其余子公司法定所得税税率均为</w:t>
      </w:r>
      <w:r>
        <w:rPr>
          <w:spacing w:val="-46"/>
        </w:rPr>
        <w:t> </w:t>
      </w:r>
      <w:r>
        <w:rPr>
          <w:rFonts w:ascii="Times New Roman" w:hAnsi="Times New Roman" w:cs="Times New Roman" w:eastAsia="Times New Roman" w:hint="default"/>
        </w:rPr>
        <w:t>25%</w:t>
      </w:r>
      <w:r>
        <w:rPr/>
        <w:t>。</w:t>
      </w:r>
    </w:p>
    <w:p>
      <w:pPr>
        <w:spacing w:line="240" w:lineRule="auto" w:before="9"/>
        <w:rPr>
          <w:rFonts w:ascii="宋体" w:hAnsi="宋体" w:cs="宋体" w:eastAsia="宋体" w:hint="default"/>
          <w:sz w:val="25"/>
          <w:szCs w:val="25"/>
        </w:rPr>
      </w:pPr>
    </w:p>
    <w:p>
      <w:pPr>
        <w:pStyle w:val="Heading3"/>
        <w:spacing w:line="240" w:lineRule="auto"/>
        <w:ind w:right="0"/>
        <w:jc w:val="both"/>
        <w:rPr>
          <w:b w:val="0"/>
          <w:bCs w:val="0"/>
        </w:rPr>
      </w:pPr>
      <w:bookmarkStart w:name="2、税收优惠" w:id="230"/>
      <w:bookmarkEnd w:id="230"/>
      <w:r>
        <w:rPr>
          <w:b w:val="0"/>
          <w:bCs w:val="0"/>
        </w:rPr>
      </w:r>
      <w:r>
        <w:rPr>
          <w:rFonts w:ascii="Times New Roman" w:hAnsi="Times New Roman" w:cs="Times New Roman" w:eastAsia="Times New Roman" w:hint="default"/>
        </w:rPr>
        <w:t>2</w:t>
      </w:r>
      <w:r>
        <w:rPr/>
        <w:t>、税收优惠</w:t>
      </w:r>
      <w:r>
        <w:rPr>
          <w:b w:val="0"/>
          <w:bCs w:val="0"/>
        </w:rPr>
      </w:r>
    </w:p>
    <w:p>
      <w:pPr>
        <w:spacing w:line="240" w:lineRule="auto" w:before="7"/>
        <w:rPr>
          <w:rFonts w:ascii="宋体" w:hAnsi="宋体" w:cs="宋体" w:eastAsia="宋体" w:hint="default"/>
          <w:b/>
          <w:bCs/>
          <w:sz w:val="32"/>
          <w:szCs w:val="32"/>
        </w:rPr>
      </w:pPr>
    </w:p>
    <w:p>
      <w:pPr>
        <w:pStyle w:val="BodyText"/>
        <w:spacing w:line="451" w:lineRule="auto"/>
        <w:ind w:left="514" w:right="1115" w:firstLine="1"/>
        <w:jc w:val="left"/>
      </w:pPr>
      <w:r>
        <w:rPr>
          <w:rFonts w:ascii="Times New Roman" w:hAnsi="Times New Roman" w:cs="Times New Roman" w:eastAsia="Times New Roman" w:hint="default"/>
          <w:b/>
          <w:bCs/>
        </w:rPr>
        <w:t>1</w:t>
      </w:r>
      <w:r>
        <w:rPr>
          <w:rFonts w:ascii="宋体" w:hAnsi="宋体" w:cs="宋体" w:eastAsia="宋体" w:hint="default"/>
          <w:b/>
          <w:bCs/>
        </w:rPr>
        <w:t>、增值税</w:t>
      </w:r>
      <w:r>
        <w:rPr>
          <w:rFonts w:ascii="宋体" w:hAnsi="宋体" w:cs="宋体" w:eastAsia="宋体" w:hint="default"/>
          <w:b/>
          <w:bCs/>
          <w:w w:val="99"/>
        </w:rPr>
        <w:t> </w:t>
      </w:r>
      <w:r>
        <w:rPr>
          <w:spacing w:val="-2"/>
        </w:rPr>
        <w:t>根据国务院</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1</w:t>
      </w:r>
      <w:r>
        <w:rPr>
          <w:spacing w:val="-2"/>
        </w:rPr>
        <w:t>月发布的国发【</w:t>
      </w:r>
      <w:r>
        <w:rPr>
          <w:rFonts w:ascii="Times New Roman" w:hAnsi="Times New Roman" w:cs="Times New Roman" w:eastAsia="Times New Roman" w:hint="default"/>
          <w:spacing w:val="-2"/>
        </w:rPr>
        <w:t>2011</w:t>
      </w:r>
      <w:r>
        <w:rPr>
          <w:spacing w:val="-2"/>
        </w:rPr>
        <w:t>】</w:t>
      </w:r>
      <w:r>
        <w:rPr>
          <w:rFonts w:ascii="Times New Roman" w:hAnsi="Times New Roman" w:cs="Times New Roman" w:eastAsia="Times New Roman" w:hint="default"/>
          <w:spacing w:val="-2"/>
        </w:rPr>
        <w:t>4</w:t>
      </w:r>
      <w:r>
        <w:rPr>
          <w:spacing w:val="-2"/>
        </w:rPr>
        <w:t>号《关于印发进一步鼓励软件产业和集成电路产业发展若干政策的通知》和</w:t>
      </w:r>
    </w:p>
    <w:p>
      <w:pPr>
        <w:pStyle w:val="BodyText"/>
        <w:spacing w:line="458" w:lineRule="auto" w:before="43"/>
        <w:ind w:right="1130"/>
        <w:jc w:val="both"/>
      </w:pPr>
      <w:r>
        <w:rPr/>
        <w:t>财政部、国家税务总局发布的财税【</w:t>
      </w:r>
      <w:r>
        <w:rPr>
          <w:rFonts w:ascii="Times New Roman" w:hAnsi="Times New Roman" w:cs="Times New Roman" w:eastAsia="Times New Roman" w:hint="default"/>
        </w:rPr>
        <w:t>2011</w:t>
      </w:r>
      <w:r>
        <w:rPr/>
        <w:t>】</w:t>
      </w:r>
      <w:r>
        <w:rPr>
          <w:rFonts w:ascii="Times New Roman" w:hAnsi="Times New Roman" w:cs="Times New Roman" w:eastAsia="Times New Roman" w:hint="default"/>
        </w:rPr>
        <w:t>100</w:t>
      </w:r>
      <w:r>
        <w:rPr/>
        <w:t>号《关于软件产品增值税政策的通知》中的有关规定，公司及下列子公司本</w:t>
      </w:r>
      <w:r>
        <w:rPr>
          <w:spacing w:val="-83"/>
        </w:rPr>
        <w:t> </w:t>
      </w:r>
      <w:r>
        <w:rPr>
          <w:spacing w:val="-83"/>
        </w:rPr>
      </w:r>
      <w:r>
        <w:rPr/>
        <w:t>报告期实际享受了“销售自行开发生产的软件产品时对增值税实际税负超过</w:t>
      </w:r>
      <w:r>
        <w:rPr>
          <w:rFonts w:ascii="Times New Roman" w:hAnsi="Times New Roman" w:cs="Times New Roman" w:eastAsia="Times New Roman" w:hint="default"/>
        </w:rPr>
        <w:t>3%</w:t>
      </w:r>
      <w:r>
        <w:rPr/>
        <w:t>的部分即征即退”的优惠：北京神州祥升软</w:t>
      </w:r>
      <w:r>
        <w:rPr>
          <w:spacing w:val="-55"/>
        </w:rPr>
        <w:t> </w:t>
      </w:r>
      <w:r>
        <w:rPr>
          <w:spacing w:val="-55"/>
        </w:rPr>
      </w:r>
      <w:r>
        <w:rPr>
          <w:spacing w:val="-5"/>
        </w:rPr>
        <w:t>件有限公司、奇点新源国际技术开发（北京）有限公司、天津泰岳小漫科技有限公司、中科鼎富（北京）科技发展有限公司，</w:t>
      </w:r>
      <w:r>
        <w:rPr>
          <w:spacing w:val="-81"/>
        </w:rPr>
        <w:t> </w:t>
      </w:r>
      <w:r>
        <w:rPr>
          <w:spacing w:val="-81"/>
        </w:rPr>
      </w:r>
      <w:r>
        <w:rPr/>
        <w:t>本公司孙公司宁波金信通讯技术有限公司、宁波移畅通信设备有限公司、宁波高新区捷远科技有限公司。</w:t>
      </w:r>
    </w:p>
    <w:p>
      <w:pPr>
        <w:pStyle w:val="BodyText"/>
        <w:spacing w:line="468" w:lineRule="auto" w:before="68"/>
        <w:ind w:right="1032" w:firstLine="360"/>
        <w:jc w:val="left"/>
      </w:pPr>
      <w:r>
        <w:rPr>
          <w:spacing w:val="-2"/>
        </w:rPr>
        <w:t>根据财政部和国家税务总局财税【</w:t>
      </w:r>
      <w:r>
        <w:rPr>
          <w:rFonts w:ascii="Times New Roman" w:hAnsi="Times New Roman" w:cs="Times New Roman" w:eastAsia="Times New Roman" w:hint="default"/>
          <w:spacing w:val="-2"/>
        </w:rPr>
        <w:t>2016</w:t>
      </w:r>
      <w:r>
        <w:rPr>
          <w:spacing w:val="-2"/>
        </w:rPr>
        <w:t>】</w:t>
      </w:r>
      <w:r>
        <w:rPr>
          <w:rFonts w:ascii="Times New Roman" w:hAnsi="Times New Roman" w:cs="Times New Roman" w:eastAsia="Times New Roman" w:hint="default"/>
          <w:spacing w:val="-2"/>
        </w:rPr>
        <w:t>36</w:t>
      </w:r>
      <w:r>
        <w:rPr>
          <w:spacing w:val="-2"/>
        </w:rPr>
        <w:t>号《关于全面推开营业税改征增值税试点的通知》，公司及下列子公司本报</w:t>
      </w:r>
      <w:r>
        <w:rPr/>
        <w:t> 告期实际享受了“从事技术转让、技术开发业务和与之相关的技术咨询、技术服务业务取得的收入，符合条件免征增值税”</w:t>
      </w:r>
      <w:r>
        <w:rPr>
          <w:spacing w:val="-85"/>
        </w:rPr>
        <w:t> </w:t>
      </w:r>
      <w:r>
        <w:rPr>
          <w:spacing w:val="-85"/>
        </w:rPr>
      </w:r>
      <w:r>
        <w:rPr>
          <w:spacing w:val="-2"/>
        </w:rPr>
        <w:t>的优惠：北京新媒传信科技有限公司、中科鼎富（北京）科技发展有限公司、北京神州祥升软件有限公司、北京华泰德丰科</w:t>
      </w:r>
      <w:r>
        <w:rPr>
          <w:spacing w:val="-68"/>
        </w:rPr>
        <w:t> </w:t>
      </w:r>
      <w:r>
        <w:rPr>
          <w:spacing w:val="-68"/>
        </w:rPr>
      </w:r>
      <w:r>
        <w:rPr/>
        <w:t>技有限公司，北京壳木软件有限责任公司。</w:t>
      </w:r>
    </w:p>
    <w:p>
      <w:pPr>
        <w:pStyle w:val="BodyText"/>
        <w:spacing w:line="463" w:lineRule="auto" w:before="61"/>
        <w:ind w:right="1131" w:firstLine="360"/>
        <w:jc w:val="both"/>
      </w:pPr>
      <w:r>
        <w:rPr/>
        <w:t>根据财税【</w:t>
      </w:r>
      <w:r>
        <w:rPr>
          <w:rFonts w:ascii="Times New Roman" w:hAnsi="Times New Roman" w:cs="Times New Roman" w:eastAsia="Times New Roman" w:hint="default"/>
        </w:rPr>
        <w:t>2015</w:t>
      </w:r>
      <w:r>
        <w:rPr/>
        <w:t>】</w:t>
      </w:r>
      <w:r>
        <w:rPr>
          <w:rFonts w:ascii="Times New Roman" w:hAnsi="Times New Roman" w:cs="Times New Roman" w:eastAsia="Times New Roman" w:hint="default"/>
        </w:rPr>
        <w:t>118</w:t>
      </w:r>
      <w:r>
        <w:rPr/>
        <w:t>号《关于影视等出口服务适用增值税率零税率政策的通知》的有关规定，本公司子公司天津泰岳 </w:t>
      </w:r>
      <w:r>
        <w:rPr>
          <w:spacing w:val="-2"/>
        </w:rPr>
        <w:t>小漫科技有限公司，本公司孙公司北京壳木软件有限责任公司、霍尔果斯小小橙软件开发有限责任公司、霍尔果斯于艺网络</w:t>
      </w:r>
      <w:r>
        <w:rPr>
          <w:spacing w:val="-66"/>
        </w:rPr>
        <w:t> </w:t>
      </w:r>
      <w:r>
        <w:rPr>
          <w:spacing w:val="-66"/>
        </w:rPr>
      </w:r>
      <w:r>
        <w:rPr/>
        <w:t>科技有限公司向境外单位提供服务产生的收入免征增值税。</w:t>
      </w:r>
    </w:p>
    <w:p>
      <w:pPr>
        <w:pStyle w:val="BodyText"/>
        <w:spacing w:line="451" w:lineRule="auto" w:before="65"/>
        <w:ind w:left="514" w:right="0" w:firstLine="1"/>
        <w:jc w:val="left"/>
      </w:pPr>
      <w:r>
        <w:rPr>
          <w:rFonts w:ascii="Times New Roman" w:hAnsi="Times New Roman" w:cs="Times New Roman" w:eastAsia="Times New Roman" w:hint="default"/>
          <w:b/>
          <w:bCs/>
        </w:rPr>
        <w:t>2</w:t>
      </w:r>
      <w:r>
        <w:rPr>
          <w:rFonts w:ascii="宋体" w:hAnsi="宋体" w:cs="宋体" w:eastAsia="宋体" w:hint="default"/>
          <w:b/>
          <w:bCs/>
        </w:rPr>
        <w:t>、企业所得税</w:t>
      </w:r>
      <w:r>
        <w:rPr>
          <w:rFonts w:ascii="宋体" w:hAnsi="宋体" w:cs="宋体" w:eastAsia="宋体" w:hint="default"/>
          <w:b/>
          <w:bCs/>
          <w:w w:val="99"/>
        </w:rPr>
        <w:t> </w:t>
      </w:r>
      <w:r>
        <w:rPr>
          <w:spacing w:val="-4"/>
        </w:rPr>
        <w:t>本公司与本公司子公司北京新媒传信科技有限公司、重庆新媒农信科技有限公司、北京神州泰岳智能数据技术有限公司、</w:t>
      </w:r>
    </w:p>
    <w:p>
      <w:pPr>
        <w:pStyle w:val="BodyText"/>
        <w:spacing w:line="477" w:lineRule="auto" w:before="73"/>
        <w:ind w:right="1130"/>
        <w:jc w:val="both"/>
      </w:pPr>
      <w:r>
        <w:rPr>
          <w:spacing w:val="-2"/>
        </w:rPr>
        <w:t>宁波普天通信技术有限公司、北京广通神州网络技术有限公司、奇点新源国际技术开发（北京）有限公司、北京华泰德丰技</w:t>
      </w:r>
      <w:r>
        <w:rPr>
          <w:spacing w:val="-66"/>
        </w:rPr>
        <w:t> </w:t>
      </w:r>
      <w:r>
        <w:rPr>
          <w:spacing w:val="-66"/>
        </w:rPr>
      </w:r>
      <w:r>
        <w:rPr>
          <w:spacing w:val="-2"/>
        </w:rPr>
        <w:t>术有限公司、北京融聚世界网络科技有限公司、天津泰岳小漫科技有限公司，本公司孙公司宁波金信通讯技术有限公司、宁</w:t>
      </w:r>
      <w:r>
        <w:rPr>
          <w:spacing w:val="-66"/>
        </w:rPr>
        <w:t> </w:t>
      </w:r>
      <w:r>
        <w:rPr>
          <w:spacing w:val="-66"/>
        </w:rPr>
      </w:r>
      <w:r>
        <w:rPr>
          <w:spacing w:val="-5"/>
        </w:rPr>
        <w:t>波高新区捷远科技有限公司、北京壳木软件有限责任公司，根据《企业所得税法》、《高新技术企业认定管理办法》等规定，</w:t>
      </w:r>
      <w:r>
        <w:rPr>
          <w:spacing w:val="-81"/>
        </w:rPr>
        <w:t> </w:t>
      </w:r>
      <w:r>
        <w:rPr>
          <w:spacing w:val="-81"/>
        </w:rPr>
      </w:r>
      <w:r>
        <w:rPr/>
        <w:t>本年减按</w:t>
      </w:r>
      <w:r>
        <w:rPr>
          <w:rFonts w:ascii="Times New Roman" w:hAnsi="Times New Roman" w:cs="Times New Roman" w:eastAsia="Times New Roman" w:hint="default"/>
        </w:rPr>
        <w:t>15%</w:t>
      </w:r>
      <w:r>
        <w:rPr/>
        <w:t>的税率征收企业所得税。</w:t>
      </w:r>
    </w:p>
    <w:p>
      <w:pPr>
        <w:spacing w:after="0" w:line="477" w:lineRule="auto"/>
        <w:jc w:val="both"/>
        <w:sectPr>
          <w:pgSz w:w="11910" w:h="16840"/>
          <w:pgMar w:header="851" w:footer="979" w:top="1400" w:bottom="1160" w:left="98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BodyText"/>
        <w:spacing w:line="451" w:lineRule="auto" w:before="83"/>
        <w:ind w:right="0" w:firstLine="360"/>
        <w:jc w:val="left"/>
      </w:pPr>
      <w:r>
        <w:rPr>
          <w:spacing w:val="-2"/>
        </w:rPr>
        <w:t>中科鼎富（北京）科技发展有限公司</w:t>
      </w:r>
      <w:r>
        <w:rPr>
          <w:rFonts w:ascii="Times New Roman" w:hAnsi="Times New Roman" w:cs="Times New Roman" w:eastAsia="Times New Roman" w:hint="default"/>
          <w:spacing w:val="-2"/>
        </w:rPr>
        <w:t>2014</w:t>
      </w:r>
      <w:r>
        <w:rPr>
          <w:spacing w:val="-2"/>
        </w:rPr>
        <w:t>年被批准认定为软件企业，自</w:t>
      </w:r>
      <w:r>
        <w:rPr>
          <w:rFonts w:ascii="Times New Roman" w:hAnsi="Times New Roman" w:cs="Times New Roman" w:eastAsia="Times New Roman" w:hint="default"/>
          <w:spacing w:val="-2"/>
        </w:rPr>
        <w:t>2014</w:t>
      </w:r>
      <w:r>
        <w:rPr>
          <w:spacing w:val="-2"/>
        </w:rPr>
        <w:t>年起享受所得税两免三减半优惠政策，本年</w:t>
      </w:r>
      <w:r>
        <w:rPr/>
        <w:t> 为所得税两免三减半的第五年，即减按</w:t>
      </w:r>
      <w:r>
        <w:rPr>
          <w:rFonts w:ascii="Times New Roman" w:hAnsi="Times New Roman" w:cs="Times New Roman" w:eastAsia="Times New Roman" w:hint="default"/>
        </w:rPr>
        <w:t>12.5%</w:t>
      </w:r>
      <w:r>
        <w:rPr/>
        <w:t>的税率征收企业所得税。</w:t>
      </w:r>
    </w:p>
    <w:p>
      <w:pPr>
        <w:pStyle w:val="BodyText"/>
        <w:spacing w:line="451" w:lineRule="auto" w:before="43"/>
        <w:ind w:right="0" w:firstLine="360"/>
        <w:jc w:val="left"/>
      </w:pPr>
      <w:r>
        <w:rPr>
          <w:spacing w:val="-2"/>
        </w:rPr>
        <w:t>北京神州泰岳信息安全技术有限公司</w:t>
      </w:r>
      <w:r>
        <w:rPr>
          <w:rFonts w:ascii="Times New Roman" w:hAnsi="Times New Roman" w:cs="Times New Roman" w:eastAsia="Times New Roman" w:hint="default"/>
          <w:spacing w:val="-2"/>
        </w:rPr>
        <w:t>2014</w:t>
      </w:r>
      <w:r>
        <w:rPr>
          <w:spacing w:val="-2"/>
        </w:rPr>
        <w:t>年被批准认定为软件企业，自</w:t>
      </w:r>
      <w:r>
        <w:rPr>
          <w:rFonts w:ascii="Times New Roman" w:hAnsi="Times New Roman" w:cs="Times New Roman" w:eastAsia="Times New Roman" w:hint="default"/>
          <w:spacing w:val="-2"/>
        </w:rPr>
        <w:t>2015</w:t>
      </w:r>
      <w:r>
        <w:rPr>
          <w:spacing w:val="-2"/>
        </w:rPr>
        <w:t>年起享受所得税两免三减半优惠政策，本年</w:t>
      </w:r>
      <w:r>
        <w:rPr/>
        <w:t> 为所得税两免三减半的第四年，即减按</w:t>
      </w:r>
      <w:r>
        <w:rPr>
          <w:rFonts w:ascii="Times New Roman" w:hAnsi="Times New Roman" w:cs="Times New Roman" w:eastAsia="Times New Roman" w:hint="default"/>
        </w:rPr>
        <w:t>12.5%</w:t>
      </w:r>
      <w:r>
        <w:rPr/>
        <w:t>的税率征收企业所得税。</w:t>
      </w:r>
    </w:p>
    <w:p>
      <w:pPr>
        <w:pStyle w:val="BodyText"/>
        <w:spacing w:line="451" w:lineRule="auto" w:before="43"/>
        <w:ind w:right="0" w:firstLine="360"/>
        <w:jc w:val="left"/>
      </w:pPr>
      <w:r>
        <w:rPr>
          <w:spacing w:val="-2"/>
        </w:rPr>
        <w:t>北京安纳西科技有限公司</w:t>
      </w:r>
      <w:r>
        <w:rPr>
          <w:rFonts w:ascii="Times New Roman" w:hAnsi="Times New Roman" w:cs="Times New Roman" w:eastAsia="Times New Roman" w:hint="default"/>
          <w:spacing w:val="-2"/>
        </w:rPr>
        <w:t>2014</w:t>
      </w:r>
      <w:r>
        <w:rPr>
          <w:spacing w:val="-2"/>
        </w:rPr>
        <w:t>年被批准认定为软件企业，自</w:t>
      </w:r>
      <w:r>
        <w:rPr>
          <w:rFonts w:ascii="Times New Roman" w:hAnsi="Times New Roman" w:cs="Times New Roman" w:eastAsia="Times New Roman" w:hint="default"/>
          <w:spacing w:val="-2"/>
        </w:rPr>
        <w:t>2014</w:t>
      </w:r>
      <w:r>
        <w:rPr>
          <w:spacing w:val="-2"/>
        </w:rPr>
        <w:t>年起享受所得税两免三减半优惠政策，本年为所得税两</w:t>
      </w:r>
      <w:r>
        <w:rPr/>
        <w:t> 免三减半的第五年，即减按</w:t>
      </w:r>
      <w:r>
        <w:rPr>
          <w:rFonts w:ascii="Times New Roman" w:hAnsi="Times New Roman" w:cs="Times New Roman" w:eastAsia="Times New Roman" w:hint="default"/>
        </w:rPr>
        <w:t>12.5%</w:t>
      </w:r>
      <w:r>
        <w:rPr/>
        <w:t>的税率征收企业所得税。</w:t>
      </w:r>
    </w:p>
    <w:p>
      <w:pPr>
        <w:pStyle w:val="BodyText"/>
        <w:spacing w:line="451" w:lineRule="auto" w:before="43"/>
        <w:ind w:right="0" w:firstLine="360"/>
        <w:jc w:val="left"/>
      </w:pPr>
      <w:r>
        <w:rPr>
          <w:spacing w:val="-2"/>
        </w:rPr>
        <w:t>北京神州祥升软件有限公司</w:t>
      </w:r>
      <w:r>
        <w:rPr>
          <w:rFonts w:ascii="Times New Roman" w:hAnsi="Times New Roman" w:cs="Times New Roman" w:eastAsia="Times New Roman" w:hint="default"/>
          <w:spacing w:val="-2"/>
        </w:rPr>
        <w:t>2014</w:t>
      </w:r>
      <w:r>
        <w:rPr>
          <w:spacing w:val="-2"/>
        </w:rPr>
        <w:t>年被批准认定为软件企业，自</w:t>
      </w:r>
      <w:r>
        <w:rPr>
          <w:rFonts w:ascii="Times New Roman" w:hAnsi="Times New Roman" w:cs="Times New Roman" w:eastAsia="Times New Roman" w:hint="default"/>
          <w:spacing w:val="-2"/>
        </w:rPr>
        <w:t>2014</w:t>
      </w:r>
      <w:r>
        <w:rPr>
          <w:spacing w:val="-2"/>
        </w:rPr>
        <w:t>年起享受所得税两免三减半优惠政策，本年为所得税</w:t>
      </w:r>
      <w:r>
        <w:rPr/>
        <w:t> 两免三减半的第五年，即减按</w:t>
      </w:r>
      <w:r>
        <w:rPr>
          <w:rFonts w:ascii="Times New Roman" w:hAnsi="Times New Roman" w:cs="Times New Roman" w:eastAsia="Times New Roman" w:hint="default"/>
        </w:rPr>
        <w:t>12.5%</w:t>
      </w:r>
      <w:r>
        <w:rPr/>
        <w:t>的税率征收企业所得税。</w:t>
      </w:r>
    </w:p>
    <w:p>
      <w:pPr>
        <w:pStyle w:val="BodyText"/>
        <w:spacing w:line="451" w:lineRule="auto" w:before="43"/>
        <w:ind w:right="0" w:firstLine="360"/>
        <w:jc w:val="left"/>
      </w:pPr>
      <w:r>
        <w:rPr>
          <w:spacing w:val="-2"/>
        </w:rPr>
        <w:t>霍尔果斯小小橙软件开发有限责任公司</w:t>
      </w:r>
      <w:r>
        <w:rPr>
          <w:rFonts w:ascii="Times New Roman" w:hAnsi="Times New Roman" w:cs="Times New Roman" w:eastAsia="Times New Roman" w:hint="default"/>
          <w:spacing w:val="-2"/>
        </w:rPr>
        <w:t>2015</w:t>
      </w:r>
      <w:r>
        <w:rPr>
          <w:spacing w:val="-2"/>
        </w:rPr>
        <w:t>年备案登记为特殊经济开发区新办企业，享受自取得第一笔生产经营收入所</w:t>
      </w:r>
      <w:r>
        <w:rPr/>
        <w:t> 属纳税年度起，五年内免征企业所得税，本年为所得税免征的第四年。</w:t>
      </w:r>
    </w:p>
    <w:p>
      <w:pPr>
        <w:pStyle w:val="BodyText"/>
        <w:spacing w:line="451" w:lineRule="auto" w:before="74"/>
        <w:ind w:right="0" w:firstLine="360"/>
        <w:jc w:val="left"/>
      </w:pPr>
      <w:r>
        <w:rPr>
          <w:spacing w:val="-2"/>
        </w:rPr>
        <w:t>霍尔果斯于艺网络科技有限公司</w:t>
      </w:r>
      <w:r>
        <w:rPr>
          <w:rFonts w:ascii="Times New Roman" w:hAnsi="Times New Roman" w:cs="Times New Roman" w:eastAsia="Times New Roman" w:hint="default"/>
          <w:spacing w:val="-2"/>
        </w:rPr>
        <w:t>2016</w:t>
      </w:r>
      <w:r>
        <w:rPr>
          <w:spacing w:val="-2"/>
        </w:rPr>
        <w:t>年备案登记为特殊经济开发区新办企业，享受自取得第一笔生产经营收入所属纳税</w:t>
      </w:r>
      <w:r>
        <w:rPr/>
        <w:t> 年度起，五年内免征企业所得税，本年为所得税免征的第三年。</w:t>
      </w:r>
    </w:p>
    <w:p>
      <w:pPr>
        <w:pStyle w:val="BodyText"/>
        <w:spacing w:line="477" w:lineRule="auto" w:before="74"/>
        <w:ind w:right="0" w:firstLine="360"/>
        <w:jc w:val="left"/>
      </w:pPr>
      <w:r>
        <w:rPr>
          <w:spacing w:val="-2"/>
        </w:rPr>
        <w:t>宁波神州泰岳锐智信息科技有限公司、北京慧联神州技术有限公司、北京小漫科技有限公司、上海奔耀信息科技有限公</w:t>
      </w:r>
      <w:r>
        <w:rPr/>
        <w:t> 司</w:t>
      </w:r>
      <w:r>
        <w:rPr>
          <w:rFonts w:ascii="Times New Roman" w:hAnsi="Times New Roman" w:cs="Times New Roman" w:eastAsia="Times New Roman" w:hint="default"/>
        </w:rPr>
        <w:t>2018</w:t>
      </w:r>
      <w:r>
        <w:rPr/>
        <w:t>年被批准认定为小微企业，即企业所得减按</w:t>
      </w:r>
      <w:r>
        <w:rPr>
          <w:rFonts w:ascii="Times New Roman" w:hAnsi="Times New Roman" w:cs="Times New Roman" w:eastAsia="Times New Roman" w:hint="default"/>
        </w:rPr>
        <w:t>50</w:t>
      </w:r>
      <w:r>
        <w:rPr/>
        <w:t>％计入应纳税所得额，按</w:t>
      </w:r>
      <w:r>
        <w:rPr>
          <w:rFonts w:ascii="Times New Roman" w:hAnsi="Times New Roman" w:cs="Times New Roman" w:eastAsia="Times New Roman" w:hint="default"/>
        </w:rPr>
        <w:t>20%</w:t>
      </w:r>
      <w:r>
        <w:rPr/>
        <w:t>的税率缴纳企业所得税。</w:t>
      </w:r>
    </w:p>
    <w:p>
      <w:pPr>
        <w:spacing w:line="240" w:lineRule="auto" w:before="9"/>
        <w:rPr>
          <w:rFonts w:ascii="宋体" w:hAnsi="宋体" w:cs="宋体" w:eastAsia="宋体" w:hint="default"/>
          <w:sz w:val="22"/>
          <w:szCs w:val="22"/>
        </w:rPr>
      </w:pPr>
    </w:p>
    <w:p>
      <w:pPr>
        <w:pStyle w:val="BodyText"/>
        <w:spacing w:line="240" w:lineRule="auto"/>
        <w:ind w:left="514" w:right="0"/>
        <w:jc w:val="left"/>
      </w:pPr>
      <w:r>
        <w:rPr/>
        <w:t>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上市公司从事软件与信息技术服务业务》的披露要求</w:t>
      </w:r>
    </w:p>
    <w:p>
      <w:pPr>
        <w:spacing w:line="240" w:lineRule="auto" w:before="10"/>
        <w:rPr>
          <w:rFonts w:ascii="宋体" w:hAnsi="宋体" w:cs="宋体" w:eastAsia="宋体" w:hint="default"/>
          <w:sz w:val="25"/>
          <w:szCs w:val="25"/>
        </w:rPr>
      </w:pPr>
    </w:p>
    <w:p>
      <w:pPr>
        <w:pStyle w:val="Heading3"/>
        <w:spacing w:line="240" w:lineRule="auto"/>
        <w:ind w:right="0"/>
        <w:jc w:val="left"/>
        <w:rPr>
          <w:b w:val="0"/>
          <w:bCs w:val="0"/>
        </w:rPr>
      </w:pPr>
      <w:bookmarkStart w:name="3、其他" w:id="231"/>
      <w:bookmarkEnd w:id="231"/>
      <w:r>
        <w:rPr>
          <w:b w:val="0"/>
          <w:bCs w:val="0"/>
        </w:rPr>
      </w:r>
      <w:r>
        <w:rPr>
          <w:rFonts w:ascii="Times New Roman" w:hAnsi="Times New Roman" w:cs="Times New Roman" w:eastAsia="Times New Roman" w:hint="default"/>
        </w:rPr>
        <w:t>3</w:t>
      </w:r>
      <w:r>
        <w:rPr/>
        <w:t>、其他</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514" w:right="0"/>
        <w:jc w:val="left"/>
      </w:pPr>
      <w:r>
        <w:rPr/>
        <w:t>无。</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Heading2"/>
        <w:spacing w:line="240" w:lineRule="auto"/>
        <w:ind w:right="0"/>
        <w:jc w:val="left"/>
        <w:rPr>
          <w:b w:val="0"/>
          <w:bCs w:val="0"/>
        </w:rPr>
      </w:pPr>
      <w:bookmarkStart w:name="七、合并财务报表项目注释" w:id="232"/>
      <w:bookmarkEnd w:id="232"/>
      <w:r>
        <w:rPr>
          <w:b w:val="0"/>
          <w:bCs w:val="0"/>
        </w:rPr>
      </w:r>
      <w:r>
        <w:rPr/>
        <w:t>七、合并财务报表项目注释</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货币资金" w:id="233"/>
      <w:bookmarkEnd w:id="233"/>
      <w:r>
        <w:rPr>
          <w:b w:val="0"/>
          <w:bCs w:val="0"/>
        </w:rPr>
      </w:r>
      <w:r>
        <w:rPr>
          <w:rFonts w:ascii="Times New Roman" w:hAnsi="Times New Roman" w:cs="Times New Roman" w:eastAsia="Times New Roman" w:hint="default"/>
        </w:rPr>
        <w:t>1</w:t>
      </w:r>
      <w:r>
        <w:rPr/>
        <w:t>、货币资金</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161,619.55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292,546.51</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497,470,800.08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770,832,942.08</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38,517,253.44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18,361,836.81</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536,149,673.07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789,487,325.40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其中：存放在境外的款项总额</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130,537,364.23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135,971,656.16</w:t>
            </w:r>
          </w:p>
        </w:tc>
      </w:tr>
    </w:tbl>
    <w:p>
      <w:pPr>
        <w:pStyle w:val="BodyText"/>
        <w:spacing w:line="240" w:lineRule="auto" w:before="51"/>
        <w:ind w:right="0"/>
        <w:jc w:val="left"/>
      </w:pPr>
      <w:r>
        <w:rPr/>
        <w:t>其他说明</w:t>
      </w:r>
    </w:p>
    <w:p>
      <w:pPr>
        <w:pStyle w:val="BodyText"/>
        <w:spacing w:line="240" w:lineRule="auto" w:before="117"/>
        <w:ind w:left="514" w:right="0"/>
        <w:jc w:val="left"/>
      </w:pPr>
      <w:r>
        <w:rPr/>
        <w:t>其中因抵押、质押或冻结等对使用有限制，以及放在境外且资金汇回受到限制的货币资金明细如下：</w:t>
      </w:r>
    </w:p>
    <w:p>
      <w:pPr>
        <w:spacing w:after="0" w:line="240" w:lineRule="auto"/>
        <w:jc w:val="left"/>
        <w:sectPr>
          <w:pgSz w:w="11910" w:h="16840"/>
          <w:pgMar w:header="851" w:footer="979" w:top="1400" w:bottom="1160" w:left="980" w:right="0"/>
        </w:sectPr>
      </w:pPr>
    </w:p>
    <w:p>
      <w:pPr>
        <w:spacing w:line="240" w:lineRule="auto" w:before="3"/>
        <w:rPr>
          <w:rFonts w:ascii="宋体" w:hAnsi="宋体" w:cs="宋体" w:eastAsia="宋体" w:hint="default"/>
          <w:sz w:val="3"/>
          <w:szCs w:val="3"/>
        </w:rPr>
      </w:pPr>
    </w:p>
    <w:tbl>
      <w:tblPr>
        <w:tblW w:w="0" w:type="auto"/>
        <w:jc w:val="left"/>
        <w:tblInd w:w="117" w:type="dxa"/>
        <w:tblLayout w:type="fixed"/>
        <w:tblCellMar>
          <w:top w:w="0" w:type="dxa"/>
          <w:left w:w="0" w:type="dxa"/>
          <w:bottom w:w="0" w:type="dxa"/>
          <w:right w:w="0" w:type="dxa"/>
        </w:tblCellMar>
        <w:tblLook w:val="01E0"/>
      </w:tblPr>
      <w:tblGrid>
        <w:gridCol w:w="4126"/>
        <w:gridCol w:w="2766"/>
        <w:gridCol w:w="2766"/>
      </w:tblGrid>
      <w:tr>
        <w:trPr>
          <w:trHeight w:val="349" w:hRule="exact"/>
        </w:trPr>
        <w:tc>
          <w:tcPr>
            <w:tcW w:w="412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6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6"/>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766" w:type="dxa"/>
            <w:tcBorders>
              <w:top w:val="single" w:sz="12"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48" w:hRule="exact"/>
        </w:trPr>
        <w:tc>
          <w:tcPr>
            <w:tcW w:w="412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境外信用卡保证金</w:t>
            </w:r>
          </w:p>
        </w:tc>
        <w:tc>
          <w:tcPr>
            <w:tcW w:w="2766" w:type="dxa"/>
            <w:tcBorders>
              <w:top w:val="single" w:sz="10" w:space="0" w:color="000000"/>
              <w:left w:val="single" w:sz="7" w:space="0" w:color="000000"/>
              <w:bottom w:val="single" w:sz="6" w:space="0" w:color="000000"/>
              <w:right w:val="single" w:sz="6" w:space="0" w:color="000000"/>
            </w:tcBorders>
          </w:tcPr>
          <w:p>
            <w:pPr>
              <w:pStyle w:val="TableParagraph"/>
              <w:spacing w:line="240" w:lineRule="auto" w:before="55"/>
              <w:ind w:right="1"/>
              <w:jc w:val="right"/>
              <w:rPr>
                <w:rFonts w:ascii="Times New Roman" w:hAnsi="Times New Roman" w:cs="Times New Roman" w:eastAsia="Times New Roman" w:hint="default"/>
                <w:sz w:val="18"/>
                <w:szCs w:val="18"/>
              </w:rPr>
            </w:pPr>
            <w:r>
              <w:rPr>
                <w:rFonts w:ascii="Times New Roman"/>
                <w:spacing w:val="-1"/>
                <w:sz w:val="18"/>
              </w:rPr>
              <w:t>2,597,385.04</w:t>
            </w:r>
          </w:p>
        </w:tc>
        <w:tc>
          <w:tcPr>
            <w:tcW w:w="2766"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55"/>
              <w:ind w:right="1"/>
              <w:jc w:val="right"/>
              <w:rPr>
                <w:rFonts w:ascii="Times New Roman" w:hAnsi="Times New Roman" w:cs="Times New Roman" w:eastAsia="Times New Roman" w:hint="default"/>
                <w:sz w:val="18"/>
                <w:szCs w:val="18"/>
              </w:rPr>
            </w:pPr>
            <w:r>
              <w:rPr>
                <w:rFonts w:ascii="Times New Roman"/>
                <w:spacing w:val="-1"/>
                <w:sz w:val="18"/>
              </w:rPr>
              <w:t>2,470,394.28</w:t>
            </w:r>
          </w:p>
        </w:tc>
      </w:tr>
      <w:tr>
        <w:trPr>
          <w:trHeight w:val="347" w:hRule="exact"/>
        </w:trPr>
        <w:tc>
          <w:tcPr>
            <w:tcW w:w="412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银行保函保证金</w:t>
            </w:r>
          </w:p>
        </w:tc>
        <w:tc>
          <w:tcPr>
            <w:tcW w:w="2766"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26,048,056.31</w:t>
            </w:r>
          </w:p>
        </w:tc>
        <w:tc>
          <w:tcPr>
            <w:tcW w:w="27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7,958,203.28</w:t>
            </w:r>
          </w:p>
        </w:tc>
      </w:tr>
      <w:tr>
        <w:trPr>
          <w:trHeight w:val="347" w:hRule="exact"/>
        </w:trPr>
        <w:tc>
          <w:tcPr>
            <w:tcW w:w="412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资金使用受限的境外银行存款</w:t>
            </w:r>
          </w:p>
        </w:tc>
        <w:tc>
          <w:tcPr>
            <w:tcW w:w="2766" w:type="dxa"/>
            <w:tcBorders>
              <w:top w:val="single" w:sz="6" w:space="0" w:color="000000"/>
              <w:left w:val="single" w:sz="7" w:space="0" w:color="000000"/>
              <w:bottom w:val="single" w:sz="6" w:space="0" w:color="000000"/>
              <w:right w:val="single" w:sz="6" w:space="0" w:color="000000"/>
            </w:tcBorders>
          </w:tcPr>
          <w:p>
            <w:pPr/>
          </w:p>
        </w:tc>
        <w:tc>
          <w:tcPr>
            <w:tcW w:w="27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1,603,572.93</w:t>
            </w:r>
          </w:p>
        </w:tc>
      </w:tr>
      <w:tr>
        <w:trPr>
          <w:trHeight w:val="347" w:hRule="exact"/>
        </w:trPr>
        <w:tc>
          <w:tcPr>
            <w:tcW w:w="412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支付宝保证金</w:t>
            </w:r>
          </w:p>
        </w:tc>
        <w:tc>
          <w:tcPr>
            <w:tcW w:w="2766"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30,000.00</w:t>
            </w:r>
          </w:p>
        </w:tc>
        <w:tc>
          <w:tcPr>
            <w:tcW w:w="27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20,000.00</w:t>
            </w:r>
          </w:p>
        </w:tc>
      </w:tr>
      <w:tr>
        <w:trPr>
          <w:trHeight w:val="347" w:hRule="exact"/>
        </w:trPr>
        <w:tc>
          <w:tcPr>
            <w:tcW w:w="412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其他保证金</w:t>
            </w:r>
          </w:p>
        </w:tc>
        <w:tc>
          <w:tcPr>
            <w:tcW w:w="2766"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9,363.86</w:t>
            </w:r>
          </w:p>
        </w:tc>
        <w:tc>
          <w:tcPr>
            <w:tcW w:w="2766" w:type="dxa"/>
            <w:tcBorders>
              <w:top w:val="single" w:sz="6" w:space="0" w:color="000000"/>
              <w:left w:val="single" w:sz="6" w:space="0" w:color="000000"/>
              <w:bottom w:val="single" w:sz="6" w:space="0" w:color="000000"/>
              <w:right w:val="single" w:sz="6" w:space="0" w:color="000000"/>
            </w:tcBorders>
          </w:tcPr>
          <w:p>
            <w:pPr/>
          </w:p>
        </w:tc>
      </w:tr>
      <w:tr>
        <w:trPr>
          <w:trHeight w:val="348" w:hRule="exact"/>
        </w:trPr>
        <w:tc>
          <w:tcPr>
            <w:tcW w:w="412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766"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28,684,805.21</w:t>
            </w:r>
          </w:p>
        </w:tc>
        <w:tc>
          <w:tcPr>
            <w:tcW w:w="27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12,052,170.49</w:t>
            </w:r>
          </w:p>
        </w:tc>
      </w:tr>
    </w:tbl>
    <w:p>
      <w:pPr>
        <w:spacing w:line="240" w:lineRule="auto" w:before="2"/>
        <w:rPr>
          <w:rFonts w:ascii="宋体" w:hAnsi="宋体" w:cs="宋体" w:eastAsia="宋体" w:hint="default"/>
          <w:sz w:val="19"/>
          <w:szCs w:val="19"/>
        </w:rPr>
      </w:pPr>
    </w:p>
    <w:p>
      <w:pPr>
        <w:pStyle w:val="Heading3"/>
        <w:spacing w:line="240" w:lineRule="auto" w:before="35"/>
        <w:ind w:left="134" w:right="1032"/>
        <w:jc w:val="left"/>
        <w:rPr>
          <w:b w:val="0"/>
          <w:bCs w:val="0"/>
        </w:rPr>
      </w:pPr>
      <w:bookmarkStart w:name="2、以公允价值计量且其变动计入当期损益的金融资产" w:id="234"/>
      <w:bookmarkEnd w:id="234"/>
      <w:r>
        <w:rPr>
          <w:b w:val="0"/>
          <w:bCs w:val="0"/>
        </w:rPr>
      </w:r>
      <w:r>
        <w:rPr>
          <w:rFonts w:ascii="Times New Roman" w:hAnsi="Times New Roman" w:cs="Times New Roman" w:eastAsia="Times New Roman" w:hint="default"/>
        </w:rPr>
        <w:t>2</w:t>
      </w:r>
      <w:r>
        <w:rPr/>
        <w:t>、以公允价值计量且其变动计入当期损益的金融资产</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494" w:right="768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left="134" w:right="7680"/>
        <w:jc w:val="left"/>
        <w:rPr>
          <w:b w:val="0"/>
          <w:bCs w:val="0"/>
        </w:rPr>
      </w:pPr>
      <w:bookmarkStart w:name="3、衍生金融资产" w:id="235"/>
      <w:bookmarkEnd w:id="235"/>
      <w:r>
        <w:rPr>
          <w:b w:val="0"/>
          <w:bCs w:val="0"/>
        </w:rPr>
      </w:r>
      <w:r>
        <w:rPr>
          <w:rFonts w:ascii="Times New Roman" w:hAnsi="Times New Roman" w:cs="Times New Roman" w:eastAsia="Times New Roman" w:hint="default"/>
        </w:rPr>
        <w:t>3</w:t>
      </w:r>
      <w:r>
        <w:rPr/>
        <w:t>、衍生金融资产</w:t>
      </w:r>
      <w:r>
        <w:rPr>
          <w:b w:val="0"/>
          <w:bCs w:val="0"/>
        </w:rPr>
      </w:r>
    </w:p>
    <w:p>
      <w:pPr>
        <w:spacing w:line="240" w:lineRule="auto" w:before="8"/>
        <w:rPr>
          <w:rFonts w:ascii="宋体" w:hAnsi="宋体" w:cs="宋体" w:eastAsia="宋体" w:hint="default"/>
          <w:b/>
          <w:bCs/>
          <w:sz w:val="26"/>
          <w:szCs w:val="26"/>
        </w:rPr>
      </w:pPr>
    </w:p>
    <w:p>
      <w:pPr>
        <w:spacing w:before="0"/>
        <w:ind w:left="134" w:right="768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left="134" w:right="7680"/>
        <w:jc w:val="left"/>
        <w:rPr>
          <w:b w:val="0"/>
          <w:bCs w:val="0"/>
        </w:rPr>
      </w:pPr>
      <w:bookmarkStart w:name="4、应收票据及应收账款" w:id="236"/>
      <w:bookmarkEnd w:id="236"/>
      <w:r>
        <w:rPr>
          <w:b w:val="0"/>
          <w:bCs w:val="0"/>
        </w:rPr>
      </w:r>
      <w:r>
        <w:rPr>
          <w:rFonts w:ascii="Times New Roman" w:hAnsi="Times New Roman" w:cs="Times New Roman" w:eastAsia="Times New Roman" w:hint="default"/>
        </w:rPr>
        <w:t>4</w:t>
      </w:r>
      <w:r>
        <w:rPr/>
        <w:t>、应收票据及应收账款</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3,046,749.50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413,300.00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1,141,078,105.66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1,124,147,742.37</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1,144,124,855.16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1,124,561,042.37</w:t>
            </w:r>
          </w:p>
        </w:tc>
      </w:tr>
    </w:tbl>
    <w:p>
      <w:pPr>
        <w:spacing w:line="240" w:lineRule="auto" w:before="2"/>
        <w:rPr>
          <w:rFonts w:ascii="宋体" w:hAnsi="宋体" w:cs="宋体" w:eastAsia="宋体" w:hint="default"/>
          <w:sz w:val="19"/>
          <w:szCs w:val="19"/>
        </w:rPr>
      </w:pPr>
    </w:p>
    <w:p>
      <w:pPr>
        <w:pStyle w:val="Heading3"/>
        <w:spacing w:line="240" w:lineRule="auto" w:before="35"/>
        <w:ind w:left="134" w:right="7680"/>
        <w:jc w:val="left"/>
        <w:rPr>
          <w:b w:val="0"/>
          <w:bCs w:val="0"/>
        </w:rPr>
      </w:pPr>
      <w:bookmarkStart w:name="（1）应收票据" w:id="237"/>
      <w:bookmarkEnd w:id="237"/>
      <w:r>
        <w:rPr>
          <w:b w:val="0"/>
          <w:bCs w:val="0"/>
        </w:rPr>
      </w:r>
      <w:r>
        <w:rPr/>
        <w:t>（</w:t>
      </w:r>
      <w:r>
        <w:rPr>
          <w:rFonts w:ascii="Times New Roman" w:hAnsi="Times New Roman" w:cs="Times New Roman" w:eastAsia="Times New Roman" w:hint="default"/>
        </w:rPr>
        <w:t>1</w:t>
      </w:r>
      <w:r>
        <w:rPr/>
        <w:t>）应收票据</w:t>
      </w:r>
      <w:r>
        <w:rPr>
          <w:b w:val="0"/>
          <w:bCs w:val="0"/>
        </w:rPr>
      </w:r>
    </w:p>
    <w:p>
      <w:pPr>
        <w:spacing w:line="240" w:lineRule="auto" w:before="3"/>
        <w:rPr>
          <w:rFonts w:ascii="宋体" w:hAnsi="宋体" w:cs="宋体" w:eastAsia="宋体" w:hint="default"/>
          <w:b/>
          <w:bCs/>
          <w:sz w:val="23"/>
          <w:szCs w:val="23"/>
        </w:rPr>
      </w:pPr>
    </w:p>
    <w:p>
      <w:pPr>
        <w:pStyle w:val="Heading5"/>
        <w:spacing w:line="240" w:lineRule="auto" w:before="44"/>
        <w:ind w:left="134" w:right="7680"/>
        <w:jc w:val="left"/>
        <w:rPr>
          <w:b w:val="0"/>
          <w:bCs w:val="0"/>
        </w:rPr>
      </w:pPr>
      <w:r>
        <w:rPr>
          <w:rFonts w:ascii="Times New Roman" w:hAnsi="Times New Roman" w:cs="Times New Roman" w:eastAsia="Times New Roman" w:hint="default"/>
        </w:rPr>
        <w:t>1)</w:t>
      </w:r>
      <w:r>
        <w:rPr/>
        <w:t>应收票据分类列示</w:t>
      </w:r>
      <w:r>
        <w:rPr>
          <w:b w:val="0"/>
          <w:bCs w:val="0"/>
        </w:rPr>
      </w:r>
    </w:p>
    <w:p>
      <w:pPr>
        <w:pStyle w:val="BodyText"/>
        <w:spacing w:line="240" w:lineRule="auto" w:before="102"/>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1,298,094.00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1,748,655.50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413,300.00</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3,046,749.50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413,300.00</w:t>
            </w:r>
          </w:p>
        </w:tc>
      </w:tr>
    </w:tbl>
    <w:p>
      <w:pPr>
        <w:pStyle w:val="Heading5"/>
        <w:spacing w:line="412" w:lineRule="auto" w:before="51"/>
        <w:ind w:left="494" w:right="8434" w:hanging="360"/>
        <w:jc w:val="left"/>
        <w:rPr>
          <w:rFonts w:ascii="宋体" w:hAnsi="宋体" w:cs="宋体" w:eastAsia="宋体" w:hint="default"/>
          <w:b w:val="0"/>
          <w:bCs w:val="0"/>
        </w:rPr>
      </w:pPr>
      <w:r>
        <w:rPr>
          <w:rFonts w:ascii="Times New Roman" w:hAnsi="Times New Roman" w:cs="Times New Roman" w:eastAsia="Times New Roman" w:hint="default"/>
        </w:rPr>
        <w:t>2)</w:t>
      </w:r>
      <w:r>
        <w:rPr/>
        <w:t>期末公司已质押的应收票据</w:t>
      </w:r>
      <w:r>
        <w:rPr>
          <w:w w:val="99"/>
        </w:rPr>
        <w:t> </w:t>
      </w:r>
      <w:r>
        <w:rPr>
          <w:rFonts w:ascii="宋体" w:hAnsi="宋体" w:cs="宋体" w:eastAsia="宋体" w:hint="default"/>
          <w:b w:val="0"/>
          <w:bCs w:val="0"/>
        </w:rPr>
        <w:t>无。</w:t>
      </w:r>
    </w:p>
    <w:p>
      <w:pPr>
        <w:pStyle w:val="Heading5"/>
        <w:spacing w:line="240" w:lineRule="auto" w:before="65"/>
        <w:ind w:left="134" w:right="1032"/>
        <w:jc w:val="left"/>
        <w:rPr>
          <w:b w:val="0"/>
          <w:bCs w:val="0"/>
        </w:rPr>
      </w:pPr>
      <w:r>
        <w:rPr>
          <w:rFonts w:ascii="Times New Roman" w:hAnsi="Times New Roman" w:cs="Times New Roman" w:eastAsia="Times New Roman" w:hint="default"/>
        </w:rPr>
        <w:t>3)</w:t>
      </w:r>
      <w:r>
        <w:rPr/>
        <w:t>期末公司已背书或贴现且在资产负债表日尚未到期的应收票据</w:t>
      </w:r>
      <w:r>
        <w:rPr>
          <w:b w:val="0"/>
          <w:bCs w:val="0"/>
        </w:rPr>
      </w:r>
    </w:p>
    <w:p>
      <w:pPr>
        <w:pStyle w:val="BodyText"/>
        <w:spacing w:line="240" w:lineRule="auto" w:before="10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82"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80"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8,500,000.00</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400" w:bottom="1160" w:left="1000" w:right="0"/>
        </w:sectPr>
      </w:pPr>
    </w:p>
    <w:p>
      <w:pPr>
        <w:spacing w:line="240" w:lineRule="auto" w:before="6"/>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3192"/>
        <w:gridCol w:w="3191"/>
        <w:gridCol w:w="3190"/>
      </w:tblGrid>
      <w:tr>
        <w:trPr>
          <w:trHeight w:val="415" w:hRule="exact"/>
        </w:trPr>
        <w:tc>
          <w:tcPr>
            <w:tcW w:w="319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0"/>
              <w:jc w:val="right"/>
              <w:rPr>
                <w:rFonts w:ascii="Times New Roman" w:hAnsi="Times New Roman" w:cs="Times New Roman" w:eastAsia="Times New Roman" w:hint="default"/>
                <w:sz w:val="18"/>
                <w:szCs w:val="18"/>
              </w:rPr>
            </w:pPr>
            <w:r>
              <w:rPr>
                <w:rFonts w:ascii="Times New Roman"/>
                <w:spacing w:val="-1"/>
                <w:sz w:val="18"/>
              </w:rPr>
              <w:t>8,500,000.00</w:t>
            </w:r>
          </w:p>
        </w:tc>
        <w:tc>
          <w:tcPr>
            <w:tcW w:w="3190" w:type="dxa"/>
            <w:tcBorders>
              <w:top w:val="single" w:sz="10" w:space="0" w:color="000000"/>
              <w:left w:val="single" w:sz="4" w:space="0" w:color="000000"/>
              <w:bottom w:val="single" w:sz="4" w:space="0" w:color="000000"/>
              <w:right w:val="single" w:sz="4" w:space="0" w:color="000000"/>
            </w:tcBorders>
          </w:tcPr>
          <w:p>
            <w:pPr/>
          </w:p>
        </w:tc>
      </w:tr>
    </w:tbl>
    <w:p>
      <w:pPr>
        <w:pStyle w:val="Heading5"/>
        <w:spacing w:line="412" w:lineRule="auto" w:before="51"/>
        <w:ind w:left="494" w:right="6627" w:hanging="360"/>
        <w:jc w:val="left"/>
        <w:rPr>
          <w:rFonts w:ascii="宋体" w:hAnsi="宋体" w:cs="宋体" w:eastAsia="宋体" w:hint="default"/>
          <w:b w:val="0"/>
          <w:bCs w:val="0"/>
        </w:rPr>
      </w:pPr>
      <w:r>
        <w:rPr>
          <w:rFonts w:ascii="Times New Roman" w:hAnsi="Times New Roman" w:cs="Times New Roman" w:eastAsia="Times New Roman" w:hint="default"/>
        </w:rPr>
        <w:t>4)</w:t>
      </w:r>
      <w:r>
        <w:rPr/>
        <w:t>期末公司因出票人未履约而将其转应收账款的票据</w:t>
      </w:r>
      <w:r>
        <w:rPr>
          <w:w w:val="99"/>
        </w:rPr>
        <w:t> </w:t>
      </w:r>
      <w:r>
        <w:rPr>
          <w:rFonts w:ascii="宋体" w:hAnsi="宋体" w:cs="宋体" w:eastAsia="宋体" w:hint="default"/>
          <w:b w:val="0"/>
          <w:bCs w:val="0"/>
        </w:rPr>
        <w:t>无。</w:t>
      </w:r>
    </w:p>
    <w:p>
      <w:pPr>
        <w:pStyle w:val="Heading5"/>
        <w:spacing w:line="240" w:lineRule="auto" w:before="66"/>
        <w:ind w:left="134" w:right="7680"/>
        <w:jc w:val="left"/>
        <w:rPr>
          <w:b w:val="0"/>
          <w:bCs w:val="0"/>
        </w:rPr>
      </w:pPr>
      <w:r>
        <w:rPr>
          <w:rFonts w:ascii="Times New Roman" w:hAnsi="Times New Roman" w:cs="Times New Roman" w:eastAsia="Times New Roman" w:hint="default"/>
        </w:rPr>
        <w:t>5)</w:t>
      </w:r>
      <w:r>
        <w:rPr/>
        <w:t>其他说明</w:t>
      </w:r>
      <w:r>
        <w:rPr>
          <w:b w:val="0"/>
          <w:bCs w:val="0"/>
        </w:rPr>
      </w:r>
    </w:p>
    <w:p>
      <w:pPr>
        <w:spacing w:line="240" w:lineRule="auto" w:before="10"/>
        <w:rPr>
          <w:rFonts w:ascii="宋体" w:hAnsi="宋体" w:cs="宋体" w:eastAsia="宋体" w:hint="default"/>
          <w:b/>
          <w:bCs/>
          <w:sz w:val="13"/>
          <w:szCs w:val="13"/>
        </w:rPr>
      </w:pPr>
    </w:p>
    <w:p>
      <w:pPr>
        <w:pStyle w:val="BodyText"/>
        <w:spacing w:line="240" w:lineRule="auto"/>
        <w:ind w:left="494" w:right="7680"/>
        <w:jc w:val="left"/>
      </w:pPr>
      <w:r>
        <w:rPr/>
        <w:t>商业承兑汇票金额明细如下：</w:t>
      </w:r>
    </w:p>
    <w:p>
      <w:pPr>
        <w:spacing w:line="240" w:lineRule="auto" w:before="5"/>
        <w:rPr>
          <w:rFonts w:ascii="宋体" w:hAnsi="宋体" w:cs="宋体" w:eastAsia="宋体" w:hint="default"/>
          <w:sz w:val="11"/>
          <w:szCs w:val="11"/>
        </w:rPr>
      </w:pPr>
    </w:p>
    <w:tbl>
      <w:tblPr>
        <w:tblW w:w="0" w:type="auto"/>
        <w:jc w:val="left"/>
        <w:tblInd w:w="117" w:type="dxa"/>
        <w:tblLayout w:type="fixed"/>
        <w:tblCellMar>
          <w:top w:w="0" w:type="dxa"/>
          <w:left w:w="0" w:type="dxa"/>
          <w:bottom w:w="0" w:type="dxa"/>
          <w:right w:w="0" w:type="dxa"/>
        </w:tblCellMar>
        <w:tblLook w:val="01E0"/>
      </w:tblPr>
      <w:tblGrid>
        <w:gridCol w:w="3470"/>
        <w:gridCol w:w="2283"/>
        <w:gridCol w:w="2111"/>
        <w:gridCol w:w="1794"/>
      </w:tblGrid>
      <w:tr>
        <w:trPr>
          <w:trHeight w:val="341" w:hRule="exact"/>
        </w:trPr>
        <w:tc>
          <w:tcPr>
            <w:tcW w:w="3470" w:type="dxa"/>
            <w:vMerge w:val="restart"/>
            <w:tcBorders>
              <w:top w:val="single" w:sz="6" w:space="0" w:color="000000"/>
              <w:left w:val="single" w:sz="6" w:space="0" w:color="000000"/>
              <w:right w:val="single" w:sz="6" w:space="0" w:color="000000"/>
            </w:tcBorders>
            <w:shd w:val="clear" w:color="auto" w:fill="D2D2D2"/>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6189" w:type="dxa"/>
            <w:gridSpan w:val="3"/>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47" w:hRule="exact"/>
        </w:trPr>
        <w:tc>
          <w:tcPr>
            <w:tcW w:w="3470" w:type="dxa"/>
            <w:vMerge/>
            <w:tcBorders>
              <w:left w:val="single" w:sz="6" w:space="0" w:color="000000"/>
              <w:bottom w:val="single" w:sz="6" w:space="0" w:color="000000"/>
              <w:right w:val="single" w:sz="6" w:space="0" w:color="000000"/>
            </w:tcBorders>
            <w:shd w:val="clear" w:color="auto" w:fill="D2D2D2"/>
          </w:tcPr>
          <w:p>
            <w:pPr/>
          </w:p>
        </w:tc>
        <w:tc>
          <w:tcPr>
            <w:tcW w:w="2283"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595"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211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68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794"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273"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47" w:hRule="exact"/>
        </w:trPr>
        <w:tc>
          <w:tcPr>
            <w:tcW w:w="347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2283"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55"/>
              <w:ind w:right="1"/>
              <w:jc w:val="right"/>
              <w:rPr>
                <w:rFonts w:ascii="Times New Roman" w:hAnsi="Times New Roman" w:cs="Times New Roman" w:eastAsia="Times New Roman" w:hint="default"/>
                <w:sz w:val="18"/>
                <w:szCs w:val="18"/>
              </w:rPr>
            </w:pPr>
            <w:r>
              <w:rPr>
                <w:rFonts w:ascii="Times New Roman"/>
                <w:spacing w:val="-1"/>
                <w:sz w:val="18"/>
              </w:rPr>
              <w:t>1,840,690.00</w:t>
            </w:r>
          </w:p>
        </w:tc>
        <w:tc>
          <w:tcPr>
            <w:tcW w:w="2111"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55"/>
              <w:ind w:right="1"/>
              <w:jc w:val="right"/>
              <w:rPr>
                <w:rFonts w:ascii="Times New Roman" w:hAnsi="Times New Roman" w:cs="Times New Roman" w:eastAsia="Times New Roman" w:hint="default"/>
                <w:sz w:val="18"/>
                <w:szCs w:val="18"/>
              </w:rPr>
            </w:pPr>
            <w:r>
              <w:rPr>
                <w:rFonts w:ascii="Times New Roman"/>
                <w:sz w:val="18"/>
              </w:rPr>
              <w:t>92,034.50</w:t>
            </w:r>
          </w:p>
        </w:tc>
        <w:tc>
          <w:tcPr>
            <w:tcW w:w="1794"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55"/>
              <w:ind w:right="0"/>
              <w:jc w:val="right"/>
              <w:rPr>
                <w:rFonts w:ascii="Times New Roman" w:hAnsi="Times New Roman" w:cs="Times New Roman" w:eastAsia="Times New Roman" w:hint="default"/>
                <w:sz w:val="18"/>
                <w:szCs w:val="18"/>
              </w:rPr>
            </w:pPr>
            <w:r>
              <w:rPr>
                <w:rFonts w:ascii="Times New Roman"/>
                <w:sz w:val="18"/>
              </w:rPr>
              <w:t>5.00</w:t>
            </w:r>
          </w:p>
        </w:tc>
      </w:tr>
      <w:tr>
        <w:trPr>
          <w:trHeight w:val="348" w:hRule="exact"/>
        </w:trPr>
        <w:tc>
          <w:tcPr>
            <w:tcW w:w="347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1,840,690.00</w:t>
            </w:r>
          </w:p>
        </w:tc>
        <w:tc>
          <w:tcPr>
            <w:tcW w:w="2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92,034.50</w:t>
            </w:r>
          </w:p>
        </w:tc>
        <w:tc>
          <w:tcPr>
            <w:tcW w:w="17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5.00</w:t>
            </w:r>
          </w:p>
        </w:tc>
      </w:tr>
    </w:tbl>
    <w:p>
      <w:pPr>
        <w:spacing w:line="240" w:lineRule="auto" w:before="2"/>
        <w:rPr>
          <w:rFonts w:ascii="宋体" w:hAnsi="宋体" w:cs="宋体" w:eastAsia="宋体" w:hint="default"/>
          <w:sz w:val="19"/>
          <w:szCs w:val="19"/>
        </w:rPr>
      </w:pPr>
    </w:p>
    <w:p>
      <w:pPr>
        <w:pStyle w:val="Heading3"/>
        <w:spacing w:line="240" w:lineRule="auto" w:before="35"/>
        <w:ind w:left="134" w:right="7680"/>
        <w:jc w:val="left"/>
        <w:rPr>
          <w:b w:val="0"/>
          <w:bCs w:val="0"/>
        </w:rPr>
      </w:pPr>
      <w:bookmarkStart w:name="（2）应收账款" w:id="238"/>
      <w:bookmarkEnd w:id="238"/>
      <w:r>
        <w:rPr>
          <w:b w:val="0"/>
          <w:bCs w:val="0"/>
        </w:rPr>
      </w:r>
      <w:r>
        <w:rPr/>
        <w:t>（</w:t>
      </w:r>
      <w:r>
        <w:rPr>
          <w:rFonts w:ascii="Times New Roman" w:hAnsi="Times New Roman" w:cs="Times New Roman" w:eastAsia="Times New Roman" w:hint="default"/>
        </w:rPr>
        <w:t>2</w:t>
      </w:r>
      <w:r>
        <w:rPr/>
        <w:t>）应收账款</w:t>
      </w:r>
      <w:r>
        <w:rPr>
          <w:b w:val="0"/>
          <w:bCs w:val="0"/>
        </w:rPr>
      </w:r>
    </w:p>
    <w:p>
      <w:pPr>
        <w:spacing w:line="240" w:lineRule="auto" w:before="3"/>
        <w:rPr>
          <w:rFonts w:ascii="宋体" w:hAnsi="宋体" w:cs="宋体" w:eastAsia="宋体" w:hint="default"/>
          <w:b/>
          <w:bCs/>
          <w:sz w:val="23"/>
          <w:szCs w:val="23"/>
        </w:rPr>
      </w:pPr>
    </w:p>
    <w:p>
      <w:pPr>
        <w:pStyle w:val="Heading5"/>
        <w:spacing w:line="240" w:lineRule="auto" w:before="44"/>
        <w:ind w:left="134" w:right="7680"/>
        <w:jc w:val="left"/>
        <w:rPr>
          <w:b w:val="0"/>
          <w:bCs w:val="0"/>
        </w:rPr>
      </w:pPr>
      <w:r>
        <w:rPr>
          <w:rFonts w:ascii="Times New Roman" w:hAnsi="Times New Roman" w:cs="Times New Roman" w:eastAsia="Times New Roman" w:hint="default"/>
        </w:rPr>
        <w:t>1)</w:t>
      </w:r>
      <w:r>
        <w:rPr/>
        <w:t>应收账款分类披露</w:t>
      </w:r>
      <w:r>
        <w:rPr>
          <w:b w:val="0"/>
          <w:bCs w:val="0"/>
        </w:rPr>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29" w:type="dxa"/>
        <w:tblLayout w:type="fixed"/>
        <w:tblCellMar>
          <w:top w:w="0" w:type="dxa"/>
          <w:left w:w="0" w:type="dxa"/>
          <w:bottom w:w="0" w:type="dxa"/>
          <w:right w:w="0" w:type="dxa"/>
        </w:tblCellMar>
        <w:tblLook w:val="01E0"/>
      </w:tblPr>
      <w:tblGrid>
        <w:gridCol w:w="1635"/>
        <w:gridCol w:w="763"/>
        <w:gridCol w:w="762"/>
        <w:gridCol w:w="762"/>
        <w:gridCol w:w="762"/>
        <w:gridCol w:w="790"/>
        <w:gridCol w:w="654"/>
        <w:gridCol w:w="762"/>
        <w:gridCol w:w="813"/>
        <w:gridCol w:w="662"/>
        <w:gridCol w:w="1202"/>
      </w:tblGrid>
      <w:tr>
        <w:trPr>
          <w:trHeight w:val="397" w:hRule="exact"/>
        </w:trPr>
        <w:tc>
          <w:tcPr>
            <w:tcW w:w="1635" w:type="dxa"/>
            <w:vMerge w:val="restart"/>
            <w:tcBorders>
              <w:top w:val="single" w:sz="4" w:space="0" w:color="000000"/>
              <w:left w:val="single" w:sz="4" w:space="0" w:color="000000"/>
              <w:right w:val="single" w:sz="4" w:space="0" w:color="000000"/>
            </w:tcBorders>
            <w:shd w:val="clear" w:color="auto" w:fill="D2D2D2"/>
          </w:tcPr>
          <w:p>
            <w:pP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35" w:type="dxa"/>
            <w:vMerge/>
            <w:tcBorders>
              <w:left w:val="single" w:sz="4" w:space="0" w:color="000000"/>
              <w:bottom w:val="nil" w:sz="6" w:space="0" w:color="auto"/>
              <w:right w:val="single" w:sz="4" w:space="0" w:color="000000"/>
            </w:tcBorders>
            <w:shd w:val="clear" w:color="auto" w:fill="D2D2D2"/>
          </w:tcPr>
          <w:p>
            <w:pPr/>
          </w:p>
        </w:tc>
        <w:tc>
          <w:tcPr>
            <w:tcW w:w="152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7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7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0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3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25"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475" w:type="dxa"/>
            <w:gridSpan w:val="2"/>
            <w:vMerge/>
            <w:tcBorders>
              <w:left w:val="single" w:sz="4" w:space="0" w:color="000000"/>
              <w:bottom w:val="single" w:sz="4" w:space="0" w:color="000000"/>
              <w:right w:val="single" w:sz="4" w:space="0" w:color="000000"/>
            </w:tcBorders>
            <w:shd w:val="clear" w:color="auto" w:fill="D2D2D2"/>
          </w:tcPr>
          <w:p>
            <w:pPr/>
          </w:p>
        </w:tc>
        <w:tc>
          <w:tcPr>
            <w:tcW w:w="1202"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35" w:type="dxa"/>
            <w:vMerge/>
            <w:tcBorders>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66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236" w:right="5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120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35"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3" w:hRule="exact"/>
        </w:trPr>
        <w:tc>
          <w:tcPr>
            <w:tcW w:w="1635" w:type="dxa"/>
            <w:vMerge w:val="restart"/>
            <w:tcBorders>
              <w:top w:val="single" w:sz="4" w:space="0" w:color="FFFFFF"/>
              <w:left w:val="single" w:sz="4" w:space="0" w:color="000000"/>
              <w:right w:val="single" w:sz="4" w:space="0" w:color="000000"/>
            </w:tcBorders>
            <w:shd w:val="clear" w:color="auto" w:fill="D2D2D2"/>
          </w:tcPr>
          <w:p>
            <w:pP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662" w:type="dxa"/>
            <w:vMerge/>
            <w:tcBorders>
              <w:left w:val="single" w:sz="4" w:space="0" w:color="000000"/>
              <w:right w:val="single" w:sz="4" w:space="0" w:color="000000"/>
            </w:tcBorders>
            <w:shd w:val="clear" w:color="auto" w:fill="D2D2D2"/>
          </w:tcPr>
          <w:p>
            <w:pPr/>
          </w:p>
        </w:tc>
        <w:tc>
          <w:tcPr>
            <w:tcW w:w="1202"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35" w:type="dxa"/>
            <w:vMerge/>
            <w:tcBorders>
              <w:left w:val="single" w:sz="4" w:space="0" w:color="000000"/>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662" w:type="dxa"/>
            <w:vMerge/>
            <w:tcBorders>
              <w:left w:val="single" w:sz="4" w:space="0" w:color="000000"/>
              <w:right w:val="single" w:sz="4" w:space="0" w:color="000000"/>
            </w:tcBorders>
            <w:shd w:val="clear" w:color="auto" w:fill="D2D2D2"/>
          </w:tcPr>
          <w:p>
            <w:pPr/>
          </w:p>
        </w:tc>
        <w:tc>
          <w:tcPr>
            <w:tcW w:w="120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662" w:type="dxa"/>
            <w:vMerge/>
            <w:tcBorders>
              <w:left w:val="single" w:sz="4" w:space="0" w:color="000000"/>
              <w:bottom w:val="single" w:sz="4" w:space="0" w:color="000000"/>
              <w:right w:val="single" w:sz="4" w:space="0" w:color="000000"/>
            </w:tcBorders>
            <w:shd w:val="clear" w:color="auto" w:fill="D2D2D2"/>
          </w:tcPr>
          <w:p>
            <w:pPr/>
          </w:p>
        </w:tc>
        <w:tc>
          <w:tcPr>
            <w:tcW w:w="120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6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7" w:right="0"/>
              <w:jc w:val="left"/>
              <w:rPr>
                <w:rFonts w:ascii="Times New Roman" w:hAnsi="Times New Roman" w:cs="Times New Roman" w:eastAsia="Times New Roman" w:hint="default"/>
                <w:sz w:val="18"/>
                <w:szCs w:val="18"/>
              </w:rPr>
            </w:pPr>
            <w:r>
              <w:rPr>
                <w:rFonts w:ascii="Times New Roman"/>
                <w:sz w:val="18"/>
              </w:rPr>
              <w:t>1,305,63</w:t>
            </w:r>
          </w:p>
          <w:p>
            <w:pPr>
              <w:pStyle w:val="TableParagraph"/>
              <w:spacing w:line="240" w:lineRule="auto" w:before="105"/>
              <w:ind w:left="87" w:right="0"/>
              <w:jc w:val="left"/>
              <w:rPr>
                <w:rFonts w:ascii="Times New Roman" w:hAnsi="Times New Roman" w:cs="Times New Roman" w:eastAsia="Times New Roman" w:hint="default"/>
                <w:sz w:val="18"/>
                <w:szCs w:val="18"/>
              </w:rPr>
            </w:pPr>
            <w:r>
              <w:rPr>
                <w:rFonts w:ascii="Times New Roman"/>
                <w:sz w:val="18"/>
              </w:rPr>
              <w:t>1,791.86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94.44%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sz w:val="18"/>
              </w:rPr>
              <w:t>169,592,</w:t>
            </w:r>
          </w:p>
          <w:p>
            <w:pPr>
              <w:pStyle w:val="TableParagraph"/>
              <w:spacing w:line="240" w:lineRule="auto" w:before="105"/>
              <w:ind w:left="210" w:right="0"/>
              <w:jc w:val="center"/>
              <w:rPr>
                <w:rFonts w:ascii="Times New Roman" w:hAnsi="Times New Roman" w:cs="Times New Roman" w:eastAsia="Times New Roman" w:hint="default"/>
                <w:sz w:val="18"/>
                <w:szCs w:val="18"/>
              </w:rPr>
            </w:pPr>
            <w:r>
              <w:rPr>
                <w:rFonts w:ascii="Times New Roman"/>
                <w:sz w:val="18"/>
              </w:rPr>
              <w:t>548.56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12.99%</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 w:right="0"/>
              <w:jc w:val="center"/>
              <w:rPr>
                <w:rFonts w:ascii="Times New Roman" w:hAnsi="Times New Roman" w:cs="Times New Roman" w:eastAsia="Times New Roman" w:hint="default"/>
                <w:sz w:val="18"/>
                <w:szCs w:val="18"/>
              </w:rPr>
            </w:pPr>
            <w:r>
              <w:rPr>
                <w:rFonts w:ascii="Times New Roman"/>
                <w:sz w:val="18"/>
              </w:rPr>
              <w:t>1,136,039</w:t>
            </w:r>
          </w:p>
          <w:p>
            <w:pPr>
              <w:pStyle w:val="TableParagraph"/>
              <w:spacing w:line="240" w:lineRule="auto" w:before="105"/>
              <w:ind w:left="195" w:right="0"/>
              <w:jc w:val="center"/>
              <w:rPr>
                <w:rFonts w:ascii="Times New Roman" w:hAnsi="Times New Roman" w:cs="Times New Roman" w:eastAsia="Times New Roman" w:hint="default"/>
                <w:sz w:val="18"/>
                <w:szCs w:val="18"/>
              </w:rPr>
            </w:pPr>
            <w:r>
              <w:rPr>
                <w:rFonts w:ascii="Times New Roman"/>
                <w:sz w:val="18"/>
              </w:rPr>
              <w:t>,243.30</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1,275,3</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91,438.</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36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95.28%</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151,579,2</w:t>
            </w:r>
          </w:p>
          <w:p>
            <w:pPr>
              <w:pStyle w:val="TableParagraph"/>
              <w:spacing w:line="240" w:lineRule="auto" w:before="105"/>
              <w:ind w:left="375" w:right="0"/>
              <w:jc w:val="left"/>
              <w:rPr>
                <w:rFonts w:ascii="Times New Roman" w:hAnsi="Times New Roman" w:cs="Times New Roman" w:eastAsia="Times New Roman" w:hint="default"/>
                <w:sz w:val="18"/>
                <w:szCs w:val="18"/>
              </w:rPr>
            </w:pPr>
            <w:r>
              <w:rPr>
                <w:rFonts w:ascii="Times New Roman"/>
                <w:sz w:val="18"/>
              </w:rPr>
              <w:t>28.45</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8" w:right="0"/>
              <w:jc w:val="center"/>
              <w:rPr>
                <w:rFonts w:ascii="Times New Roman" w:hAnsi="Times New Roman" w:cs="Times New Roman" w:eastAsia="Times New Roman" w:hint="default"/>
                <w:sz w:val="18"/>
                <w:szCs w:val="18"/>
              </w:rPr>
            </w:pPr>
            <w:r>
              <w:rPr>
                <w:rFonts w:ascii="Times New Roman"/>
                <w:sz w:val="18"/>
              </w:rPr>
              <w:t>11.88%</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1,123,812,209.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91</w:t>
            </w: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60"/>
              <w:jc w:val="both"/>
              <w:rPr>
                <w:rFonts w:ascii="宋体" w:hAnsi="宋体" w:cs="宋体" w:eastAsia="宋体" w:hint="default"/>
                <w:sz w:val="18"/>
                <w:szCs w:val="18"/>
              </w:rPr>
            </w:pPr>
            <w:r>
              <w:rPr>
                <w:rFonts w:ascii="宋体" w:hAnsi="宋体" w:cs="宋体" w:eastAsia="宋体" w:hint="default"/>
                <w:sz w:val="18"/>
                <w:szCs w:val="18"/>
              </w:rPr>
              <w:t>单项金额不重大但 单独计提坏账准备 的应收账款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7" w:right="0"/>
              <w:jc w:val="left"/>
              <w:rPr>
                <w:rFonts w:ascii="Times New Roman" w:hAnsi="Times New Roman" w:cs="Times New Roman" w:eastAsia="Times New Roman" w:hint="default"/>
                <w:sz w:val="18"/>
                <w:szCs w:val="18"/>
              </w:rPr>
            </w:pPr>
            <w:r>
              <w:rPr>
                <w:rFonts w:ascii="Times New Roman"/>
                <w:sz w:val="18"/>
              </w:rPr>
              <w:t>76,839,8</w:t>
            </w:r>
          </w:p>
          <w:p>
            <w:pPr>
              <w:pStyle w:val="TableParagraph"/>
              <w:spacing w:line="240" w:lineRule="auto" w:before="105"/>
              <w:ind w:left="313" w:right="0"/>
              <w:jc w:val="left"/>
              <w:rPr>
                <w:rFonts w:ascii="Times New Roman" w:hAnsi="Times New Roman" w:cs="Times New Roman" w:eastAsia="Times New Roman" w:hint="default"/>
                <w:sz w:val="18"/>
                <w:szCs w:val="18"/>
              </w:rPr>
            </w:pPr>
            <w:r>
              <w:rPr>
                <w:rFonts w:ascii="Times New Roman"/>
                <w:sz w:val="18"/>
              </w:rPr>
              <w:t>43.48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5.56%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71,800,9</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81.12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93.44%</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5,038,862</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.36</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0" w:right="0"/>
              <w:jc w:val="left"/>
              <w:rPr>
                <w:rFonts w:ascii="Times New Roman" w:hAnsi="Times New Roman" w:cs="Times New Roman" w:eastAsia="Times New Roman" w:hint="default"/>
                <w:sz w:val="18"/>
                <w:szCs w:val="18"/>
              </w:rPr>
            </w:pPr>
            <w:r>
              <w:rPr>
                <w:rFonts w:ascii="Times New Roman"/>
                <w:sz w:val="18"/>
              </w:rPr>
              <w:t>63,150,</w:t>
            </w:r>
          </w:p>
          <w:p>
            <w:pPr>
              <w:pStyle w:val="TableParagraph"/>
              <w:spacing w:line="240" w:lineRule="auto" w:before="105"/>
              <w:ind w:left="126" w:right="0"/>
              <w:jc w:val="left"/>
              <w:rPr>
                <w:rFonts w:ascii="Times New Roman" w:hAnsi="Times New Roman" w:cs="Times New Roman" w:eastAsia="Times New Roman" w:hint="default"/>
                <w:sz w:val="18"/>
                <w:szCs w:val="18"/>
              </w:rPr>
            </w:pPr>
            <w:r>
              <w:rPr>
                <w:rFonts w:ascii="Times New Roman"/>
                <w:sz w:val="18"/>
              </w:rPr>
              <w:t>356.81</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4.72%</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62,814,82</w:t>
            </w:r>
          </w:p>
          <w:p>
            <w:pPr>
              <w:pStyle w:val="TableParagraph"/>
              <w:spacing w:line="240" w:lineRule="auto" w:before="105"/>
              <w:ind w:left="465" w:right="0"/>
              <w:jc w:val="left"/>
              <w:rPr>
                <w:rFonts w:ascii="Times New Roman" w:hAnsi="Times New Roman" w:cs="Times New Roman" w:eastAsia="Times New Roman" w:hint="default"/>
                <w:sz w:val="18"/>
                <w:szCs w:val="18"/>
              </w:rPr>
            </w:pPr>
            <w:r>
              <w:rPr>
                <w:rFonts w:ascii="Times New Roman"/>
                <w:sz w:val="18"/>
              </w:rPr>
              <w:t>4.35</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99.47%</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58" w:right="0"/>
              <w:jc w:val="left"/>
              <w:rPr>
                <w:rFonts w:ascii="Times New Roman" w:hAnsi="Times New Roman" w:cs="Times New Roman" w:eastAsia="Times New Roman" w:hint="default"/>
                <w:sz w:val="18"/>
                <w:szCs w:val="18"/>
              </w:rPr>
            </w:pPr>
            <w:r>
              <w:rPr>
                <w:rFonts w:ascii="Times New Roman"/>
                <w:sz w:val="18"/>
              </w:rPr>
              <w:t>335,532.46</w:t>
            </w:r>
          </w:p>
        </w:tc>
      </w:tr>
      <w:tr>
        <w:trPr>
          <w:trHeight w:val="317" w:hRule="exact"/>
        </w:trPr>
        <w:tc>
          <w:tcPr>
            <w:tcW w:w="1635"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1,382,47</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1,635.34</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sz w:val="18"/>
              </w:rPr>
              <w:t>241,393,</w:t>
            </w:r>
          </w:p>
          <w:p>
            <w:pPr>
              <w:pStyle w:val="TableParagraph"/>
              <w:spacing w:line="240" w:lineRule="auto" w:before="105"/>
              <w:ind w:left="210" w:right="0"/>
              <w:jc w:val="center"/>
              <w:rPr>
                <w:rFonts w:ascii="Times New Roman" w:hAnsi="Times New Roman" w:cs="Times New Roman" w:eastAsia="Times New Roman" w:hint="default"/>
                <w:sz w:val="18"/>
                <w:szCs w:val="18"/>
              </w:rPr>
            </w:pPr>
            <w:r>
              <w:rPr>
                <w:rFonts w:ascii="Times New Roman"/>
                <w:sz w:val="18"/>
              </w:rPr>
              <w:t>529.68</w:t>
            </w:r>
          </w:p>
        </w:tc>
        <w:tc>
          <w:tcPr>
            <w:tcW w:w="762" w:type="dxa"/>
            <w:vMerge w:val="restart"/>
            <w:tcBorders>
              <w:top w:val="single" w:sz="4" w:space="0" w:color="000000"/>
              <w:left w:val="single" w:sz="4" w:space="0" w:color="000000"/>
              <w:right w:val="single" w:sz="4" w:space="0" w:color="000000"/>
            </w:tcBorders>
          </w:tcPr>
          <w:p>
            <w:pP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 w:right="0"/>
              <w:jc w:val="center"/>
              <w:rPr>
                <w:rFonts w:ascii="Times New Roman" w:hAnsi="Times New Roman" w:cs="Times New Roman" w:eastAsia="Times New Roman" w:hint="default"/>
                <w:sz w:val="18"/>
                <w:szCs w:val="18"/>
              </w:rPr>
            </w:pPr>
            <w:r>
              <w:rPr>
                <w:rFonts w:ascii="Times New Roman"/>
                <w:sz w:val="18"/>
              </w:rPr>
              <w:t>1,141,078</w:t>
            </w:r>
          </w:p>
          <w:p>
            <w:pPr>
              <w:pStyle w:val="TableParagraph"/>
              <w:spacing w:line="240" w:lineRule="auto" w:before="105"/>
              <w:ind w:left="195" w:right="0"/>
              <w:jc w:val="center"/>
              <w:rPr>
                <w:rFonts w:ascii="Times New Roman" w:hAnsi="Times New Roman" w:cs="Times New Roman" w:eastAsia="Times New Roman" w:hint="default"/>
                <w:sz w:val="18"/>
                <w:szCs w:val="18"/>
              </w:rPr>
            </w:pPr>
            <w:r>
              <w:rPr>
                <w:rFonts w:ascii="Times New Roman"/>
                <w:sz w:val="18"/>
              </w:rPr>
              <w:t>,105.66</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1,338,5</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41,795.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17</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214,394,0</w:t>
            </w:r>
          </w:p>
          <w:p>
            <w:pPr>
              <w:pStyle w:val="TableParagraph"/>
              <w:spacing w:line="240" w:lineRule="auto" w:before="105"/>
              <w:ind w:left="375" w:right="0"/>
              <w:jc w:val="left"/>
              <w:rPr>
                <w:rFonts w:ascii="Times New Roman" w:hAnsi="Times New Roman" w:cs="Times New Roman" w:eastAsia="Times New Roman" w:hint="default"/>
                <w:sz w:val="18"/>
                <w:szCs w:val="18"/>
              </w:rPr>
            </w:pPr>
            <w:r>
              <w:rPr>
                <w:rFonts w:ascii="Times New Roman"/>
                <w:sz w:val="18"/>
              </w:rPr>
              <w:t>52.80</w:t>
            </w:r>
          </w:p>
        </w:tc>
        <w:tc>
          <w:tcPr>
            <w:tcW w:w="662" w:type="dxa"/>
            <w:vMerge w:val="restart"/>
            <w:tcBorders>
              <w:top w:val="single" w:sz="4" w:space="0" w:color="000000"/>
              <w:left w:val="single" w:sz="4" w:space="0" w:color="000000"/>
              <w:right w:val="single" w:sz="4" w:space="0" w:color="000000"/>
            </w:tcBorders>
          </w:tcPr>
          <w:p>
            <w:pPr/>
          </w:p>
        </w:tc>
        <w:tc>
          <w:tcPr>
            <w:tcW w:w="120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1,124,147,742.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37</w:t>
            </w:r>
          </w:p>
        </w:tc>
      </w:tr>
      <w:tr>
        <w:trPr>
          <w:trHeight w:val="392" w:hRule="exact"/>
        </w:trPr>
        <w:tc>
          <w:tcPr>
            <w:tcW w:w="163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1202" w:type="dxa"/>
            <w:vMerge/>
            <w:tcBorders>
              <w:left w:val="single" w:sz="4" w:space="0" w:color="000000"/>
              <w:right w:val="single" w:sz="4" w:space="0" w:color="000000"/>
            </w:tcBorders>
          </w:tcPr>
          <w:p>
            <w:pPr/>
          </w:p>
        </w:tc>
      </w:tr>
      <w:tr>
        <w:trPr>
          <w:trHeight w:val="317" w:hRule="exact"/>
        </w:trPr>
        <w:tc>
          <w:tcPr>
            <w:tcW w:w="163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1202" w:type="dxa"/>
            <w:vMerge/>
            <w:tcBorders>
              <w:left w:val="single" w:sz="4" w:space="0" w:color="000000"/>
              <w:bottom w:val="single" w:sz="4" w:space="0" w:color="000000"/>
              <w:right w:val="single" w:sz="4" w:space="0" w:color="000000"/>
            </w:tcBorders>
          </w:tcPr>
          <w:p>
            <w:pPr/>
          </w:p>
        </w:tc>
      </w:tr>
    </w:tbl>
    <w:p>
      <w:pPr>
        <w:spacing w:line="240" w:lineRule="auto" w:before="6"/>
        <w:rPr>
          <w:rFonts w:ascii="宋体" w:hAnsi="宋体" w:cs="宋体" w:eastAsia="宋体" w:hint="default"/>
          <w:sz w:val="6"/>
          <w:szCs w:val="6"/>
        </w:rPr>
      </w:pPr>
    </w:p>
    <w:p>
      <w:pPr>
        <w:pStyle w:val="BodyText"/>
        <w:spacing w:line="240" w:lineRule="auto" w:before="44"/>
        <w:ind w:left="134" w:right="1032"/>
        <w:jc w:val="left"/>
      </w:pPr>
      <w:r>
        <w:rPr/>
        <w:t>期末单项金额重大并单项计提坏账准备的应收账款：</w:t>
      </w:r>
    </w:p>
    <w:p>
      <w:pPr>
        <w:spacing w:line="240" w:lineRule="auto" w:before="12"/>
        <w:rPr>
          <w:rFonts w:ascii="宋体" w:hAnsi="宋体" w:cs="宋体" w:eastAsia="宋体" w:hint="default"/>
          <w:sz w:val="20"/>
          <w:szCs w:val="20"/>
        </w:rPr>
      </w:pPr>
    </w:p>
    <w:p>
      <w:pPr>
        <w:pStyle w:val="BodyText"/>
        <w:spacing w:line="489" w:lineRule="auto"/>
        <w:ind w:left="134" w:right="67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4"/>
        </w:rPr>
        <w:t> </w:t>
      </w:r>
      <w:r>
        <w:rPr>
          <w:rFonts w:ascii="宋体" w:hAnsi="宋体" w:cs="宋体" w:eastAsia="宋体" w:hint="default"/>
          <w:b/>
          <w:bCs/>
        </w:rPr>
        <w:t>不适用</w:t>
      </w:r>
      <w:r>
        <w:rPr>
          <w:rFonts w:ascii="宋体" w:hAnsi="宋体" w:cs="宋体" w:eastAsia="宋体" w:hint="default"/>
          <w:b/>
          <w:bCs/>
          <w:w w:val="99"/>
        </w:rPr>
        <w:t> </w:t>
      </w:r>
      <w:r>
        <w:rPr/>
        <w:t>组合中，按账龄分析法计提坏账准备的应收账款：</w:t>
      </w:r>
    </w:p>
    <w:p>
      <w:pPr>
        <w:spacing w:before="85"/>
        <w:ind w:left="134" w:right="768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6"/>
        <w:rPr>
          <w:rFonts w:ascii="宋体" w:hAnsi="宋体" w:cs="宋体" w:eastAsia="宋体" w:hint="default"/>
          <w:sz w:val="10"/>
          <w:szCs w:val="10"/>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0" w:type="dxa"/>
        <w:tblLayout w:type="fixed"/>
        <w:tblCellMar>
          <w:top w:w="0" w:type="dxa"/>
          <w:left w:w="0" w:type="dxa"/>
          <w:bottom w:w="0" w:type="dxa"/>
          <w:right w:w="0" w:type="dxa"/>
        </w:tblCellMar>
        <w:tblLook w:val="01E0"/>
      </w:tblPr>
      <w:tblGrid>
        <w:gridCol w:w="2381"/>
        <w:gridCol w:w="2393"/>
        <w:gridCol w:w="2392"/>
        <w:gridCol w:w="2392"/>
      </w:tblGrid>
      <w:tr>
        <w:trPr>
          <w:trHeight w:val="206" w:hRule="exact"/>
        </w:trPr>
        <w:tc>
          <w:tcPr>
            <w:tcW w:w="2381" w:type="dxa"/>
            <w:tcBorders>
              <w:top w:val="single" w:sz="4" w:space="0" w:color="000000"/>
              <w:left w:val="single" w:sz="4" w:space="0" w:color="000000"/>
              <w:bottom w:val="nil" w:sz="6" w:space="0" w:color="auto"/>
              <w:right w:val="single" w:sz="4" w:space="0" w:color="000000"/>
            </w:tcBorders>
            <w:shd w:val="clear" w:color="auto" w:fill="D2D2D2"/>
          </w:tcPr>
          <w:p>
            <w:pPr/>
          </w:p>
        </w:tc>
        <w:tc>
          <w:tcPr>
            <w:tcW w:w="717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1" w:hRule="exact"/>
        </w:trPr>
        <w:tc>
          <w:tcPr>
            <w:tcW w:w="238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账龄</w:t>
            </w:r>
          </w:p>
        </w:tc>
        <w:tc>
          <w:tcPr>
            <w:tcW w:w="7177" w:type="dxa"/>
            <w:gridSpan w:val="3"/>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2381" w:type="dxa"/>
            <w:vMerge/>
            <w:tcBorders>
              <w:left w:val="single" w:sz="4" w:space="0" w:color="000000"/>
              <w:bottom w:val="nil" w:sz="6" w:space="0" w:color="auto"/>
              <w:right w:val="single" w:sz="4" w:space="0" w:color="000000"/>
            </w:tcBorders>
            <w:shd w:val="clear" w:color="auto" w:fill="D2D2D2"/>
          </w:tcPr>
          <w:p>
            <w:pP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05" w:hRule="exact"/>
        </w:trPr>
        <w:tc>
          <w:tcPr>
            <w:tcW w:w="2381"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23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843,386,057.72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42,210,652.89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279,801,335.48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27,980,133.57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1000" w:right="0"/>
        </w:sectPr>
      </w:pPr>
    </w:p>
    <w:p>
      <w:pPr>
        <w:spacing w:line="240" w:lineRule="auto" w:before="6"/>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2392"/>
        <w:gridCol w:w="2393"/>
        <w:gridCol w:w="2392"/>
        <w:gridCol w:w="2392"/>
      </w:tblGrid>
      <w:tr>
        <w:trPr>
          <w:trHeight w:val="414" w:hRule="exact"/>
        </w:trPr>
        <w:tc>
          <w:tcPr>
            <w:tcW w:w="239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0"/>
              <w:jc w:val="right"/>
              <w:rPr>
                <w:rFonts w:ascii="Times New Roman" w:hAnsi="Times New Roman" w:cs="Times New Roman" w:eastAsia="Times New Roman" w:hint="default"/>
                <w:sz w:val="18"/>
                <w:szCs w:val="18"/>
              </w:rPr>
            </w:pPr>
            <w:r>
              <w:rPr>
                <w:rFonts w:ascii="Times New Roman"/>
                <w:spacing w:val="-1"/>
                <w:sz w:val="18"/>
              </w:rPr>
              <w:t>84,272,508.43</w:t>
            </w:r>
          </w:p>
        </w:tc>
        <w:tc>
          <w:tcPr>
            <w:tcW w:w="239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0"/>
              <w:jc w:val="right"/>
              <w:rPr>
                <w:rFonts w:ascii="Times New Roman" w:hAnsi="Times New Roman" w:cs="Times New Roman" w:eastAsia="Times New Roman" w:hint="default"/>
                <w:sz w:val="18"/>
                <w:szCs w:val="18"/>
              </w:rPr>
            </w:pPr>
            <w:r>
              <w:rPr>
                <w:rFonts w:ascii="Times New Roman"/>
                <w:spacing w:val="-1"/>
                <w:sz w:val="18"/>
              </w:rPr>
              <w:t>25,332,604.03</w:t>
            </w:r>
          </w:p>
        </w:tc>
        <w:tc>
          <w:tcPr>
            <w:tcW w:w="239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19"/>
              <w:jc w:val="right"/>
              <w:rPr>
                <w:rFonts w:ascii="Times New Roman" w:hAnsi="Times New Roman" w:cs="Times New Roman" w:eastAsia="Times New Roman" w:hint="default"/>
                <w:sz w:val="18"/>
                <w:szCs w:val="18"/>
              </w:rPr>
            </w:pPr>
            <w:r>
              <w:rPr>
                <w:rFonts w:ascii="Times New Roman"/>
                <w:sz w:val="18"/>
              </w:rPr>
              <w:t>30.06%</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31,573,145.87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15,794,509.54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50.03%</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41,620,479.18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33,296,383.35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24,978,265.18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24,978,265.18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3"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1,305,631,791.86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169,592,548.56</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6"/>
        <w:rPr>
          <w:rFonts w:ascii="宋体" w:hAnsi="宋体" w:cs="宋体" w:eastAsia="宋体" w:hint="default"/>
          <w:sz w:val="6"/>
          <w:szCs w:val="6"/>
        </w:rPr>
      </w:pPr>
    </w:p>
    <w:p>
      <w:pPr>
        <w:pStyle w:val="BodyText"/>
        <w:spacing w:line="240" w:lineRule="auto" w:before="44"/>
        <w:ind w:left="134" w:right="1032"/>
        <w:jc w:val="left"/>
      </w:pPr>
      <w:r>
        <w:rPr/>
        <w:t>组合中，采用余额百分比法计提坏账准备的应收账款：</w:t>
      </w:r>
    </w:p>
    <w:p>
      <w:pPr>
        <w:spacing w:line="240" w:lineRule="auto" w:before="10"/>
        <w:rPr>
          <w:rFonts w:ascii="宋体" w:hAnsi="宋体" w:cs="宋体" w:eastAsia="宋体" w:hint="default"/>
          <w:sz w:val="20"/>
          <w:szCs w:val="20"/>
        </w:rPr>
      </w:pPr>
    </w:p>
    <w:p>
      <w:pPr>
        <w:pStyle w:val="BodyText"/>
        <w:spacing w:line="489" w:lineRule="auto"/>
        <w:ind w:left="134" w:right="67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4"/>
        </w:rPr>
        <w:t> </w:t>
      </w:r>
      <w:r>
        <w:rPr>
          <w:rFonts w:ascii="宋体" w:hAnsi="宋体" w:cs="宋体" w:eastAsia="宋体" w:hint="default"/>
          <w:b/>
          <w:bCs/>
        </w:rPr>
        <w:t>不适用</w:t>
      </w:r>
      <w:r>
        <w:rPr>
          <w:rFonts w:ascii="宋体" w:hAnsi="宋体" w:cs="宋体" w:eastAsia="宋体" w:hint="default"/>
          <w:b/>
          <w:bCs/>
          <w:w w:val="99"/>
        </w:rPr>
        <w:t> </w:t>
      </w:r>
      <w:r>
        <w:rPr/>
        <w:t>组合中，采用其他方法计提坏账准备的应收账款：</w:t>
      </w:r>
    </w:p>
    <w:p>
      <w:pPr>
        <w:spacing w:before="85"/>
        <w:ind w:left="134" w:right="768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0"/>
        <w:rPr>
          <w:rFonts w:ascii="宋体" w:hAnsi="宋体" w:cs="宋体" w:eastAsia="宋体" w:hint="default"/>
          <w:b/>
          <w:bCs/>
          <w:sz w:val="19"/>
          <w:szCs w:val="19"/>
        </w:rPr>
      </w:pPr>
    </w:p>
    <w:p>
      <w:pPr>
        <w:pStyle w:val="BodyText"/>
        <w:spacing w:line="240" w:lineRule="auto"/>
        <w:ind w:left="134" w:right="1032"/>
        <w:jc w:val="left"/>
      </w:pPr>
      <w:r>
        <w:rPr/>
        <w:t>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上市公司从事软件与信息技术服务业务》的披露要求</w:t>
      </w:r>
    </w:p>
    <w:p>
      <w:pPr>
        <w:spacing w:line="240" w:lineRule="auto" w:before="10"/>
        <w:rPr>
          <w:rFonts w:ascii="宋体" w:hAnsi="宋体" w:cs="宋体" w:eastAsia="宋体" w:hint="default"/>
          <w:sz w:val="19"/>
          <w:szCs w:val="19"/>
        </w:rPr>
      </w:pPr>
    </w:p>
    <w:p>
      <w:pPr>
        <w:pStyle w:val="Heading5"/>
        <w:spacing w:line="240" w:lineRule="auto"/>
        <w:ind w:left="134" w:right="1032"/>
        <w:jc w:val="left"/>
        <w:rPr>
          <w:b w:val="0"/>
          <w:bCs w:val="0"/>
        </w:rPr>
      </w:pP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11"/>
        <w:rPr>
          <w:rFonts w:ascii="宋体" w:hAnsi="宋体" w:cs="宋体" w:eastAsia="宋体" w:hint="default"/>
          <w:b/>
          <w:bCs/>
          <w:sz w:val="19"/>
          <w:szCs w:val="19"/>
        </w:rPr>
      </w:pPr>
    </w:p>
    <w:p>
      <w:pPr>
        <w:pStyle w:val="BodyText"/>
        <w:spacing w:line="240" w:lineRule="auto"/>
        <w:ind w:left="134" w:right="1032"/>
        <w:jc w:val="left"/>
      </w:pPr>
      <w:r>
        <w:rPr/>
        <w:t>本期计提坏账准备金额</w:t>
      </w:r>
      <w:r>
        <w:rPr>
          <w:spacing w:val="-47"/>
        </w:rPr>
        <w:t> </w:t>
      </w:r>
      <w:r>
        <w:rPr>
          <w:rFonts w:ascii="Times New Roman" w:hAnsi="Times New Roman" w:cs="Times New Roman" w:eastAsia="Times New Roman" w:hint="default"/>
        </w:rPr>
        <w:t>27,270,562.06</w:t>
      </w:r>
      <w:r>
        <w:rPr>
          <w:rFonts w:ascii="Times New Roman" w:hAnsi="Times New Roman" w:cs="Times New Roman" w:eastAsia="Times New Roman" w:hint="default"/>
          <w:spacing w:val="-1"/>
        </w:rPr>
        <w:t> </w:t>
      </w:r>
      <w:r>
        <w:rPr/>
        <w:t>元；本期收回或转回坏账准备金额</w:t>
      </w:r>
      <w:r>
        <w:rPr>
          <w:spacing w:val="-47"/>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spacing w:line="240" w:lineRule="auto" w:before="10"/>
        <w:rPr>
          <w:rFonts w:ascii="宋体" w:hAnsi="宋体" w:cs="宋体" w:eastAsia="宋体" w:hint="default"/>
          <w:sz w:val="19"/>
          <w:szCs w:val="19"/>
        </w:rPr>
      </w:pPr>
    </w:p>
    <w:p>
      <w:pPr>
        <w:pStyle w:val="Heading5"/>
        <w:spacing w:line="487" w:lineRule="auto"/>
        <w:ind w:left="134" w:right="8253"/>
        <w:jc w:val="left"/>
        <w:rPr>
          <w:rFonts w:ascii="宋体" w:hAnsi="宋体" w:cs="宋体" w:eastAsia="宋体" w:hint="default"/>
          <w:b w:val="0"/>
          <w:bCs w:val="0"/>
        </w:rPr>
      </w:pPr>
      <w:r>
        <w:rPr>
          <w:rFonts w:ascii="Times New Roman" w:hAnsi="Times New Roman" w:cs="Times New Roman" w:eastAsia="Times New Roman" w:hint="default"/>
        </w:rPr>
        <w:t>3)</w:t>
      </w:r>
      <w:r>
        <w:rPr/>
        <w:t>本期实际核销的应收账款情况</w:t>
      </w:r>
      <w:r>
        <w:rPr>
          <w:w w:val="99"/>
        </w:rPr>
        <w:t> </w:t>
      </w:r>
      <w:r>
        <w:rPr>
          <w:rFonts w:ascii="宋体" w:hAnsi="宋体" w:cs="宋体" w:eastAsia="宋体" w:hint="default"/>
          <w:b w:val="0"/>
          <w:bCs w:val="0"/>
        </w:rPr>
        <w:t>无。</w:t>
      </w:r>
    </w:p>
    <w:p>
      <w:pPr>
        <w:spacing w:line="489" w:lineRule="auto" w:before="88"/>
        <w:ind w:left="134" w:right="6807"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按欠款方归集的期末余额前五名的应收账款情况</w:t>
      </w:r>
      <w:r>
        <w:rPr>
          <w:rFonts w:ascii="宋体" w:hAnsi="宋体" w:cs="宋体" w:eastAsia="宋体" w:hint="default"/>
          <w:b/>
          <w:bCs/>
          <w:w w:val="99"/>
          <w:sz w:val="18"/>
          <w:szCs w:val="18"/>
        </w:rPr>
        <w:t> </w:t>
      </w:r>
      <w:r>
        <w:rPr>
          <w:rFonts w:ascii="宋体" w:hAnsi="宋体" w:cs="宋体" w:eastAsia="宋体" w:hint="default"/>
          <w:sz w:val="18"/>
          <w:szCs w:val="18"/>
        </w:rPr>
        <w:t>公司是否需要遵守特殊行业的披露要求</w:t>
      </w:r>
    </w:p>
    <w:p>
      <w:pPr>
        <w:pStyle w:val="Heading5"/>
        <w:spacing w:line="518" w:lineRule="auto" w:before="85"/>
        <w:ind w:left="134" w:right="7801"/>
        <w:jc w:val="left"/>
        <w:rPr>
          <w:b w:val="0"/>
          <w:bCs w:val="0"/>
        </w:rPr>
      </w:pPr>
      <w:r>
        <w:rPr/>
        <w:t>是</w:t>
      </w:r>
      <w:r>
        <w:rPr>
          <w:w w:val="99"/>
        </w:rPr>
        <w:t> </w:t>
      </w:r>
      <w:r>
        <w:rPr/>
        <w:t>软件与信息技术服务业</w:t>
      </w:r>
      <w:r>
        <w:rPr>
          <w:rFonts w:ascii="Times New Roman" w:hAnsi="Times New Roman" w:cs="Times New Roman" w:eastAsia="Times New Roman" w:hint="default"/>
        </w:rPr>
        <w:t>;</w:t>
      </w:r>
      <w:r>
        <w:rPr/>
        <w:t>互联网游戏业</w:t>
      </w:r>
      <w:r>
        <w:rPr>
          <w:b w:val="0"/>
          <w:bCs w:val="0"/>
        </w:rPr>
      </w:r>
    </w:p>
    <w:p>
      <w:pPr>
        <w:pStyle w:val="BodyText"/>
        <w:spacing w:line="240" w:lineRule="auto" w:before="27"/>
        <w:ind w:left="0" w:right="1310"/>
        <w:jc w:val="right"/>
      </w:pPr>
      <w:r>
        <w:rPr/>
        <w:t>单位：元</w:t>
      </w:r>
    </w:p>
    <w:p>
      <w:pPr>
        <w:spacing w:line="240" w:lineRule="auto" w:before="12"/>
        <w:rPr>
          <w:rFonts w:ascii="宋体" w:hAnsi="宋体" w:cs="宋体" w:eastAsia="宋体" w:hint="default"/>
          <w:sz w:val="13"/>
          <w:szCs w:val="13"/>
        </w:rPr>
      </w:pPr>
    </w:p>
    <w:tbl>
      <w:tblPr>
        <w:tblW w:w="0" w:type="auto"/>
        <w:jc w:val="left"/>
        <w:tblInd w:w="117" w:type="dxa"/>
        <w:tblLayout w:type="fixed"/>
        <w:tblCellMar>
          <w:top w:w="0" w:type="dxa"/>
          <w:left w:w="0" w:type="dxa"/>
          <w:bottom w:w="0" w:type="dxa"/>
          <w:right w:w="0" w:type="dxa"/>
        </w:tblCellMar>
        <w:tblLook w:val="01E0"/>
      </w:tblPr>
      <w:tblGrid>
        <w:gridCol w:w="3969"/>
        <w:gridCol w:w="2005"/>
        <w:gridCol w:w="1869"/>
        <w:gridCol w:w="1816"/>
      </w:tblGrid>
      <w:tr>
        <w:trPr>
          <w:trHeight w:val="348" w:hRule="exact"/>
        </w:trPr>
        <w:tc>
          <w:tcPr>
            <w:tcW w:w="3969" w:type="dxa"/>
            <w:vMerge w:val="restart"/>
            <w:tcBorders>
              <w:top w:val="single" w:sz="6" w:space="0" w:color="000000"/>
              <w:left w:val="single" w:sz="6" w:space="0" w:color="000000"/>
              <w:right w:val="single" w:sz="6" w:space="0" w:color="000000"/>
            </w:tcBorders>
            <w:shd w:val="clear" w:color="auto" w:fill="D2D2D2"/>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5690" w:type="dxa"/>
            <w:gridSpan w:val="3"/>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658" w:hRule="exact"/>
        </w:trPr>
        <w:tc>
          <w:tcPr>
            <w:tcW w:w="3969" w:type="dxa"/>
            <w:vMerge/>
            <w:tcBorders>
              <w:left w:val="single" w:sz="6" w:space="0" w:color="000000"/>
              <w:bottom w:val="single" w:sz="6" w:space="0" w:color="000000"/>
              <w:right w:val="single" w:sz="6" w:space="0" w:color="000000"/>
            </w:tcBorders>
            <w:shd w:val="clear" w:color="auto" w:fill="D2D2D2"/>
          </w:tcPr>
          <w:p>
            <w:pPr/>
          </w:p>
        </w:tc>
        <w:tc>
          <w:tcPr>
            <w:tcW w:w="2005"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63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869"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316" w:lineRule="auto" w:before="20"/>
              <w:ind w:left="700" w:right="27" w:hanging="675"/>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占应收账款合计数的比 例</w:t>
            </w:r>
            <w:r>
              <w:rPr>
                <w:rFonts w:ascii="Times New Roman" w:hAnsi="Times New Roman" w:cs="Times New Roman" w:eastAsia="Times New Roman" w:hint="default"/>
                <w:sz w:val="18"/>
                <w:szCs w:val="18"/>
              </w:rPr>
              <w:t>(%)</w:t>
            </w:r>
          </w:p>
        </w:tc>
        <w:tc>
          <w:tcPr>
            <w:tcW w:w="1816"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540"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47" w:hRule="exact"/>
        </w:trPr>
        <w:tc>
          <w:tcPr>
            <w:tcW w:w="39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175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1</w:t>
            </w:r>
          </w:p>
        </w:tc>
        <w:tc>
          <w:tcPr>
            <w:tcW w:w="2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113,173,017.71</w:t>
            </w:r>
          </w:p>
        </w:tc>
        <w:tc>
          <w:tcPr>
            <w:tcW w:w="1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8.19</w:t>
            </w:r>
          </w:p>
        </w:tc>
        <w:tc>
          <w:tcPr>
            <w:tcW w:w="18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8,749,871.33</w:t>
            </w:r>
          </w:p>
        </w:tc>
      </w:tr>
      <w:tr>
        <w:trPr>
          <w:trHeight w:val="347" w:hRule="exact"/>
        </w:trPr>
        <w:tc>
          <w:tcPr>
            <w:tcW w:w="39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75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2</w:t>
            </w:r>
          </w:p>
        </w:tc>
        <w:tc>
          <w:tcPr>
            <w:tcW w:w="2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57,503,157.17</w:t>
            </w:r>
          </w:p>
        </w:tc>
        <w:tc>
          <w:tcPr>
            <w:tcW w:w="1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4.16</w:t>
            </w:r>
          </w:p>
        </w:tc>
        <w:tc>
          <w:tcPr>
            <w:tcW w:w="18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7,160,563.82</w:t>
            </w:r>
          </w:p>
        </w:tc>
      </w:tr>
      <w:tr>
        <w:trPr>
          <w:trHeight w:val="347" w:hRule="exact"/>
        </w:trPr>
        <w:tc>
          <w:tcPr>
            <w:tcW w:w="39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75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3</w:t>
            </w:r>
          </w:p>
        </w:tc>
        <w:tc>
          <w:tcPr>
            <w:tcW w:w="2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52,714,936.21</w:t>
            </w:r>
          </w:p>
        </w:tc>
        <w:tc>
          <w:tcPr>
            <w:tcW w:w="1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3.81</w:t>
            </w:r>
          </w:p>
        </w:tc>
        <w:tc>
          <w:tcPr>
            <w:tcW w:w="18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4,781,333.37</w:t>
            </w:r>
          </w:p>
        </w:tc>
      </w:tr>
      <w:tr>
        <w:trPr>
          <w:trHeight w:val="347" w:hRule="exact"/>
        </w:trPr>
        <w:tc>
          <w:tcPr>
            <w:tcW w:w="39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75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4</w:t>
            </w:r>
          </w:p>
        </w:tc>
        <w:tc>
          <w:tcPr>
            <w:tcW w:w="2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49,586,236.74</w:t>
            </w:r>
          </w:p>
        </w:tc>
        <w:tc>
          <w:tcPr>
            <w:tcW w:w="1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3.59</w:t>
            </w:r>
          </w:p>
        </w:tc>
        <w:tc>
          <w:tcPr>
            <w:tcW w:w="18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15,007,419.30</w:t>
            </w:r>
          </w:p>
        </w:tc>
      </w:tr>
      <w:tr>
        <w:trPr>
          <w:trHeight w:val="348" w:hRule="exact"/>
        </w:trPr>
        <w:tc>
          <w:tcPr>
            <w:tcW w:w="39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75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5</w:t>
            </w:r>
          </w:p>
        </w:tc>
        <w:tc>
          <w:tcPr>
            <w:tcW w:w="2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47,912,691.71</w:t>
            </w:r>
          </w:p>
        </w:tc>
        <w:tc>
          <w:tcPr>
            <w:tcW w:w="1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3.47</w:t>
            </w:r>
          </w:p>
        </w:tc>
        <w:tc>
          <w:tcPr>
            <w:tcW w:w="18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19,023,933.48</w:t>
            </w:r>
          </w:p>
        </w:tc>
      </w:tr>
      <w:tr>
        <w:trPr>
          <w:trHeight w:val="347" w:hRule="exact"/>
        </w:trPr>
        <w:tc>
          <w:tcPr>
            <w:tcW w:w="39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796"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0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320,890,039.54</w:t>
            </w:r>
          </w:p>
        </w:tc>
        <w:tc>
          <w:tcPr>
            <w:tcW w:w="1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z w:val="18"/>
              </w:rPr>
              <w:t>23.22</w:t>
            </w:r>
          </w:p>
        </w:tc>
        <w:tc>
          <w:tcPr>
            <w:tcW w:w="18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54,723,121.30</w:t>
            </w:r>
          </w:p>
        </w:tc>
      </w:tr>
    </w:tbl>
    <w:p>
      <w:pPr>
        <w:spacing w:line="240" w:lineRule="auto" w:before="5"/>
        <w:rPr>
          <w:rFonts w:ascii="宋体" w:hAnsi="宋体" w:cs="宋体" w:eastAsia="宋体" w:hint="default"/>
          <w:sz w:val="24"/>
          <w:szCs w:val="24"/>
        </w:rPr>
      </w:pPr>
    </w:p>
    <w:p>
      <w:pPr>
        <w:pStyle w:val="Heading5"/>
        <w:spacing w:line="338" w:lineRule="auto" w:before="44"/>
        <w:ind w:left="134" w:right="7530"/>
        <w:jc w:val="left"/>
        <w:rPr>
          <w:rFonts w:ascii="宋体" w:hAnsi="宋体" w:cs="宋体" w:eastAsia="宋体" w:hint="default"/>
          <w:b w:val="0"/>
          <w:bCs w:val="0"/>
        </w:rPr>
      </w:pPr>
      <w:r>
        <w:rPr>
          <w:rFonts w:ascii="Times New Roman" w:hAnsi="Times New Roman" w:cs="Times New Roman" w:eastAsia="Times New Roman" w:hint="default"/>
        </w:rPr>
        <w:t>5)</w:t>
      </w:r>
      <w:r>
        <w:rPr/>
        <w:t>因金融资产转移而终止确认的应收账款</w:t>
      </w:r>
      <w:r>
        <w:rPr>
          <w:w w:val="99"/>
        </w:rPr>
        <w:t> </w:t>
      </w:r>
      <w:r>
        <w:rPr>
          <w:rFonts w:ascii="宋体" w:hAnsi="宋体" w:cs="宋体" w:eastAsia="宋体" w:hint="default"/>
          <w:b w:val="0"/>
          <w:bCs w:val="0"/>
        </w:rPr>
        <w:t>无。</w:t>
      </w:r>
    </w:p>
    <w:p>
      <w:pPr>
        <w:pStyle w:val="Heading5"/>
        <w:spacing w:line="240" w:lineRule="auto" w:before="43"/>
        <w:ind w:left="134" w:right="1032"/>
        <w:jc w:val="left"/>
        <w:rPr>
          <w:b w:val="0"/>
          <w:bCs w:val="0"/>
        </w:rPr>
      </w:pPr>
      <w:r>
        <w:rPr>
          <w:rFonts w:ascii="Times New Roman" w:hAnsi="Times New Roman" w:cs="Times New Roman" w:eastAsia="Times New Roman" w:hint="default"/>
        </w:rPr>
        <w:t>6)</w:t>
      </w:r>
      <w:r>
        <w:rPr/>
        <w:t>转移应收账款且继续涉入形成的资产、负债金额</w:t>
      </w:r>
      <w:r>
        <w:rPr>
          <w:b w:val="0"/>
          <w:bCs w:val="0"/>
        </w:rPr>
      </w:r>
    </w:p>
    <w:p>
      <w:pPr>
        <w:spacing w:after="0" w:line="240" w:lineRule="auto"/>
        <w:jc w:val="left"/>
        <w:sectPr>
          <w:pgSz w:w="11910" w:h="16840"/>
          <w:pgMar w:header="851" w:footer="979" w:top="1400" w:bottom="1160" w:left="1000" w:right="0"/>
        </w:sectPr>
      </w:pPr>
    </w:p>
    <w:p>
      <w:pPr>
        <w:spacing w:line="240" w:lineRule="auto" w:before="11"/>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before="5"/>
        <w:ind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5、预付款项" w:id="239"/>
      <w:bookmarkEnd w:id="239"/>
      <w:r>
        <w:rPr>
          <w:b w:val="0"/>
          <w:bCs w:val="0"/>
        </w:rPr>
      </w:r>
      <w:r>
        <w:rPr>
          <w:rFonts w:ascii="Times New Roman" w:hAnsi="Times New Roman" w:cs="Times New Roman" w:eastAsia="Times New Roman" w:hint="default"/>
        </w:rPr>
        <w:t>5</w:t>
      </w:r>
      <w:r>
        <w:rPr/>
        <w:t>、预付款项</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预付款项按账龄列示" w:id="240"/>
      <w:bookmarkEnd w:id="240"/>
      <w:r>
        <w:rPr>
          <w:b w:val="0"/>
          <w:bCs w:val="0"/>
        </w:rPr>
      </w:r>
      <w:r>
        <w:rPr/>
        <w:t>（</w:t>
      </w:r>
      <w:r>
        <w:rPr>
          <w:rFonts w:ascii="Times New Roman" w:hAnsi="Times New Roman" w:cs="Times New Roman" w:eastAsia="Times New Roman" w:hint="default"/>
        </w:rPr>
        <w:t>1</w:t>
      </w:r>
      <w:r>
        <w:rPr/>
        <w:t>）预付款项按账龄列示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7"/>
        <w:gridCol w:w="1914"/>
        <w:gridCol w:w="1914"/>
        <w:gridCol w:w="1915"/>
      </w:tblGrid>
      <w:tr>
        <w:trPr>
          <w:trHeight w:val="206" w:hRule="exact"/>
        </w:trPr>
        <w:tc>
          <w:tcPr>
            <w:tcW w:w="18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84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1" w:hRule="exact"/>
        </w:trPr>
        <w:tc>
          <w:tcPr>
            <w:tcW w:w="18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841" w:type="dxa"/>
            <w:gridSpan w:val="2"/>
            <w:vMerge/>
            <w:tcBorders>
              <w:left w:val="single" w:sz="4" w:space="0" w:color="000000"/>
              <w:bottom w:val="single" w:sz="4" w:space="0" w:color="000000"/>
              <w:right w:val="single" w:sz="4" w:space="0" w:color="000000"/>
            </w:tcBorders>
            <w:shd w:val="clear" w:color="auto" w:fill="D2D2D2"/>
          </w:tcPr>
          <w:p>
            <w:pPr/>
          </w:p>
        </w:tc>
        <w:tc>
          <w:tcPr>
            <w:tcW w:w="3830"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889" w:type="dxa"/>
            <w:vMerge/>
            <w:tcBorders>
              <w:left w:val="single" w:sz="4" w:space="0" w:color="000000"/>
              <w:bottom w:val="nil" w:sz="6" w:space="0" w:color="auto"/>
              <w:right w:val="single" w:sz="4" w:space="0" w:color="000000"/>
            </w:tcBorders>
            <w:shd w:val="clear" w:color="auto" w:fill="D2D2D2"/>
          </w:tcPr>
          <w:p>
            <w:pPr/>
          </w:p>
        </w:tc>
        <w:tc>
          <w:tcPr>
            <w:tcW w:w="192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206" w:hRule="exact"/>
        </w:trPr>
        <w:tc>
          <w:tcPr>
            <w:tcW w:w="18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7"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11,931,580.78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81.21%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16,666,776.04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95.30%</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2,527,113.45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17.20%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767,776.99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4.39%</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178,587.88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53,980.74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0.31%</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53,980.74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0.37%</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7"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pacing w:val="-1"/>
                <w:sz w:val="18"/>
              </w:rPr>
              <w:t>14,691,262.85</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9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17,488,533.77</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按预付对象归集的期末余额前五名的预付款情况" w:id="241"/>
      <w:bookmarkEnd w:id="241"/>
      <w:r>
        <w:rPr>
          <w:b w:val="0"/>
          <w:bCs w:val="0"/>
        </w:rPr>
      </w:r>
      <w:r>
        <w:rPr/>
        <w:t>（</w:t>
      </w:r>
      <w:r>
        <w:rPr>
          <w:rFonts w:ascii="Times New Roman" w:hAnsi="Times New Roman" w:cs="Times New Roman" w:eastAsia="Times New Roman" w:hint="default"/>
        </w:rPr>
        <w:t>2</w:t>
      </w:r>
      <w:r>
        <w:rPr/>
        <w:t>）按预付对象归集的期末余额前五名的预付款情况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3"/>
        <w:rPr>
          <w:rFonts w:ascii="宋体" w:hAnsi="宋体" w:cs="宋体" w:eastAsia="宋体" w:hint="default"/>
          <w:sz w:val="7"/>
          <w:szCs w:val="7"/>
        </w:rPr>
      </w:pPr>
    </w:p>
    <w:tbl>
      <w:tblPr>
        <w:tblW w:w="0" w:type="auto"/>
        <w:jc w:val="left"/>
        <w:tblInd w:w="137" w:type="dxa"/>
        <w:tblLayout w:type="fixed"/>
        <w:tblCellMar>
          <w:top w:w="0" w:type="dxa"/>
          <w:left w:w="0" w:type="dxa"/>
          <w:bottom w:w="0" w:type="dxa"/>
          <w:right w:w="0" w:type="dxa"/>
        </w:tblCellMar>
        <w:tblLook w:val="01E0"/>
      </w:tblPr>
      <w:tblGrid>
        <w:gridCol w:w="3838"/>
        <w:gridCol w:w="2693"/>
        <w:gridCol w:w="3128"/>
      </w:tblGrid>
      <w:tr>
        <w:trPr>
          <w:trHeight w:val="389" w:hRule="exact"/>
        </w:trPr>
        <w:tc>
          <w:tcPr>
            <w:tcW w:w="3838"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44"/>
              <w:ind w:left="1552" w:right="0"/>
              <w:jc w:val="left"/>
              <w:rPr>
                <w:rFonts w:ascii="宋体" w:hAnsi="宋体" w:cs="宋体" w:eastAsia="宋体" w:hint="default"/>
                <w:sz w:val="18"/>
                <w:szCs w:val="18"/>
              </w:rPr>
            </w:pPr>
            <w:r>
              <w:rPr>
                <w:rFonts w:ascii="宋体" w:hAnsi="宋体" w:cs="宋体" w:eastAsia="宋体" w:hint="default"/>
                <w:sz w:val="18"/>
                <w:szCs w:val="18"/>
              </w:rPr>
              <w:t>预付对象</w:t>
            </w:r>
          </w:p>
        </w:tc>
        <w:tc>
          <w:tcPr>
            <w:tcW w:w="2693"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28"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44"/>
              <w:ind w:left="206" w:right="0"/>
              <w:jc w:val="left"/>
              <w:rPr>
                <w:rFonts w:ascii="宋体" w:hAnsi="宋体" w:cs="宋体" w:eastAsia="宋体" w:hint="default"/>
                <w:sz w:val="18"/>
                <w:szCs w:val="18"/>
              </w:rPr>
            </w:pPr>
            <w:r>
              <w:rPr>
                <w:rFonts w:ascii="宋体" w:hAnsi="宋体" w:cs="宋体" w:eastAsia="宋体" w:hint="default"/>
                <w:sz w:val="18"/>
                <w:szCs w:val="18"/>
              </w:rPr>
              <w:t>占预付款项期末余额合计数的比例</w:t>
            </w:r>
          </w:p>
        </w:tc>
      </w:tr>
      <w:tr>
        <w:trPr>
          <w:trHeight w:val="399" w:hRule="exact"/>
        </w:trPr>
        <w:tc>
          <w:tcPr>
            <w:tcW w:w="3838"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43"/>
              <w:ind w:left="159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Times New Roman" w:hAnsi="Times New Roman" w:cs="Times New Roman" w:eastAsia="Times New Roman" w:hint="default"/>
                <w:sz w:val="18"/>
                <w:szCs w:val="18"/>
              </w:rPr>
              <w:t>1</w:t>
            </w:r>
          </w:p>
        </w:tc>
        <w:tc>
          <w:tcPr>
            <w:tcW w:w="2693"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82"/>
              <w:ind w:right="1"/>
              <w:jc w:val="right"/>
              <w:rPr>
                <w:rFonts w:ascii="Times New Roman" w:hAnsi="Times New Roman" w:cs="Times New Roman" w:eastAsia="Times New Roman" w:hint="default"/>
                <w:sz w:val="18"/>
                <w:szCs w:val="18"/>
              </w:rPr>
            </w:pPr>
            <w:r>
              <w:rPr>
                <w:rFonts w:ascii="Times New Roman"/>
                <w:spacing w:val="-1"/>
                <w:sz w:val="18"/>
              </w:rPr>
              <w:t>2,245,471.64</w:t>
            </w:r>
          </w:p>
        </w:tc>
        <w:tc>
          <w:tcPr>
            <w:tcW w:w="3128"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82"/>
              <w:ind w:right="1"/>
              <w:jc w:val="right"/>
              <w:rPr>
                <w:rFonts w:ascii="Times New Roman" w:hAnsi="Times New Roman" w:cs="Times New Roman" w:eastAsia="Times New Roman" w:hint="default"/>
                <w:sz w:val="18"/>
                <w:szCs w:val="18"/>
              </w:rPr>
            </w:pPr>
            <w:r>
              <w:rPr>
                <w:rFonts w:ascii="Times New Roman"/>
                <w:sz w:val="18"/>
              </w:rPr>
              <w:t>15.28%</w:t>
            </w:r>
          </w:p>
        </w:tc>
      </w:tr>
      <w:tr>
        <w:trPr>
          <w:trHeight w:val="394" w:hRule="exact"/>
        </w:trPr>
        <w:tc>
          <w:tcPr>
            <w:tcW w:w="38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59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Times New Roman" w:hAnsi="Times New Roman" w:cs="Times New Roman" w:eastAsia="Times New Roman" w:hint="default"/>
                <w:sz w:val="18"/>
                <w:szCs w:val="18"/>
              </w:rPr>
              <w:t>2</w:t>
            </w:r>
          </w:p>
        </w:tc>
        <w:tc>
          <w:tcPr>
            <w:tcW w:w="26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1"/>
              <w:jc w:val="right"/>
              <w:rPr>
                <w:rFonts w:ascii="Times New Roman" w:hAnsi="Times New Roman" w:cs="Times New Roman" w:eastAsia="Times New Roman" w:hint="default"/>
                <w:sz w:val="18"/>
                <w:szCs w:val="18"/>
              </w:rPr>
            </w:pPr>
            <w:r>
              <w:rPr>
                <w:rFonts w:ascii="Times New Roman"/>
                <w:spacing w:val="-1"/>
                <w:sz w:val="18"/>
              </w:rPr>
              <w:t>2,233,450.96</w:t>
            </w:r>
          </w:p>
        </w:tc>
        <w:tc>
          <w:tcPr>
            <w:tcW w:w="3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1"/>
              <w:jc w:val="right"/>
              <w:rPr>
                <w:rFonts w:ascii="Times New Roman" w:hAnsi="Times New Roman" w:cs="Times New Roman" w:eastAsia="Times New Roman" w:hint="default"/>
                <w:sz w:val="18"/>
                <w:szCs w:val="18"/>
              </w:rPr>
            </w:pPr>
            <w:r>
              <w:rPr>
                <w:rFonts w:ascii="Times New Roman"/>
                <w:sz w:val="18"/>
              </w:rPr>
              <w:t>15.20%</w:t>
            </w:r>
          </w:p>
        </w:tc>
      </w:tr>
      <w:tr>
        <w:trPr>
          <w:trHeight w:val="394" w:hRule="exact"/>
        </w:trPr>
        <w:tc>
          <w:tcPr>
            <w:tcW w:w="38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59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Times New Roman" w:hAnsi="Times New Roman" w:cs="Times New Roman" w:eastAsia="Times New Roman" w:hint="default"/>
                <w:sz w:val="18"/>
                <w:szCs w:val="18"/>
              </w:rPr>
              <w:t>3</w:t>
            </w:r>
          </w:p>
        </w:tc>
        <w:tc>
          <w:tcPr>
            <w:tcW w:w="26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0"/>
              <w:jc w:val="right"/>
              <w:rPr>
                <w:rFonts w:ascii="Times New Roman" w:hAnsi="Times New Roman" w:cs="Times New Roman" w:eastAsia="Times New Roman" w:hint="default"/>
                <w:sz w:val="18"/>
                <w:szCs w:val="18"/>
              </w:rPr>
            </w:pPr>
            <w:r>
              <w:rPr>
                <w:rFonts w:ascii="Times New Roman"/>
                <w:sz w:val="18"/>
              </w:rPr>
              <w:t>750,601.94</w:t>
            </w:r>
          </w:p>
        </w:tc>
        <w:tc>
          <w:tcPr>
            <w:tcW w:w="3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1"/>
              <w:jc w:val="right"/>
              <w:rPr>
                <w:rFonts w:ascii="Times New Roman" w:hAnsi="Times New Roman" w:cs="Times New Roman" w:eastAsia="Times New Roman" w:hint="default"/>
                <w:sz w:val="18"/>
                <w:szCs w:val="18"/>
              </w:rPr>
            </w:pPr>
            <w:r>
              <w:rPr>
                <w:rFonts w:ascii="Times New Roman"/>
                <w:sz w:val="18"/>
              </w:rPr>
              <w:t>5.11%</w:t>
            </w:r>
          </w:p>
        </w:tc>
      </w:tr>
      <w:tr>
        <w:trPr>
          <w:trHeight w:val="394" w:hRule="exact"/>
        </w:trPr>
        <w:tc>
          <w:tcPr>
            <w:tcW w:w="38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59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Times New Roman" w:hAnsi="Times New Roman" w:cs="Times New Roman" w:eastAsia="Times New Roman" w:hint="default"/>
                <w:sz w:val="18"/>
                <w:szCs w:val="18"/>
              </w:rPr>
              <w:t>4</w:t>
            </w:r>
          </w:p>
        </w:tc>
        <w:tc>
          <w:tcPr>
            <w:tcW w:w="26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0"/>
              <w:jc w:val="right"/>
              <w:rPr>
                <w:rFonts w:ascii="Times New Roman" w:hAnsi="Times New Roman" w:cs="Times New Roman" w:eastAsia="Times New Roman" w:hint="default"/>
                <w:sz w:val="18"/>
                <w:szCs w:val="18"/>
              </w:rPr>
            </w:pPr>
            <w:r>
              <w:rPr>
                <w:rFonts w:ascii="Times New Roman"/>
                <w:sz w:val="18"/>
              </w:rPr>
              <w:t>504,160.00</w:t>
            </w:r>
          </w:p>
        </w:tc>
        <w:tc>
          <w:tcPr>
            <w:tcW w:w="3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1"/>
              <w:jc w:val="right"/>
              <w:rPr>
                <w:rFonts w:ascii="Times New Roman" w:hAnsi="Times New Roman" w:cs="Times New Roman" w:eastAsia="Times New Roman" w:hint="default"/>
                <w:sz w:val="18"/>
                <w:szCs w:val="18"/>
              </w:rPr>
            </w:pPr>
            <w:r>
              <w:rPr>
                <w:rFonts w:ascii="Times New Roman"/>
                <w:sz w:val="18"/>
              </w:rPr>
              <w:t>3.43%</w:t>
            </w:r>
          </w:p>
        </w:tc>
      </w:tr>
      <w:tr>
        <w:trPr>
          <w:trHeight w:val="394" w:hRule="exact"/>
        </w:trPr>
        <w:tc>
          <w:tcPr>
            <w:tcW w:w="38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59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Times New Roman" w:hAnsi="Times New Roman" w:cs="Times New Roman" w:eastAsia="Times New Roman" w:hint="default"/>
                <w:sz w:val="18"/>
                <w:szCs w:val="18"/>
              </w:rPr>
              <w:t>5</w:t>
            </w:r>
          </w:p>
        </w:tc>
        <w:tc>
          <w:tcPr>
            <w:tcW w:w="26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0"/>
              <w:jc w:val="right"/>
              <w:rPr>
                <w:rFonts w:ascii="Times New Roman" w:hAnsi="Times New Roman" w:cs="Times New Roman" w:eastAsia="Times New Roman" w:hint="default"/>
                <w:sz w:val="18"/>
                <w:szCs w:val="18"/>
              </w:rPr>
            </w:pPr>
            <w:r>
              <w:rPr>
                <w:rFonts w:ascii="Times New Roman"/>
                <w:sz w:val="18"/>
              </w:rPr>
              <w:t>497,067.89</w:t>
            </w:r>
          </w:p>
        </w:tc>
        <w:tc>
          <w:tcPr>
            <w:tcW w:w="3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1"/>
              <w:jc w:val="right"/>
              <w:rPr>
                <w:rFonts w:ascii="Times New Roman" w:hAnsi="Times New Roman" w:cs="Times New Roman" w:eastAsia="Times New Roman" w:hint="default"/>
                <w:sz w:val="18"/>
                <w:szCs w:val="18"/>
              </w:rPr>
            </w:pPr>
            <w:r>
              <w:rPr>
                <w:rFonts w:ascii="Times New Roman"/>
                <w:sz w:val="18"/>
              </w:rPr>
              <w:t>3.38%</w:t>
            </w:r>
          </w:p>
        </w:tc>
      </w:tr>
      <w:tr>
        <w:trPr>
          <w:trHeight w:val="395" w:hRule="exact"/>
        </w:trPr>
        <w:tc>
          <w:tcPr>
            <w:tcW w:w="38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6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1"/>
              <w:jc w:val="right"/>
              <w:rPr>
                <w:rFonts w:ascii="Times New Roman" w:hAnsi="Times New Roman" w:cs="Times New Roman" w:eastAsia="Times New Roman" w:hint="default"/>
                <w:sz w:val="18"/>
                <w:szCs w:val="18"/>
              </w:rPr>
            </w:pPr>
            <w:r>
              <w:rPr>
                <w:rFonts w:ascii="Times New Roman"/>
                <w:spacing w:val="-1"/>
                <w:sz w:val="18"/>
              </w:rPr>
              <w:t>6,230,752.43</w:t>
            </w:r>
          </w:p>
        </w:tc>
        <w:tc>
          <w:tcPr>
            <w:tcW w:w="3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1"/>
              <w:jc w:val="right"/>
              <w:rPr>
                <w:rFonts w:ascii="Times New Roman" w:hAnsi="Times New Roman" w:cs="Times New Roman" w:eastAsia="Times New Roman" w:hint="default"/>
                <w:sz w:val="18"/>
                <w:szCs w:val="18"/>
              </w:rPr>
            </w:pPr>
            <w:r>
              <w:rPr>
                <w:rFonts w:ascii="Times New Roman"/>
                <w:sz w:val="18"/>
              </w:rPr>
              <w:t>42.40%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6、其他应收款" w:id="242"/>
      <w:bookmarkEnd w:id="242"/>
      <w:r>
        <w:rPr>
          <w:b w:val="0"/>
          <w:bCs w:val="0"/>
        </w:rPr>
      </w:r>
      <w:r>
        <w:rPr>
          <w:rFonts w:ascii="Times New Roman" w:hAnsi="Times New Roman" w:cs="Times New Roman" w:eastAsia="Times New Roman" w:hint="default"/>
        </w:rPr>
        <w:t>6</w:t>
      </w:r>
      <w:r>
        <w:rPr/>
        <w:t>、其他应收款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385,548,617.74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422,612,349.99</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385,548,617.74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422,612,349.99</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1）应收利息" w:id="243"/>
      <w:bookmarkEnd w:id="243"/>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14" w:right="0"/>
        <w:jc w:val="left"/>
      </w:pPr>
      <w:r>
        <w:rPr/>
        <w:t>无。</w:t>
      </w:r>
    </w:p>
    <w:p>
      <w:pPr>
        <w:spacing w:after="0" w:line="240" w:lineRule="auto"/>
        <w:jc w:val="left"/>
        <w:sectPr>
          <w:pgSz w:w="11910" w:h="16840"/>
          <w:pgMar w:header="851" w:footer="979" w:top="1400" w:bottom="1160" w:left="98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2）应收股利" w:id="244"/>
      <w:bookmarkEnd w:id="244"/>
      <w:r>
        <w:rPr>
          <w:b w:val="0"/>
          <w:bCs w:val="0"/>
        </w:rPr>
      </w:r>
      <w:r>
        <w:rPr/>
        <w:t>（</w:t>
      </w:r>
      <w:r>
        <w:rPr>
          <w:rFonts w:ascii="Times New Roman" w:hAnsi="Times New Roman" w:cs="Times New Roman" w:eastAsia="Times New Roman" w:hint="default"/>
        </w:rPr>
        <w:t>2</w:t>
      </w:r>
      <w:r>
        <w:rPr/>
        <w:t>）应收股利</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14" w:right="0"/>
        <w:jc w:val="left"/>
      </w:pPr>
      <w:r>
        <w:rPr/>
        <w:t>无。</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3）其他应收款" w:id="245"/>
      <w:bookmarkEnd w:id="245"/>
      <w:r>
        <w:rPr>
          <w:b w:val="0"/>
          <w:bCs w:val="0"/>
        </w:rPr>
      </w:r>
      <w:r>
        <w:rPr/>
        <w:t>（</w:t>
      </w:r>
      <w:r>
        <w:rPr>
          <w:rFonts w:ascii="Times New Roman" w:hAnsi="Times New Roman" w:cs="Times New Roman" w:eastAsia="Times New Roman" w:hint="default"/>
        </w:rPr>
        <w:t>3</w:t>
      </w:r>
      <w:r>
        <w:rPr/>
        <w:t>）其他应收款</w:t>
      </w:r>
      <w:r>
        <w:rPr>
          <w:b w:val="0"/>
          <w:bCs w:val="0"/>
        </w:rPr>
      </w:r>
    </w:p>
    <w:p>
      <w:pPr>
        <w:spacing w:line="240" w:lineRule="auto" w:before="3"/>
        <w:rPr>
          <w:rFonts w:ascii="宋体" w:hAnsi="宋体" w:cs="宋体" w:eastAsia="宋体" w:hint="default"/>
          <w:b/>
          <w:bCs/>
          <w:sz w:val="23"/>
          <w:szCs w:val="23"/>
        </w:rPr>
      </w:pPr>
    </w:p>
    <w:p>
      <w:pPr>
        <w:pStyle w:val="Heading5"/>
        <w:spacing w:line="240" w:lineRule="auto" w:before="44"/>
        <w:ind w:right="0"/>
        <w:jc w:val="left"/>
        <w:rPr>
          <w:b w:val="0"/>
          <w:bCs w:val="0"/>
        </w:rPr>
      </w:pPr>
      <w:r>
        <w:rPr>
          <w:rFonts w:ascii="Times New Roman" w:hAnsi="Times New Roman" w:cs="Times New Roman" w:eastAsia="Times New Roman" w:hint="default"/>
        </w:rPr>
        <w:t>1)</w:t>
      </w:r>
      <w:r>
        <w:rPr/>
        <w:t>其他应收款分类披露</w:t>
      </w:r>
      <w:r>
        <w:rPr>
          <w:b w:val="0"/>
          <w:bCs w:val="0"/>
        </w:rPr>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611"/>
        <w:gridCol w:w="775"/>
        <w:gridCol w:w="762"/>
        <w:gridCol w:w="762"/>
        <w:gridCol w:w="762"/>
        <w:gridCol w:w="790"/>
        <w:gridCol w:w="654"/>
        <w:gridCol w:w="762"/>
        <w:gridCol w:w="813"/>
        <w:gridCol w:w="662"/>
        <w:gridCol w:w="1202"/>
      </w:tblGrid>
      <w:tr>
        <w:trPr>
          <w:trHeight w:val="397" w:hRule="exact"/>
        </w:trPr>
        <w:tc>
          <w:tcPr>
            <w:tcW w:w="1611" w:type="dxa"/>
            <w:vMerge w:val="restart"/>
            <w:tcBorders>
              <w:top w:val="single" w:sz="4" w:space="0" w:color="000000"/>
              <w:left w:val="single" w:sz="4" w:space="0" w:color="000000"/>
              <w:right w:val="single" w:sz="4" w:space="0" w:color="000000"/>
            </w:tcBorders>
            <w:shd w:val="clear" w:color="auto" w:fill="D2D2D2"/>
          </w:tcPr>
          <w:p>
            <w:pPr/>
          </w:p>
        </w:tc>
        <w:tc>
          <w:tcPr>
            <w:tcW w:w="3851"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11" w:type="dxa"/>
            <w:vMerge/>
            <w:tcBorders>
              <w:left w:val="single" w:sz="4" w:space="0" w:color="000000"/>
              <w:bottom w:val="nil" w:sz="6" w:space="0" w:color="auto"/>
              <w:right w:val="single" w:sz="4" w:space="0" w:color="000000"/>
            </w:tcBorders>
            <w:shd w:val="clear" w:color="auto" w:fill="D2D2D2"/>
          </w:tcPr>
          <w:p>
            <w:pPr/>
          </w:p>
        </w:tc>
        <w:tc>
          <w:tcPr>
            <w:tcW w:w="153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4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7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7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0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1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37"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475" w:type="dxa"/>
            <w:gridSpan w:val="2"/>
            <w:vMerge/>
            <w:tcBorders>
              <w:left w:val="single" w:sz="4" w:space="0" w:color="000000"/>
              <w:bottom w:val="single" w:sz="4" w:space="0" w:color="000000"/>
              <w:right w:val="single" w:sz="4" w:space="0" w:color="000000"/>
            </w:tcBorders>
            <w:shd w:val="clear" w:color="auto" w:fill="D2D2D2"/>
          </w:tcPr>
          <w:p>
            <w:pPr/>
          </w:p>
        </w:tc>
        <w:tc>
          <w:tcPr>
            <w:tcW w:w="1202"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11" w:type="dxa"/>
            <w:vMerge/>
            <w:tcBorders>
              <w:left w:val="single" w:sz="4" w:space="0" w:color="000000"/>
              <w:bottom w:val="single" w:sz="4" w:space="0" w:color="FFFFFF"/>
              <w:right w:val="single" w:sz="4" w:space="0" w:color="000000"/>
            </w:tcBorders>
            <w:shd w:val="clear" w:color="auto" w:fill="D2D2D2"/>
          </w:tcPr>
          <w:p>
            <w:pPr/>
          </w:p>
        </w:tc>
        <w:tc>
          <w:tcPr>
            <w:tcW w:w="775"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66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236" w:right="5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120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35"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4" w:hRule="exact"/>
        </w:trPr>
        <w:tc>
          <w:tcPr>
            <w:tcW w:w="1611" w:type="dxa"/>
            <w:vMerge w:val="restart"/>
            <w:tcBorders>
              <w:top w:val="single" w:sz="4" w:space="0" w:color="FFFFFF"/>
              <w:left w:val="single" w:sz="4" w:space="0" w:color="000000"/>
              <w:right w:val="single" w:sz="4" w:space="0" w:color="000000"/>
            </w:tcBorders>
            <w:shd w:val="clear" w:color="auto" w:fill="D2D2D2"/>
          </w:tcPr>
          <w:p>
            <w:pPr/>
          </w:p>
        </w:tc>
        <w:tc>
          <w:tcPr>
            <w:tcW w:w="775"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20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662" w:type="dxa"/>
            <w:vMerge/>
            <w:tcBorders>
              <w:left w:val="single" w:sz="4" w:space="0" w:color="000000"/>
              <w:right w:val="single" w:sz="4" w:space="0" w:color="000000"/>
            </w:tcBorders>
            <w:shd w:val="clear" w:color="auto" w:fill="D2D2D2"/>
          </w:tcPr>
          <w:p>
            <w:pPr/>
          </w:p>
        </w:tc>
        <w:tc>
          <w:tcPr>
            <w:tcW w:w="1202" w:type="dxa"/>
            <w:vMerge/>
            <w:tcBorders>
              <w:left w:val="single" w:sz="4" w:space="0" w:color="000000"/>
              <w:bottom w:val="nil" w:sz="6" w:space="0" w:color="auto"/>
              <w:right w:val="single" w:sz="4" w:space="0" w:color="000000"/>
            </w:tcBorders>
            <w:shd w:val="clear" w:color="auto" w:fill="D2D2D2"/>
          </w:tcPr>
          <w:p>
            <w:pPr/>
          </w:p>
        </w:tc>
      </w:tr>
      <w:tr>
        <w:trPr>
          <w:trHeight w:val="200" w:hRule="exact"/>
        </w:trPr>
        <w:tc>
          <w:tcPr>
            <w:tcW w:w="1611" w:type="dxa"/>
            <w:vMerge/>
            <w:tcBorders>
              <w:left w:val="single" w:sz="4" w:space="0" w:color="000000"/>
              <w:right w:val="single" w:sz="4" w:space="0" w:color="000000"/>
            </w:tcBorders>
            <w:shd w:val="clear" w:color="auto" w:fill="D2D2D2"/>
          </w:tcPr>
          <w:p>
            <w:pPr/>
          </w:p>
        </w:tc>
        <w:tc>
          <w:tcPr>
            <w:tcW w:w="775"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662" w:type="dxa"/>
            <w:vMerge/>
            <w:tcBorders>
              <w:left w:val="single" w:sz="4" w:space="0" w:color="000000"/>
              <w:right w:val="single" w:sz="4" w:space="0" w:color="000000"/>
            </w:tcBorders>
            <w:shd w:val="clear" w:color="auto" w:fill="D2D2D2"/>
          </w:tcPr>
          <w:p>
            <w:pPr/>
          </w:p>
        </w:tc>
        <w:tc>
          <w:tcPr>
            <w:tcW w:w="120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11" w:type="dxa"/>
            <w:vMerge/>
            <w:tcBorders>
              <w:left w:val="single" w:sz="4" w:space="0" w:color="000000"/>
              <w:bottom w:val="single" w:sz="4" w:space="0" w:color="000000"/>
              <w:right w:val="single" w:sz="4" w:space="0" w:color="000000"/>
            </w:tcBorders>
            <w:shd w:val="clear" w:color="auto" w:fill="D2D2D2"/>
          </w:tcPr>
          <w:p>
            <w:pPr/>
          </w:p>
        </w:tc>
        <w:tc>
          <w:tcPr>
            <w:tcW w:w="77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662" w:type="dxa"/>
            <w:vMerge/>
            <w:tcBorders>
              <w:left w:val="single" w:sz="4" w:space="0" w:color="000000"/>
              <w:bottom w:val="single" w:sz="4" w:space="0" w:color="000000"/>
              <w:right w:val="single" w:sz="4" w:space="0" w:color="000000"/>
            </w:tcBorders>
            <w:shd w:val="clear" w:color="auto" w:fill="D2D2D2"/>
          </w:tcPr>
          <w:p>
            <w:pPr/>
          </w:p>
        </w:tc>
        <w:tc>
          <w:tcPr>
            <w:tcW w:w="120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48"/>
              <w:jc w:val="both"/>
              <w:rPr>
                <w:rFonts w:ascii="宋体" w:hAnsi="宋体" w:cs="宋体" w:eastAsia="宋体" w:hint="default"/>
                <w:sz w:val="18"/>
                <w:szCs w:val="18"/>
              </w:rPr>
            </w:pPr>
            <w:r>
              <w:rPr>
                <w:rFonts w:ascii="宋体" w:hAnsi="宋体" w:cs="宋体" w:eastAsia="宋体" w:hint="default"/>
                <w:sz w:val="18"/>
                <w:szCs w:val="18"/>
              </w:rPr>
              <w:t>单项金额重大并单 独计提坏账准备的 其他应收款</w:t>
            </w:r>
          </w:p>
        </w:tc>
        <w:tc>
          <w:tcPr>
            <w:tcW w:w="775" w:type="dxa"/>
            <w:tcBorders>
              <w:top w:val="single" w:sz="4" w:space="0" w:color="000000"/>
              <w:left w:val="single" w:sz="13" w:space="0" w:color="D2D2D2"/>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7" w:right="0"/>
              <w:jc w:val="center"/>
              <w:rPr>
                <w:rFonts w:ascii="Times New Roman" w:hAnsi="Times New Roman" w:cs="Times New Roman" w:eastAsia="Times New Roman" w:hint="default"/>
                <w:sz w:val="18"/>
                <w:szCs w:val="18"/>
              </w:rPr>
            </w:pPr>
            <w:r>
              <w:rPr>
                <w:rFonts w:ascii="Times New Roman"/>
                <w:sz w:val="18"/>
              </w:rPr>
              <w:t>2,566,7</w:t>
            </w:r>
          </w:p>
          <w:p>
            <w:pPr>
              <w:pStyle w:val="TableParagraph"/>
              <w:spacing w:line="240" w:lineRule="auto" w:before="106"/>
              <w:ind w:left="192" w:right="0"/>
              <w:jc w:val="center"/>
              <w:rPr>
                <w:rFonts w:ascii="Times New Roman" w:hAnsi="Times New Roman" w:cs="Times New Roman" w:eastAsia="Times New Roman" w:hint="default"/>
                <w:sz w:val="18"/>
                <w:szCs w:val="18"/>
              </w:rPr>
            </w:pPr>
            <w:r>
              <w:rPr>
                <w:rFonts w:ascii="Times New Roman"/>
                <w:sz w:val="18"/>
              </w:rPr>
              <w:t>03.78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0.57%</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1,283,351</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.90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50.00%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1,283,351.88</w:t>
            </w:r>
          </w:p>
        </w:tc>
      </w:tr>
      <w:tr>
        <w:trPr>
          <w:trHeight w:val="1026" w:hRule="exact"/>
        </w:trPr>
        <w:tc>
          <w:tcPr>
            <w:tcW w:w="16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48"/>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7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 w:right="0"/>
              <w:jc w:val="center"/>
              <w:rPr>
                <w:rFonts w:ascii="Times New Roman" w:hAnsi="Times New Roman" w:cs="Times New Roman" w:eastAsia="Times New Roman" w:hint="default"/>
                <w:sz w:val="18"/>
                <w:szCs w:val="18"/>
              </w:rPr>
            </w:pPr>
            <w:r>
              <w:rPr>
                <w:rFonts w:ascii="Times New Roman"/>
                <w:sz w:val="18"/>
              </w:rPr>
              <w:t>438,719,</w:t>
            </w:r>
          </w:p>
          <w:p>
            <w:pPr>
              <w:pStyle w:val="TableParagraph"/>
              <w:spacing w:line="240" w:lineRule="auto" w:before="106"/>
              <w:ind w:left="212" w:right="0"/>
              <w:jc w:val="center"/>
              <w:rPr>
                <w:rFonts w:ascii="Times New Roman" w:hAnsi="Times New Roman" w:cs="Times New Roman" w:eastAsia="Times New Roman" w:hint="default"/>
                <w:sz w:val="18"/>
                <w:szCs w:val="18"/>
              </w:rPr>
            </w:pPr>
            <w:r>
              <w:rPr>
                <w:rFonts w:ascii="Times New Roman"/>
                <w:sz w:val="18"/>
              </w:rPr>
              <w:t>843.99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53,171,2</w:t>
            </w:r>
          </w:p>
          <w:p>
            <w:pPr>
              <w:pStyle w:val="TableParagraph"/>
              <w:spacing w:line="240" w:lineRule="auto" w:before="106"/>
              <w:ind w:left="323" w:right="0"/>
              <w:jc w:val="left"/>
              <w:rPr>
                <w:rFonts w:ascii="Times New Roman" w:hAnsi="Times New Roman" w:cs="Times New Roman" w:eastAsia="Times New Roman" w:hint="default"/>
                <w:sz w:val="18"/>
                <w:szCs w:val="18"/>
              </w:rPr>
            </w:pPr>
            <w:r>
              <w:rPr>
                <w:rFonts w:ascii="Times New Roman"/>
                <w:sz w:val="18"/>
              </w:rPr>
              <w:t>26.25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75" w:right="0"/>
              <w:jc w:val="left"/>
              <w:rPr>
                <w:rFonts w:ascii="Times New Roman" w:hAnsi="Times New Roman" w:cs="Times New Roman" w:eastAsia="Times New Roman" w:hint="default"/>
                <w:sz w:val="18"/>
                <w:szCs w:val="18"/>
              </w:rPr>
            </w:pPr>
            <w:r>
              <w:rPr>
                <w:rFonts w:ascii="Times New Roman"/>
                <w:sz w:val="18"/>
              </w:rPr>
              <w:t>12.12%</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385,548,6</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17.74</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 w:right="0"/>
              <w:jc w:val="left"/>
              <w:rPr>
                <w:rFonts w:ascii="Times New Roman" w:hAnsi="Times New Roman" w:cs="Times New Roman" w:eastAsia="Times New Roman" w:hint="default"/>
                <w:sz w:val="18"/>
                <w:szCs w:val="18"/>
              </w:rPr>
            </w:pPr>
            <w:r>
              <w:rPr>
                <w:rFonts w:ascii="Times New Roman"/>
                <w:sz w:val="18"/>
              </w:rPr>
              <w:t>449,702</w:t>
            </w:r>
          </w:p>
          <w:p>
            <w:pPr>
              <w:pStyle w:val="TableParagraph"/>
              <w:spacing w:line="240" w:lineRule="auto" w:before="106"/>
              <w:ind w:left="80" w:right="0"/>
              <w:jc w:val="left"/>
              <w:rPr>
                <w:rFonts w:ascii="Times New Roman" w:hAnsi="Times New Roman" w:cs="Times New Roman" w:eastAsia="Times New Roman" w:hint="default"/>
                <w:sz w:val="18"/>
                <w:szCs w:val="18"/>
              </w:rPr>
            </w:pPr>
            <w:r>
              <w:rPr>
                <w:rFonts w:ascii="Times New Roman"/>
                <w:sz w:val="18"/>
              </w:rPr>
              <w:t>,838.23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99.43%</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28,373,84</w:t>
            </w:r>
          </w:p>
          <w:p>
            <w:pPr>
              <w:pStyle w:val="TableParagraph"/>
              <w:spacing w:line="240" w:lineRule="auto" w:before="106"/>
              <w:ind w:left="465" w:right="0"/>
              <w:jc w:val="left"/>
              <w:rPr>
                <w:rFonts w:ascii="Times New Roman" w:hAnsi="Times New Roman" w:cs="Times New Roman" w:eastAsia="Times New Roman" w:hint="default"/>
                <w:sz w:val="18"/>
                <w:szCs w:val="18"/>
              </w:rPr>
            </w:pPr>
            <w:r>
              <w:rPr>
                <w:rFonts w:ascii="Times New Roman"/>
                <w:sz w:val="18"/>
              </w:rPr>
              <w:t>0.12</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43" w:right="0"/>
              <w:jc w:val="center"/>
              <w:rPr>
                <w:rFonts w:ascii="Times New Roman" w:hAnsi="Times New Roman" w:cs="Times New Roman" w:eastAsia="Times New Roman" w:hint="default"/>
                <w:sz w:val="18"/>
                <w:szCs w:val="18"/>
              </w:rPr>
            </w:pPr>
            <w:r>
              <w:rPr>
                <w:rFonts w:ascii="Times New Roman"/>
                <w:sz w:val="18"/>
              </w:rPr>
              <w:t>6.31%</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421,328,998.11</w:t>
            </w:r>
          </w:p>
        </w:tc>
      </w:tr>
      <w:tr>
        <w:trPr>
          <w:trHeight w:val="161" w:hRule="exact"/>
        </w:trPr>
        <w:tc>
          <w:tcPr>
            <w:tcW w:w="1611" w:type="dxa"/>
            <w:tcBorders>
              <w:top w:val="single" w:sz="4" w:space="0" w:color="000000"/>
              <w:left w:val="single" w:sz="4" w:space="0" w:color="000000"/>
              <w:bottom w:val="nil" w:sz="6" w:space="0" w:color="auto"/>
              <w:right w:val="single" w:sz="4" w:space="0" w:color="000000"/>
            </w:tcBorders>
            <w:shd w:val="clear" w:color="auto" w:fill="D2D2D2"/>
          </w:tcPr>
          <w:p>
            <w:pPr/>
          </w:p>
        </w:tc>
        <w:tc>
          <w:tcPr>
            <w:tcW w:w="775" w:type="dxa"/>
            <w:vMerge w:val="restart"/>
            <w:tcBorders>
              <w:top w:val="single" w:sz="4" w:space="0" w:color="000000"/>
              <w:left w:val="single" w:sz="9" w:space="0" w:color="D2D2D2"/>
              <w:right w:val="single" w:sz="4" w:space="0" w:color="000000"/>
            </w:tcBorders>
          </w:tcPr>
          <w:p>
            <w:pPr>
              <w:pStyle w:val="TableParagraph"/>
              <w:spacing w:line="240" w:lineRule="auto" w:before="91"/>
              <w:ind w:left="81" w:right="0"/>
              <w:jc w:val="center"/>
              <w:rPr>
                <w:rFonts w:ascii="Times New Roman" w:hAnsi="Times New Roman" w:cs="Times New Roman" w:eastAsia="Times New Roman" w:hint="default"/>
                <w:sz w:val="18"/>
                <w:szCs w:val="18"/>
              </w:rPr>
            </w:pPr>
            <w:r>
              <w:rPr>
                <w:rFonts w:ascii="Times New Roman"/>
                <w:sz w:val="18"/>
              </w:rPr>
              <w:t>438,719,</w:t>
            </w:r>
          </w:p>
          <w:p>
            <w:pPr>
              <w:pStyle w:val="TableParagraph"/>
              <w:spacing w:line="240" w:lineRule="auto" w:before="106"/>
              <w:ind w:left="217" w:right="0"/>
              <w:jc w:val="center"/>
              <w:rPr>
                <w:rFonts w:ascii="Times New Roman" w:hAnsi="Times New Roman" w:cs="Times New Roman" w:eastAsia="Times New Roman" w:hint="default"/>
                <w:sz w:val="18"/>
                <w:szCs w:val="18"/>
              </w:rPr>
            </w:pPr>
            <w:r>
              <w:rPr>
                <w:rFonts w:ascii="Times New Roman"/>
                <w:sz w:val="18"/>
              </w:rPr>
              <w:t>843.99</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53,171,2</w:t>
            </w:r>
          </w:p>
          <w:p>
            <w:pPr>
              <w:pStyle w:val="TableParagraph"/>
              <w:spacing w:line="240" w:lineRule="auto" w:before="106"/>
              <w:ind w:left="323" w:right="0"/>
              <w:jc w:val="left"/>
              <w:rPr>
                <w:rFonts w:ascii="Times New Roman" w:hAnsi="Times New Roman" w:cs="Times New Roman" w:eastAsia="Times New Roman" w:hint="default"/>
                <w:sz w:val="18"/>
                <w:szCs w:val="18"/>
              </w:rPr>
            </w:pPr>
            <w:r>
              <w:rPr>
                <w:rFonts w:ascii="Times New Roman"/>
                <w:sz w:val="18"/>
              </w:rPr>
              <w:t>26.25</w:t>
            </w:r>
          </w:p>
        </w:tc>
        <w:tc>
          <w:tcPr>
            <w:tcW w:w="762" w:type="dxa"/>
            <w:vMerge w:val="restart"/>
            <w:tcBorders>
              <w:top w:val="single" w:sz="4" w:space="0" w:color="000000"/>
              <w:left w:val="single" w:sz="4" w:space="0" w:color="000000"/>
              <w:right w:val="single" w:sz="4" w:space="0" w:color="000000"/>
            </w:tcBorders>
          </w:tcPr>
          <w:p>
            <w:pP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91"/>
              <w:ind w:left="37" w:right="0"/>
              <w:jc w:val="left"/>
              <w:rPr>
                <w:rFonts w:ascii="Times New Roman" w:hAnsi="Times New Roman" w:cs="Times New Roman" w:eastAsia="Times New Roman" w:hint="default"/>
                <w:sz w:val="18"/>
                <w:szCs w:val="18"/>
              </w:rPr>
            </w:pPr>
            <w:r>
              <w:rPr>
                <w:rFonts w:ascii="Times New Roman"/>
                <w:sz w:val="18"/>
              </w:rPr>
              <w:t>385,548,6</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17.74</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1"/>
              <w:ind w:left="36" w:right="0"/>
              <w:jc w:val="left"/>
              <w:rPr>
                <w:rFonts w:ascii="Times New Roman" w:hAnsi="Times New Roman" w:cs="Times New Roman" w:eastAsia="Times New Roman" w:hint="default"/>
                <w:sz w:val="18"/>
                <w:szCs w:val="18"/>
              </w:rPr>
            </w:pPr>
            <w:r>
              <w:rPr>
                <w:rFonts w:ascii="Times New Roman"/>
                <w:sz w:val="18"/>
              </w:rPr>
              <w:t>452,269</w:t>
            </w:r>
          </w:p>
          <w:p>
            <w:pPr>
              <w:pStyle w:val="TableParagraph"/>
              <w:spacing w:line="240" w:lineRule="auto" w:before="106"/>
              <w:ind w:left="80" w:right="0"/>
              <w:jc w:val="left"/>
              <w:rPr>
                <w:rFonts w:ascii="Times New Roman" w:hAnsi="Times New Roman" w:cs="Times New Roman" w:eastAsia="Times New Roman" w:hint="default"/>
                <w:sz w:val="18"/>
                <w:szCs w:val="18"/>
              </w:rPr>
            </w:pPr>
            <w:r>
              <w:rPr>
                <w:rFonts w:ascii="Times New Roman"/>
                <w:sz w:val="18"/>
              </w:rPr>
              <w:t>,542.01</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29,657,19</w:t>
            </w:r>
          </w:p>
          <w:p>
            <w:pPr>
              <w:pStyle w:val="TableParagraph"/>
              <w:spacing w:line="240" w:lineRule="auto" w:before="106"/>
              <w:ind w:left="465" w:right="0"/>
              <w:jc w:val="left"/>
              <w:rPr>
                <w:rFonts w:ascii="Times New Roman" w:hAnsi="Times New Roman" w:cs="Times New Roman" w:eastAsia="Times New Roman" w:hint="default"/>
                <w:sz w:val="18"/>
                <w:szCs w:val="18"/>
              </w:rPr>
            </w:pPr>
            <w:r>
              <w:rPr>
                <w:rFonts w:ascii="Times New Roman"/>
                <w:sz w:val="18"/>
              </w:rPr>
              <w:t>2.02</w:t>
            </w:r>
          </w:p>
        </w:tc>
        <w:tc>
          <w:tcPr>
            <w:tcW w:w="662" w:type="dxa"/>
            <w:vMerge w:val="restart"/>
            <w:tcBorders>
              <w:top w:val="single" w:sz="4" w:space="0" w:color="000000"/>
              <w:left w:val="single" w:sz="4" w:space="0" w:color="000000"/>
              <w:right w:val="single" w:sz="4" w:space="0" w:color="000000"/>
            </w:tcBorders>
          </w:tcPr>
          <w:p>
            <w:pPr/>
          </w:p>
        </w:tc>
        <w:tc>
          <w:tcPr>
            <w:tcW w:w="120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422,612,349.99</w:t>
            </w:r>
          </w:p>
        </w:tc>
      </w:tr>
      <w:tr>
        <w:trPr>
          <w:trHeight w:val="392" w:hRule="exact"/>
        </w:trPr>
        <w:tc>
          <w:tcPr>
            <w:tcW w:w="161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5"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1202" w:type="dxa"/>
            <w:vMerge/>
            <w:tcBorders>
              <w:left w:val="single" w:sz="4" w:space="0" w:color="000000"/>
              <w:right w:val="single" w:sz="4" w:space="0" w:color="000000"/>
            </w:tcBorders>
          </w:tcPr>
          <w:p>
            <w:pPr/>
          </w:p>
        </w:tc>
      </w:tr>
      <w:tr>
        <w:trPr>
          <w:trHeight w:val="161" w:hRule="exact"/>
        </w:trPr>
        <w:tc>
          <w:tcPr>
            <w:tcW w:w="1611" w:type="dxa"/>
            <w:tcBorders>
              <w:top w:val="nil" w:sz="6" w:space="0" w:color="auto"/>
              <w:left w:val="single" w:sz="4" w:space="0" w:color="000000"/>
              <w:bottom w:val="single" w:sz="4" w:space="0" w:color="000000"/>
              <w:right w:val="single" w:sz="4" w:space="0" w:color="000000"/>
            </w:tcBorders>
            <w:shd w:val="clear" w:color="auto" w:fill="D2D2D2"/>
          </w:tcPr>
          <w:p>
            <w:pPr/>
          </w:p>
        </w:tc>
        <w:tc>
          <w:tcPr>
            <w:tcW w:w="775"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1202" w:type="dxa"/>
            <w:vMerge/>
            <w:tcBorders>
              <w:left w:val="single" w:sz="4" w:space="0" w:color="000000"/>
              <w:bottom w:val="single" w:sz="4" w:space="0" w:color="000000"/>
              <w:right w:val="single" w:sz="4" w:space="0" w:color="000000"/>
            </w:tcBorders>
          </w:tcPr>
          <w:p>
            <w:pPr/>
          </w:p>
        </w:tc>
      </w:tr>
    </w:tbl>
    <w:p>
      <w:pPr>
        <w:spacing w:line="240" w:lineRule="auto" w:before="7"/>
        <w:rPr>
          <w:rFonts w:ascii="宋体" w:hAnsi="宋体" w:cs="宋体" w:eastAsia="宋体" w:hint="default"/>
          <w:sz w:val="6"/>
          <w:szCs w:val="6"/>
        </w:rPr>
      </w:pPr>
    </w:p>
    <w:p>
      <w:pPr>
        <w:pStyle w:val="BodyText"/>
        <w:spacing w:line="240" w:lineRule="auto" w:before="44"/>
        <w:ind w:right="0"/>
        <w:jc w:val="left"/>
      </w:pPr>
      <w:r>
        <w:rPr/>
        <w:t>期末单项金额重大并单项计提坏账准备的其他应收款：</w:t>
      </w:r>
    </w:p>
    <w:p>
      <w:pPr>
        <w:spacing w:line="240" w:lineRule="auto" w:before="12"/>
        <w:rPr>
          <w:rFonts w:ascii="宋体" w:hAnsi="宋体" w:cs="宋体" w:eastAsia="宋体" w:hint="default"/>
          <w:sz w:val="20"/>
          <w:szCs w:val="20"/>
        </w:rPr>
      </w:pPr>
    </w:p>
    <w:p>
      <w:pPr>
        <w:pStyle w:val="BodyText"/>
        <w:spacing w:line="489" w:lineRule="auto"/>
        <w:ind w:right="66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4"/>
        </w:rPr>
        <w:t> </w:t>
      </w:r>
      <w:r>
        <w:rPr>
          <w:rFonts w:ascii="宋体" w:hAnsi="宋体" w:cs="宋体" w:eastAsia="宋体" w:hint="default"/>
          <w:b/>
          <w:bCs/>
        </w:rPr>
        <w:t>不适用</w:t>
      </w:r>
      <w:r>
        <w:rPr>
          <w:rFonts w:ascii="宋体" w:hAnsi="宋体" w:cs="宋体" w:eastAsia="宋体" w:hint="default"/>
          <w:b/>
          <w:bCs/>
          <w:w w:val="99"/>
        </w:rPr>
        <w:t> </w:t>
      </w:r>
      <w:r>
        <w:rPr/>
        <w:t>组合中，按账龄分析法计提坏账准备的其他应收款：</w:t>
      </w:r>
    </w:p>
    <w:p>
      <w:pPr>
        <w:spacing w:before="86"/>
        <w:ind w:left="15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5"/>
        <w:rPr>
          <w:rFonts w:ascii="宋体" w:hAnsi="宋体" w:cs="宋体" w:eastAsia="宋体" w:hint="default"/>
          <w:sz w:val="10"/>
          <w:szCs w:val="10"/>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69"/>
        <w:gridCol w:w="2405"/>
        <w:gridCol w:w="2392"/>
        <w:gridCol w:w="2392"/>
      </w:tblGrid>
      <w:tr>
        <w:trPr>
          <w:trHeight w:val="206" w:hRule="exact"/>
        </w:trPr>
        <w:tc>
          <w:tcPr>
            <w:tcW w:w="2369" w:type="dxa"/>
            <w:tcBorders>
              <w:top w:val="single" w:sz="4" w:space="0" w:color="000000"/>
              <w:left w:val="single" w:sz="4" w:space="0" w:color="000000"/>
              <w:bottom w:val="nil" w:sz="6" w:space="0" w:color="auto"/>
              <w:right w:val="single" w:sz="4" w:space="0" w:color="000000"/>
            </w:tcBorders>
            <w:shd w:val="clear" w:color="auto" w:fill="D2D2D2"/>
          </w:tcPr>
          <w:p>
            <w:pPr/>
          </w:p>
        </w:tc>
        <w:tc>
          <w:tcPr>
            <w:tcW w:w="7189"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6" w:hRule="exact"/>
        </w:trPr>
        <w:tc>
          <w:tcPr>
            <w:tcW w:w="236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189" w:type="dxa"/>
            <w:gridSpan w:val="3"/>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2369" w:type="dxa"/>
            <w:vMerge/>
            <w:tcBorders>
              <w:left w:val="single" w:sz="4" w:space="0" w:color="000000"/>
              <w:bottom w:val="nil" w:sz="6" w:space="0" w:color="auto"/>
              <w:right w:val="single" w:sz="4" w:space="0" w:color="000000"/>
            </w:tcBorders>
            <w:shd w:val="clear" w:color="auto" w:fill="D2D2D2"/>
          </w:tcPr>
          <w:p>
            <w:pPr/>
          </w:p>
        </w:tc>
        <w:tc>
          <w:tcPr>
            <w:tcW w:w="240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75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05" w:hRule="exact"/>
        </w:trPr>
        <w:tc>
          <w:tcPr>
            <w:tcW w:w="2369" w:type="dxa"/>
            <w:tcBorders>
              <w:top w:val="nil" w:sz="6" w:space="0" w:color="auto"/>
              <w:left w:val="single" w:sz="4" w:space="0" w:color="000000"/>
              <w:bottom w:val="single" w:sz="4" w:space="0" w:color="000000"/>
              <w:right w:val="single" w:sz="4" w:space="0" w:color="000000"/>
            </w:tcBorders>
            <w:shd w:val="clear" w:color="auto" w:fill="D2D2D2"/>
          </w:tcPr>
          <w:p>
            <w:pPr/>
          </w:p>
        </w:tc>
        <w:tc>
          <w:tcPr>
            <w:tcW w:w="2405"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16,881,927.13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844,096.34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377,647,079.13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37,764,707.89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41,038,244.91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12,311,473.46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30.00%</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1,660,422.56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830,211.29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357,165.01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285,732.02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80.00%</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1,135,005.25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1,135,005.25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4"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438,719,843.99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53,171,226.25</w:t>
            </w:r>
          </w:p>
        </w:tc>
        <w:tc>
          <w:tcPr>
            <w:tcW w:w="2392"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0"/>
        <w:jc w:val="left"/>
      </w:pPr>
      <w:r>
        <w:rPr/>
        <w:t>组合中，采用余额百分比法计提坏账准备的其他应收款：</w:t>
      </w:r>
    </w:p>
    <w:p>
      <w:pPr>
        <w:pStyle w:val="BodyText"/>
        <w:spacing w:line="340" w:lineRule="auto" w:before="116"/>
        <w:ind w:right="66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4"/>
        </w:rPr>
        <w:t> </w:t>
      </w:r>
      <w:r>
        <w:rPr>
          <w:rFonts w:ascii="宋体" w:hAnsi="宋体" w:cs="宋体" w:eastAsia="宋体" w:hint="default"/>
          <w:b/>
          <w:bCs/>
        </w:rPr>
        <w:t>不适用</w:t>
      </w:r>
      <w:r>
        <w:rPr>
          <w:rFonts w:ascii="宋体" w:hAnsi="宋体" w:cs="宋体" w:eastAsia="宋体" w:hint="default"/>
          <w:b/>
          <w:bCs/>
          <w:w w:val="99"/>
        </w:rPr>
        <w:t> </w:t>
      </w:r>
      <w:r>
        <w:rPr/>
        <w:t>组合中，采用其他方法计提坏账准备的其他应收款：</w:t>
      </w:r>
    </w:p>
    <w:p>
      <w:pPr>
        <w:spacing w:after="0" w:line="340" w:lineRule="auto"/>
        <w:jc w:val="left"/>
        <w:sectPr>
          <w:pgSz w:w="11910" w:h="16840"/>
          <w:pgMar w:header="851" w:footer="979" w:top="1400" w:bottom="1160" w:left="98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before="6"/>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2"/>
        <w:rPr>
          <w:rFonts w:ascii="宋体" w:hAnsi="宋体" w:cs="宋体" w:eastAsia="宋体" w:hint="default"/>
          <w:b/>
          <w:bCs/>
          <w:sz w:val="13"/>
          <w:szCs w:val="13"/>
        </w:rPr>
      </w:pPr>
    </w:p>
    <w:p>
      <w:pPr>
        <w:pStyle w:val="Heading5"/>
        <w:spacing w:line="240" w:lineRule="auto"/>
        <w:ind w:right="0"/>
        <w:jc w:val="left"/>
        <w:rPr>
          <w:b w:val="0"/>
          <w:bCs w:val="0"/>
        </w:rPr>
      </w:pP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10"/>
        <w:rPr>
          <w:rFonts w:ascii="宋体" w:hAnsi="宋体" w:cs="宋体" w:eastAsia="宋体" w:hint="default"/>
          <w:b/>
          <w:bCs/>
          <w:sz w:val="13"/>
          <w:szCs w:val="13"/>
        </w:rPr>
      </w:pPr>
    </w:p>
    <w:p>
      <w:pPr>
        <w:pStyle w:val="BodyText"/>
        <w:spacing w:line="240" w:lineRule="auto"/>
        <w:ind w:right="0"/>
        <w:jc w:val="left"/>
      </w:pPr>
      <w:r>
        <w:rPr/>
        <w:t>本期计提坏账准备金额</w:t>
      </w:r>
      <w:r>
        <w:rPr>
          <w:spacing w:val="-47"/>
        </w:rPr>
        <w:t> </w:t>
      </w:r>
      <w:r>
        <w:rPr>
          <w:rFonts w:ascii="Times New Roman" w:hAnsi="Times New Roman" w:cs="Times New Roman" w:eastAsia="Times New Roman" w:hint="default"/>
        </w:rPr>
        <w:t>24,669,608.99</w:t>
      </w:r>
      <w:r>
        <w:rPr>
          <w:rFonts w:ascii="Times New Roman" w:hAnsi="Times New Roman" w:cs="Times New Roman" w:eastAsia="Times New Roman" w:hint="default"/>
          <w:spacing w:val="-1"/>
        </w:rPr>
        <w:t> </w:t>
      </w:r>
      <w:r>
        <w:rPr/>
        <w:t>元；本期收回或转回坏账准备金额</w:t>
      </w:r>
      <w:r>
        <w:rPr>
          <w:spacing w:val="-47"/>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spacing w:line="240" w:lineRule="auto" w:before="11"/>
        <w:rPr>
          <w:rFonts w:ascii="宋体" w:hAnsi="宋体" w:cs="宋体" w:eastAsia="宋体" w:hint="default"/>
          <w:sz w:val="13"/>
          <w:szCs w:val="13"/>
        </w:rPr>
      </w:pPr>
    </w:p>
    <w:p>
      <w:pPr>
        <w:pStyle w:val="Heading5"/>
        <w:spacing w:line="415" w:lineRule="auto"/>
        <w:ind w:left="514" w:right="8072" w:hanging="360"/>
        <w:jc w:val="left"/>
        <w:rPr>
          <w:rFonts w:ascii="宋体" w:hAnsi="宋体" w:cs="宋体" w:eastAsia="宋体" w:hint="default"/>
          <w:b w:val="0"/>
          <w:bCs w:val="0"/>
        </w:rPr>
      </w:pPr>
      <w:r>
        <w:rPr>
          <w:rFonts w:ascii="Times New Roman" w:hAnsi="Times New Roman" w:cs="Times New Roman" w:eastAsia="Times New Roman" w:hint="default"/>
        </w:rPr>
        <w:t>3)</w:t>
      </w:r>
      <w:r>
        <w:rPr/>
        <w:t>本期实际核销的其他应收款情况</w:t>
      </w:r>
      <w:r>
        <w:rPr>
          <w:w w:val="99"/>
        </w:rPr>
        <w:t> </w:t>
      </w:r>
      <w:r>
        <w:rPr>
          <w:rFonts w:ascii="宋体" w:hAnsi="宋体" w:cs="宋体" w:eastAsia="宋体" w:hint="default"/>
          <w:b w:val="0"/>
          <w:bCs w:val="0"/>
        </w:rPr>
        <w:t>无。</w:t>
      </w:r>
    </w:p>
    <w:p>
      <w:pPr>
        <w:pStyle w:val="Heading5"/>
        <w:spacing w:line="240" w:lineRule="auto" w:before="62"/>
        <w:ind w:right="0"/>
        <w:jc w:val="left"/>
        <w:rPr>
          <w:b w:val="0"/>
          <w:bCs w:val="0"/>
        </w:rPr>
      </w:pPr>
      <w:r>
        <w:rPr>
          <w:rFonts w:ascii="Times New Roman" w:hAnsi="Times New Roman" w:cs="Times New Roman" w:eastAsia="Times New Roman" w:hint="default"/>
        </w:rPr>
        <w:t>4)</w:t>
      </w:r>
      <w:r>
        <w:rPr/>
        <w:t>其他应收款按款项性质分类情况</w:t>
      </w:r>
      <w:r>
        <w:rPr>
          <w:b w:val="0"/>
          <w:bCs w:val="0"/>
        </w:rPr>
      </w:r>
    </w:p>
    <w:p>
      <w:pPr>
        <w:spacing w:line="240" w:lineRule="auto" w:before="5"/>
        <w:rPr>
          <w:rFonts w:ascii="宋体" w:hAnsi="宋体" w:cs="宋体" w:eastAsia="宋体" w:hint="default"/>
          <w:b/>
          <w:bCs/>
          <w:sz w:val="10"/>
          <w:szCs w:val="10"/>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3"/>
        <w:gridCol w:w="3191"/>
      </w:tblGrid>
      <w:tr>
        <w:trPr>
          <w:trHeight w:val="401"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62"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备用金、押金及保证金</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21,428,560.52</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26,601,371.40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关联方欠款</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5,405,910.76</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5,405,910.76</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其他往来款项</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6,318,556.71</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9,916,723.85</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应收股权转让款</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2,265,000.00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8,033,720.00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涉诉应收款项</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402,311,816.00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402,311,816.00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应收政府补助款</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990,000.00</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438,719,843.99</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452,269,542.01</w:t>
            </w:r>
          </w:p>
        </w:tc>
      </w:tr>
    </w:tbl>
    <w:p>
      <w:pPr>
        <w:spacing w:line="240" w:lineRule="auto" w:before="6"/>
        <w:rPr>
          <w:rFonts w:ascii="宋体" w:hAnsi="宋体" w:cs="宋体" w:eastAsia="宋体" w:hint="default"/>
          <w:sz w:val="6"/>
          <w:szCs w:val="6"/>
        </w:rPr>
      </w:pPr>
    </w:p>
    <w:p>
      <w:pPr>
        <w:pStyle w:val="Heading5"/>
        <w:spacing w:line="240" w:lineRule="auto" w:before="44"/>
        <w:ind w:right="0"/>
        <w:jc w:val="left"/>
        <w:rPr>
          <w:b w:val="0"/>
          <w:bCs w:val="0"/>
        </w:rPr>
      </w:pP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5"/>
        <w:rPr>
          <w:rFonts w:ascii="宋体" w:hAnsi="宋体" w:cs="宋体" w:eastAsia="宋体" w:hint="default"/>
          <w:b/>
          <w:bCs/>
          <w:sz w:val="10"/>
          <w:szCs w:val="10"/>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836"/>
        <w:gridCol w:w="1276"/>
        <w:gridCol w:w="1276"/>
        <w:gridCol w:w="989"/>
        <w:gridCol w:w="1596"/>
        <w:gridCol w:w="1595"/>
      </w:tblGrid>
      <w:tr>
        <w:trPr>
          <w:trHeight w:val="714"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7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8" w:right="0"/>
              <w:jc w:val="left"/>
              <w:rPr>
                <w:rFonts w:ascii="宋体" w:hAnsi="宋体" w:cs="宋体" w:eastAsia="宋体" w:hint="default"/>
                <w:sz w:val="18"/>
                <w:szCs w:val="18"/>
              </w:rPr>
            </w:pPr>
            <w:r>
              <w:rPr>
                <w:rFonts w:ascii="宋体" w:hAnsi="宋体" w:cs="宋体" w:eastAsia="宋体" w:hint="default"/>
                <w:sz w:val="18"/>
                <w:szCs w:val="18"/>
              </w:rPr>
              <w:t>账龄</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3" w:right="71"/>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71"/>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大唐半导体设计有限公司</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涉诉应收款项</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304,733,448.00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69.46%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36,847,048.20</w:t>
            </w: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大唐微电子技术有限公司</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涉诉应收款项</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97,578,368.00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22.24%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9,757,836.80</w:t>
            </w: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重庆泰岳优才科技有限公司</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关联方欠款</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5,405,910.76</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1,621,225.23</w:t>
            </w: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宁波普源通信技术有限公司</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代垫款项</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2,705,970.37</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0.62%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270,597.04</w:t>
            </w: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33"/>
              <w:jc w:val="left"/>
              <w:rPr>
                <w:rFonts w:ascii="宋体" w:hAnsi="宋体" w:cs="宋体" w:eastAsia="宋体" w:hint="default"/>
                <w:sz w:val="18"/>
                <w:szCs w:val="18"/>
              </w:rPr>
            </w:pPr>
            <w:r>
              <w:rPr>
                <w:rFonts w:ascii="宋体" w:hAnsi="宋体" w:cs="宋体" w:eastAsia="宋体" w:hint="default"/>
                <w:spacing w:val="-3"/>
                <w:sz w:val="18"/>
                <w:szCs w:val="18"/>
              </w:rPr>
              <w:t>横琴聚众合力投资企业（有限合伙）</w:t>
            </w:r>
            <w:r>
              <w:rPr>
                <w:rFonts w:ascii="宋体" w:hAnsi="宋体" w:cs="宋体" w:eastAsia="宋体" w:hint="default"/>
                <w:sz w:val="18"/>
                <w:szCs w:val="18"/>
              </w:rPr>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股权转让款</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2,265,000.00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0.52%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113,250.00</w:t>
            </w: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412,688,697.13</w:t>
            </w:r>
          </w:p>
        </w:tc>
        <w:tc>
          <w:tcPr>
            <w:tcW w:w="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94.07%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48,609,957.27</w:t>
            </w:r>
          </w:p>
        </w:tc>
      </w:tr>
    </w:tbl>
    <w:p>
      <w:pPr>
        <w:spacing w:line="240" w:lineRule="auto" w:before="6"/>
        <w:rPr>
          <w:rFonts w:ascii="宋体" w:hAnsi="宋体" w:cs="宋体" w:eastAsia="宋体" w:hint="default"/>
          <w:sz w:val="6"/>
          <w:szCs w:val="6"/>
        </w:rPr>
      </w:pPr>
    </w:p>
    <w:p>
      <w:pPr>
        <w:pStyle w:val="Heading5"/>
        <w:spacing w:line="240" w:lineRule="auto" w:before="44"/>
        <w:ind w:right="0"/>
        <w:jc w:val="left"/>
        <w:rPr>
          <w:b w:val="0"/>
          <w:bCs w:val="0"/>
        </w:rPr>
      </w:pPr>
      <w:r>
        <w:rPr/>
        <w:pict>
          <v:group style="position:absolute;margin-left:198.740005pt;margin-top:-45.038284pt;width:62.15pt;height:20.8pt;mso-position-horizontal-relative:page;mso-position-vertical-relative:paragraph;z-index:-1076128" coordorigin="3975,-901" coordsize="1243,416">
            <v:group style="position:absolute;left:3986;top:-889;width:2;height:393" coordorigin="3986,-889" coordsize="2,393">
              <v:shape style="position:absolute;left:3986;top:-889;width:2;height:393" coordorigin="3986,-889" coordsize="0,393" path="m3986,-889l3986,-497e" filled="false" stroked="true" strokeweight="1.140pt" strokecolor="#ffffff">
                <v:path arrowok="t"/>
              </v:shape>
            </v:group>
            <v:group style="position:absolute;left:3998;top:-889;width:1220;height:393" coordorigin="3998,-889" coordsize="1220,393">
              <v:shape style="position:absolute;left:3998;top:-889;width:1220;height:393" coordorigin="3998,-889" coordsize="1220,393" path="m3998,-497l5217,-497,5217,-889,3998,-889,3998,-497xe" filled="true" fillcolor="#ffffff" stroked="false">
                <v:path arrowok="t"/>
                <v:fill type="solid"/>
              </v:shape>
            </v:group>
            <w10:wrap type="none"/>
          </v:group>
        </w:pict>
      </w:r>
      <w:r>
        <w:rPr>
          <w:rFonts w:ascii="Times New Roman" w:hAnsi="Times New Roman" w:cs="Times New Roman" w:eastAsia="Times New Roman" w:hint="default"/>
        </w:rPr>
        <w:t>6)</w:t>
      </w:r>
      <w:r>
        <w:rPr/>
        <w:t>涉及政府补助的应收款项</w:t>
      </w:r>
      <w:r>
        <w:rPr>
          <w:b w:val="0"/>
          <w:bCs w:val="0"/>
        </w:rPr>
      </w:r>
    </w:p>
    <w:p>
      <w:pPr>
        <w:spacing w:line="240" w:lineRule="auto" w:before="6"/>
        <w:rPr>
          <w:rFonts w:ascii="宋体" w:hAnsi="宋体" w:cs="宋体" w:eastAsia="宋体" w:hint="default"/>
          <w:b/>
          <w:bCs/>
          <w:sz w:val="10"/>
          <w:szCs w:val="10"/>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2"/>
        <w:gridCol w:w="2342"/>
        <w:gridCol w:w="1487"/>
        <w:gridCol w:w="1914"/>
        <w:gridCol w:w="1916"/>
      </w:tblGrid>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0"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23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46" w:right="0"/>
              <w:jc w:val="left"/>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4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7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683" w:right="50" w:hanging="630"/>
              <w:jc w:val="left"/>
              <w:rPr>
                <w:rFonts w:ascii="宋体" w:hAnsi="宋体" w:cs="宋体" w:eastAsia="宋体" w:hint="default"/>
                <w:sz w:val="18"/>
                <w:szCs w:val="18"/>
              </w:rPr>
            </w:pPr>
            <w:r>
              <w:rPr>
                <w:rFonts w:ascii="宋体" w:hAnsi="宋体" w:cs="宋体" w:eastAsia="宋体" w:hint="default"/>
                <w:sz w:val="18"/>
                <w:szCs w:val="18"/>
              </w:rPr>
              <w:t>预计收取的时间、金额 及依据</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合肥高新技术产业开发 区财政国库支付中心</w:t>
            </w:r>
          </w:p>
        </w:tc>
        <w:tc>
          <w:tcPr>
            <w:tcW w:w="234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47"/>
              <w:jc w:val="left"/>
              <w:rPr>
                <w:rFonts w:ascii="宋体" w:hAnsi="宋体" w:cs="宋体" w:eastAsia="宋体" w:hint="default"/>
                <w:sz w:val="18"/>
                <w:szCs w:val="18"/>
              </w:rPr>
            </w:pPr>
            <w:r>
              <w:rPr>
                <w:rFonts w:ascii="宋体" w:hAnsi="宋体" w:cs="宋体" w:eastAsia="宋体" w:hint="default"/>
                <w:sz w:val="18"/>
                <w:szCs w:val="18"/>
              </w:rPr>
              <w:t>安徽省战略新兴产业集聚发 展基地专项资金拟支持项目</w:t>
            </w: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44" w:right="0"/>
              <w:jc w:val="left"/>
              <w:rPr>
                <w:rFonts w:ascii="Times New Roman" w:hAnsi="Times New Roman" w:cs="Times New Roman" w:eastAsia="Times New Roman" w:hint="default"/>
                <w:sz w:val="18"/>
                <w:szCs w:val="18"/>
              </w:rPr>
            </w:pPr>
            <w:r>
              <w:rPr>
                <w:rFonts w:ascii="Times New Roman"/>
                <w:sz w:val="18"/>
              </w:rPr>
              <w:t>990,000.00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3" w:right="23"/>
              <w:jc w:val="left"/>
              <w:rPr>
                <w:rFonts w:ascii="宋体" w:hAnsi="宋体" w:cs="宋体" w:eastAsia="宋体" w:hint="default"/>
                <w:sz w:val="18"/>
                <w:szCs w:val="18"/>
              </w:rPr>
            </w:pPr>
            <w:r>
              <w:rPr>
                <w:rFonts w:ascii="宋体" w:hAnsi="宋体" w:cs="宋体" w:eastAsia="宋体" w:hint="default"/>
                <w:sz w:val="18"/>
                <w:szCs w:val="18"/>
              </w:rPr>
              <w:t>该款项于</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月已 收款</w:t>
            </w:r>
          </w:p>
        </w:tc>
      </w:tr>
    </w:tbl>
    <w:p>
      <w:pPr>
        <w:spacing w:line="240" w:lineRule="auto" w:before="7"/>
        <w:rPr>
          <w:rFonts w:ascii="宋体" w:hAnsi="宋体" w:cs="宋体" w:eastAsia="宋体" w:hint="default"/>
          <w:sz w:val="6"/>
          <w:szCs w:val="6"/>
        </w:rPr>
      </w:pPr>
    </w:p>
    <w:p>
      <w:pPr>
        <w:pStyle w:val="Heading5"/>
        <w:spacing w:line="489" w:lineRule="auto" w:before="44"/>
        <w:ind w:left="514" w:right="7349" w:hanging="360"/>
        <w:jc w:val="left"/>
        <w:rPr>
          <w:rFonts w:ascii="宋体" w:hAnsi="宋体" w:cs="宋体" w:eastAsia="宋体" w:hint="default"/>
          <w:b w:val="0"/>
          <w:bCs w:val="0"/>
        </w:rPr>
      </w:pPr>
      <w:r>
        <w:rPr>
          <w:rFonts w:ascii="Times New Roman" w:hAnsi="Times New Roman" w:cs="Times New Roman" w:eastAsia="Times New Roman" w:hint="default"/>
        </w:rPr>
        <w:t>7)</w:t>
      </w:r>
      <w:r>
        <w:rPr/>
        <w:t>因金融资产转移而终止确认的其他应收款</w:t>
      </w:r>
      <w:r>
        <w:rPr>
          <w:w w:val="99"/>
        </w:rPr>
        <w:t> </w:t>
      </w:r>
      <w:r>
        <w:rPr>
          <w:rFonts w:ascii="宋体" w:hAnsi="宋体" w:cs="宋体" w:eastAsia="宋体" w:hint="default"/>
          <w:b w:val="0"/>
          <w:bCs w:val="0"/>
        </w:rPr>
        <w:t>无。</w:t>
      </w:r>
    </w:p>
    <w:p>
      <w:pPr>
        <w:spacing w:after="0" w:line="489" w:lineRule="auto"/>
        <w:jc w:val="left"/>
        <w:rPr>
          <w:rFonts w:ascii="宋体" w:hAnsi="宋体" w:cs="宋体" w:eastAsia="宋体" w:hint="default"/>
        </w:rPr>
        <w:sectPr>
          <w:pgSz w:w="11910" w:h="16840"/>
          <w:pgMar w:header="851" w:footer="979" w:top="1400" w:bottom="1160" w:left="98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5"/>
        <w:spacing w:line="489" w:lineRule="auto" w:before="84"/>
        <w:ind w:left="514" w:right="6627" w:hanging="360"/>
        <w:jc w:val="left"/>
        <w:rPr>
          <w:rFonts w:ascii="宋体" w:hAnsi="宋体" w:cs="宋体" w:eastAsia="宋体" w:hint="default"/>
          <w:b w:val="0"/>
          <w:bCs w:val="0"/>
        </w:rPr>
      </w:pPr>
      <w:r>
        <w:rPr>
          <w:rFonts w:ascii="Times New Roman" w:hAnsi="Times New Roman" w:cs="Times New Roman" w:eastAsia="Times New Roman" w:hint="default"/>
        </w:rPr>
        <w:t>8)</w:t>
      </w:r>
      <w:r>
        <w:rPr/>
        <w:t>转移其他应收款且继续涉入形成的资产、负债金额</w:t>
      </w:r>
      <w:r>
        <w:rPr>
          <w:w w:val="99"/>
        </w:rPr>
        <w:t> </w:t>
      </w:r>
      <w:r>
        <w:rPr>
          <w:rFonts w:ascii="宋体" w:hAnsi="宋体" w:cs="宋体" w:eastAsia="宋体" w:hint="default"/>
          <w:b w:val="0"/>
          <w:bCs w:val="0"/>
        </w:rPr>
        <w:t>无。</w:t>
      </w:r>
    </w:p>
    <w:p>
      <w:pPr>
        <w:spacing w:line="240" w:lineRule="auto" w:before="5"/>
        <w:rPr>
          <w:rFonts w:ascii="宋体" w:hAnsi="宋体" w:cs="宋体" w:eastAsia="宋体" w:hint="default"/>
          <w:sz w:val="18"/>
          <w:szCs w:val="18"/>
        </w:rPr>
      </w:pPr>
    </w:p>
    <w:p>
      <w:pPr>
        <w:pStyle w:val="Heading3"/>
        <w:spacing w:line="240" w:lineRule="auto"/>
        <w:ind w:right="0"/>
        <w:jc w:val="left"/>
        <w:rPr>
          <w:b w:val="0"/>
          <w:bCs w:val="0"/>
        </w:rPr>
      </w:pPr>
      <w:bookmarkStart w:name="7、存货" w:id="246"/>
      <w:bookmarkEnd w:id="246"/>
      <w:r>
        <w:rPr>
          <w:b w:val="0"/>
          <w:bCs w:val="0"/>
        </w:rPr>
      </w:r>
      <w:r>
        <w:rPr>
          <w:rFonts w:ascii="Times New Roman" w:hAnsi="Times New Roman" w:cs="Times New Roman" w:eastAsia="Times New Roman" w:hint="default"/>
        </w:rPr>
        <w:t>7</w:t>
      </w:r>
      <w:r>
        <w:rPr/>
        <w:t>、存货</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存货分类" w:id="247"/>
      <w:bookmarkEnd w:id="247"/>
      <w:r>
        <w:rPr>
          <w:b w:val="0"/>
          <w:bCs w:val="0"/>
        </w:rPr>
      </w:r>
      <w:r>
        <w:rPr/>
        <w:t>（</w:t>
      </w:r>
      <w:r>
        <w:rPr>
          <w:rFonts w:ascii="Times New Roman" w:hAnsi="Times New Roman" w:cs="Times New Roman" w:eastAsia="Times New Roman" w:hint="default"/>
        </w:rPr>
        <w:t>1</w:t>
      </w:r>
      <w:r>
        <w:rPr/>
        <w:t>）存货分类</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395"/>
        <w:gridCol w:w="1330"/>
        <w:gridCol w:w="1367"/>
        <w:gridCol w:w="1367"/>
        <w:gridCol w:w="1368"/>
        <w:gridCol w:w="1367"/>
        <w:gridCol w:w="1367"/>
      </w:tblGrid>
      <w:tr>
        <w:trPr>
          <w:trHeight w:val="206" w:hRule="exact"/>
        </w:trPr>
        <w:tc>
          <w:tcPr>
            <w:tcW w:w="1395" w:type="dxa"/>
            <w:tcBorders>
              <w:top w:val="single" w:sz="4" w:space="0" w:color="000000"/>
              <w:left w:val="single" w:sz="4" w:space="0" w:color="000000"/>
              <w:bottom w:val="nil" w:sz="6" w:space="0" w:color="auto"/>
              <w:right w:val="single" w:sz="4" w:space="0" w:color="000000"/>
            </w:tcBorders>
            <w:shd w:val="clear" w:color="auto" w:fill="D2D2D2"/>
          </w:tcPr>
          <w:p>
            <w:pPr/>
          </w:p>
        </w:tc>
        <w:tc>
          <w:tcPr>
            <w:tcW w:w="4064"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1" w:hRule="exact"/>
        </w:trPr>
        <w:tc>
          <w:tcPr>
            <w:tcW w:w="139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064" w:type="dxa"/>
            <w:gridSpan w:val="3"/>
            <w:vMerge/>
            <w:tcBorders>
              <w:left w:val="single" w:sz="4" w:space="0" w:color="000000"/>
              <w:bottom w:val="single" w:sz="4" w:space="0" w:color="000000"/>
              <w:right w:val="single" w:sz="4" w:space="0" w:color="000000"/>
            </w:tcBorders>
            <w:shd w:val="clear" w:color="auto" w:fill="D2D2D2"/>
          </w:tcPr>
          <w:p>
            <w:pPr/>
          </w:p>
        </w:tc>
        <w:tc>
          <w:tcPr>
            <w:tcW w:w="4102" w:type="dxa"/>
            <w:gridSpan w:val="3"/>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395" w:type="dxa"/>
            <w:vMerge/>
            <w:tcBorders>
              <w:left w:val="single" w:sz="4" w:space="0" w:color="000000"/>
              <w:bottom w:val="nil" w:sz="6" w:space="0" w:color="auto"/>
              <w:right w:val="single" w:sz="4" w:space="0" w:color="000000"/>
            </w:tcBorders>
            <w:shd w:val="clear" w:color="auto" w:fill="D2D2D2"/>
          </w:tcPr>
          <w:p>
            <w:pPr/>
          </w:p>
        </w:tc>
        <w:tc>
          <w:tcPr>
            <w:tcW w:w="133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0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5" w:hRule="exact"/>
        </w:trPr>
        <w:tc>
          <w:tcPr>
            <w:tcW w:w="1395" w:type="dxa"/>
            <w:tcBorders>
              <w:top w:val="nil" w:sz="6" w:space="0" w:color="auto"/>
              <w:left w:val="single" w:sz="4" w:space="0" w:color="000000"/>
              <w:bottom w:val="single" w:sz="4" w:space="0" w:color="000000"/>
              <w:right w:val="single" w:sz="4" w:space="0" w:color="000000"/>
            </w:tcBorders>
            <w:shd w:val="clear" w:color="auto" w:fill="D2D2D2"/>
          </w:tcPr>
          <w:p>
            <w:pPr/>
          </w:p>
        </w:tc>
        <w:tc>
          <w:tcPr>
            <w:tcW w:w="1330"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3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10,078,440.71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18,207.04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10,060,233.67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6,310,617.49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18,207.04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6,292,410.45</w:t>
            </w:r>
          </w:p>
        </w:tc>
      </w:tr>
      <w:tr>
        <w:trPr>
          <w:trHeight w:val="402" w:hRule="exact"/>
        </w:trPr>
        <w:tc>
          <w:tcPr>
            <w:tcW w:w="1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30" w:type="dxa"/>
            <w:tcBorders>
              <w:top w:val="single" w:sz="4" w:space="0" w:color="000000"/>
              <w:left w:val="single" w:sz="13" w:space="0" w:color="D2D2D2"/>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707,176.24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707,176.24</w:t>
            </w:r>
          </w:p>
        </w:tc>
      </w:tr>
      <w:tr>
        <w:trPr>
          <w:trHeight w:val="402" w:hRule="exact"/>
        </w:trPr>
        <w:tc>
          <w:tcPr>
            <w:tcW w:w="1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3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96,533,096.99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96,533,096.99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151,683,000.76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151,683,000.76</w:t>
            </w:r>
          </w:p>
        </w:tc>
      </w:tr>
      <w:tr>
        <w:trPr>
          <w:trHeight w:val="402" w:hRule="exact"/>
        </w:trPr>
        <w:tc>
          <w:tcPr>
            <w:tcW w:w="1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低值易耗品</w:t>
            </w:r>
          </w:p>
        </w:tc>
        <w:tc>
          <w:tcPr>
            <w:tcW w:w="133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2,169,197.78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2,169,197.78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2,693,297.16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2,693,297.16</w:t>
            </w:r>
          </w:p>
        </w:tc>
      </w:tr>
      <w:tr>
        <w:trPr>
          <w:trHeight w:val="714" w:hRule="exact"/>
        </w:trPr>
        <w:tc>
          <w:tcPr>
            <w:tcW w:w="1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12"/>
              <w:jc w:val="left"/>
              <w:rPr>
                <w:rFonts w:ascii="宋体" w:hAnsi="宋体" w:cs="宋体" w:eastAsia="宋体" w:hint="default"/>
                <w:sz w:val="18"/>
                <w:szCs w:val="18"/>
              </w:rPr>
            </w:pPr>
            <w:r>
              <w:rPr>
                <w:rFonts w:ascii="宋体" w:hAnsi="宋体" w:cs="宋体" w:eastAsia="宋体" w:hint="default"/>
                <w:sz w:val="18"/>
                <w:szCs w:val="18"/>
              </w:rPr>
              <w:t>外购软硬件及服 务</w:t>
            </w:r>
          </w:p>
        </w:tc>
        <w:tc>
          <w:tcPr>
            <w:tcW w:w="133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63,785,040.65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7,179,382.71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56,605,657.94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71,486,881.76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7,151,080.82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64,335,800.94</w:t>
            </w:r>
          </w:p>
        </w:tc>
      </w:tr>
      <w:tr>
        <w:trPr>
          <w:trHeight w:val="402" w:hRule="exact"/>
        </w:trPr>
        <w:tc>
          <w:tcPr>
            <w:tcW w:w="1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3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172,565,776.13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7,197,589.75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165,368,186.38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232,880,973.41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7,169,287.86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225,711,685.55</w:t>
            </w:r>
          </w:p>
        </w:tc>
      </w:tr>
    </w:tbl>
    <w:p>
      <w:pPr>
        <w:pStyle w:val="BodyText"/>
        <w:spacing w:line="340" w:lineRule="auto" w:before="51"/>
        <w:ind w:right="1753"/>
        <w:jc w:val="left"/>
        <w:rPr>
          <w:rFonts w:ascii="宋体" w:hAnsi="宋体" w:cs="宋体" w:eastAsia="宋体" w:hint="default"/>
        </w:rPr>
      </w:pPr>
      <w:r>
        <w:rPr/>
        <w:t>公司是否需遵守《深圳证券交易所创业板行业信息披露指引第</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上市公司从事互联网游戏业务》的披露要求 </w:t>
      </w:r>
      <w:r>
        <w:rPr>
          <w:rFonts w:ascii="宋体" w:hAnsi="宋体" w:cs="宋体" w:eastAsia="宋体" w:hint="default"/>
          <w:b/>
          <w:bCs/>
        </w:rPr>
        <w:t>是</w:t>
      </w:r>
      <w:r>
        <w:rPr>
          <w:rFonts w:ascii="宋体" w:hAnsi="宋体" w:cs="宋体" w:eastAsia="宋体" w:hint="default"/>
        </w:rPr>
      </w:r>
    </w:p>
    <w:p>
      <w:pPr>
        <w:pStyle w:val="BodyText"/>
        <w:spacing w:line="360" w:lineRule="auto" w:before="40"/>
        <w:ind w:right="9132"/>
        <w:jc w:val="left"/>
      </w:pPr>
      <w:r>
        <w:rPr/>
        <w:t>前五名游戏情况 存货中不存在游戏。</w:t>
      </w:r>
    </w:p>
    <w:p>
      <w:pPr>
        <w:spacing w:line="240" w:lineRule="auto" w:before="11"/>
        <w:rPr>
          <w:rFonts w:ascii="宋体" w:hAnsi="宋体" w:cs="宋体" w:eastAsia="宋体" w:hint="default"/>
          <w:sz w:val="19"/>
          <w:szCs w:val="19"/>
        </w:rPr>
      </w:pPr>
    </w:p>
    <w:p>
      <w:pPr>
        <w:pStyle w:val="Heading3"/>
        <w:spacing w:line="240" w:lineRule="auto"/>
        <w:ind w:right="0"/>
        <w:jc w:val="left"/>
        <w:rPr>
          <w:b w:val="0"/>
          <w:bCs w:val="0"/>
        </w:rPr>
      </w:pPr>
      <w:bookmarkStart w:name="（2）存货跌价准备" w:id="248"/>
      <w:bookmarkEnd w:id="248"/>
      <w:r>
        <w:rPr>
          <w:b w:val="0"/>
          <w:bCs w:val="0"/>
        </w:rPr>
      </w:r>
      <w:r>
        <w:rPr/>
        <w:t>（</w:t>
      </w:r>
      <w:r>
        <w:rPr>
          <w:rFonts w:ascii="Times New Roman" w:hAnsi="Times New Roman" w:cs="Times New Roman" w:eastAsia="Times New Roman" w:hint="default"/>
        </w:rPr>
        <w:t>2</w:t>
      </w:r>
      <w:r>
        <w:rPr/>
        <w:t>）存货跌价准备</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560"/>
        <w:gridCol w:w="1417"/>
        <w:gridCol w:w="1419"/>
        <w:gridCol w:w="1274"/>
        <w:gridCol w:w="1276"/>
        <w:gridCol w:w="1259"/>
        <w:gridCol w:w="1367"/>
      </w:tblGrid>
      <w:tr>
        <w:trPr>
          <w:trHeight w:val="206" w:hRule="exact"/>
        </w:trPr>
        <w:tc>
          <w:tcPr>
            <w:tcW w:w="1560" w:type="dxa"/>
            <w:tcBorders>
              <w:top w:val="single" w:sz="4" w:space="0" w:color="000000"/>
              <w:left w:val="single" w:sz="4" w:space="0" w:color="000000"/>
              <w:bottom w:val="nil" w:sz="6" w:space="0" w:color="auto"/>
              <w:right w:val="single" w:sz="4" w:space="0" w:color="000000"/>
            </w:tcBorders>
            <w:shd w:val="clear" w:color="auto" w:fill="D2D2D2"/>
          </w:tcPr>
          <w:p>
            <w:pPr/>
          </w:p>
        </w:tc>
        <w:tc>
          <w:tcPr>
            <w:tcW w:w="1417" w:type="dxa"/>
            <w:tcBorders>
              <w:top w:val="single" w:sz="4" w:space="0" w:color="000000"/>
              <w:left w:val="single" w:sz="4" w:space="0" w:color="000000"/>
              <w:bottom w:val="nil" w:sz="6" w:space="0" w:color="auto"/>
              <w:right w:val="single" w:sz="4" w:space="0" w:color="000000"/>
            </w:tcBorders>
            <w:shd w:val="clear" w:color="auto" w:fill="D2D2D2"/>
          </w:tcPr>
          <w:p>
            <w:pPr/>
          </w:p>
        </w:tc>
        <w:tc>
          <w:tcPr>
            <w:tcW w:w="269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801"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5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721"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1" w:hRule="exact"/>
        </w:trPr>
        <w:tc>
          <w:tcPr>
            <w:tcW w:w="156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41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4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693" w:type="dxa"/>
            <w:gridSpan w:val="2"/>
            <w:vMerge/>
            <w:tcBorders>
              <w:left w:val="single" w:sz="4" w:space="0" w:color="000000"/>
              <w:bottom w:val="single" w:sz="4" w:space="0" w:color="000000"/>
              <w:right w:val="single" w:sz="4" w:space="0" w:color="000000"/>
            </w:tcBorders>
            <w:shd w:val="clear" w:color="auto" w:fill="D2D2D2"/>
          </w:tcPr>
          <w:p>
            <w:pPr/>
          </w:p>
        </w:tc>
        <w:tc>
          <w:tcPr>
            <w:tcW w:w="2535" w:type="dxa"/>
            <w:gridSpan w:val="2"/>
            <w:vMerge/>
            <w:tcBorders>
              <w:left w:val="single" w:sz="4" w:space="0" w:color="000000"/>
              <w:bottom w:val="single" w:sz="4" w:space="0" w:color="000000"/>
              <w:right w:val="single" w:sz="4" w:space="0" w:color="000000"/>
            </w:tcBorders>
            <w:shd w:val="clear" w:color="auto" w:fill="D2D2D2"/>
          </w:tcPr>
          <w:p>
            <w:pPr/>
          </w:p>
        </w:tc>
        <w:tc>
          <w:tcPr>
            <w:tcW w:w="136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202" w:hRule="exact"/>
        </w:trPr>
        <w:tc>
          <w:tcPr>
            <w:tcW w:w="1560" w:type="dxa"/>
            <w:vMerge/>
            <w:tcBorders>
              <w:left w:val="single" w:sz="4" w:space="0" w:color="000000"/>
              <w:bottom w:val="nil" w:sz="6" w:space="0" w:color="auto"/>
              <w:right w:val="single" w:sz="4" w:space="0" w:color="000000"/>
            </w:tcBorders>
            <w:shd w:val="clear" w:color="auto" w:fill="D2D2D2"/>
          </w:tcPr>
          <w:p>
            <w:pPr/>
          </w:p>
        </w:tc>
        <w:tc>
          <w:tcPr>
            <w:tcW w:w="1417" w:type="dxa"/>
            <w:vMerge/>
            <w:tcBorders>
              <w:left w:val="single" w:sz="4" w:space="0" w:color="000000"/>
              <w:bottom w:val="nil" w:sz="6" w:space="0" w:color="auto"/>
              <w:right w:val="single" w:sz="4" w:space="0" w:color="000000"/>
            </w:tcBorders>
            <w:shd w:val="clear" w:color="auto" w:fill="D2D2D2"/>
          </w:tcPr>
          <w:p>
            <w:pPr/>
          </w:p>
        </w:tc>
        <w:tc>
          <w:tcPr>
            <w:tcW w:w="141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27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27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82"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25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7" w:type="dxa"/>
            <w:vMerge/>
            <w:tcBorders>
              <w:left w:val="single" w:sz="4" w:space="0" w:color="000000"/>
              <w:bottom w:val="nil" w:sz="6" w:space="0" w:color="auto"/>
              <w:right w:val="single" w:sz="4" w:space="0" w:color="000000"/>
            </w:tcBorders>
            <w:shd w:val="clear" w:color="auto" w:fill="D2D2D2"/>
          </w:tcPr>
          <w:p>
            <w:pPr/>
          </w:p>
        </w:tc>
      </w:tr>
      <w:tr>
        <w:trPr>
          <w:trHeight w:val="205" w:hRule="exact"/>
        </w:trPr>
        <w:tc>
          <w:tcPr>
            <w:tcW w:w="1560" w:type="dxa"/>
            <w:tcBorders>
              <w:top w:val="nil" w:sz="6" w:space="0" w:color="auto"/>
              <w:left w:val="single" w:sz="4" w:space="0" w:color="000000"/>
              <w:bottom w:val="single" w:sz="4" w:space="0" w:color="000000"/>
              <w:right w:val="single" w:sz="4" w:space="0" w:color="000000"/>
            </w:tcBorders>
            <w:shd w:val="clear" w:color="auto" w:fill="D2D2D2"/>
          </w:tcPr>
          <w:p>
            <w:pPr/>
          </w:p>
        </w:tc>
        <w:tc>
          <w:tcPr>
            <w:tcW w:w="1417" w:type="dxa"/>
            <w:tcBorders>
              <w:top w:val="nil" w:sz="6" w:space="0" w:color="auto"/>
              <w:left w:val="single" w:sz="4" w:space="0" w:color="000000"/>
              <w:bottom w:val="single" w:sz="4" w:space="0" w:color="000000"/>
              <w:right w:val="single" w:sz="4" w:space="0" w:color="000000"/>
            </w:tcBorders>
            <w:shd w:val="clear" w:color="auto" w:fill="D2D2D2"/>
          </w:tcPr>
          <w:p>
            <w:pPr/>
          </w:p>
        </w:tc>
        <w:tc>
          <w:tcPr>
            <w:tcW w:w="1419" w:type="dxa"/>
            <w:vMerge/>
            <w:tcBorders>
              <w:left w:val="single" w:sz="4" w:space="0" w:color="000000"/>
              <w:bottom w:val="single" w:sz="4" w:space="0" w:color="000000"/>
              <w:right w:val="single" w:sz="4" w:space="0" w:color="000000"/>
            </w:tcBorders>
            <w:shd w:val="clear" w:color="auto" w:fill="D2D2D2"/>
          </w:tcPr>
          <w:p>
            <w:pPr/>
          </w:p>
        </w:tc>
        <w:tc>
          <w:tcPr>
            <w:tcW w:w="1274" w:type="dxa"/>
            <w:vMerge/>
            <w:tcBorders>
              <w:left w:val="single" w:sz="4" w:space="0" w:color="000000"/>
              <w:bottom w:val="single" w:sz="4" w:space="0" w:color="000000"/>
              <w:right w:val="single" w:sz="4" w:space="0" w:color="000000"/>
            </w:tcBorders>
            <w:shd w:val="clear" w:color="auto" w:fill="D2D2D2"/>
          </w:tcPr>
          <w:p>
            <w:pPr/>
          </w:p>
        </w:tc>
        <w:tc>
          <w:tcPr>
            <w:tcW w:w="1276" w:type="dxa"/>
            <w:vMerge/>
            <w:tcBorders>
              <w:left w:val="single" w:sz="4" w:space="0" w:color="000000"/>
              <w:bottom w:val="single" w:sz="4" w:space="0" w:color="000000"/>
              <w:right w:val="single" w:sz="4" w:space="0" w:color="000000"/>
            </w:tcBorders>
            <w:shd w:val="clear" w:color="auto" w:fill="D2D2D2"/>
          </w:tcPr>
          <w:p>
            <w:pPr/>
          </w:p>
        </w:tc>
        <w:tc>
          <w:tcPr>
            <w:tcW w:w="1259"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18,207.04</w:t>
            </w:r>
          </w:p>
        </w:tc>
        <w:tc>
          <w:tcPr>
            <w:tcW w:w="1419"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59"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18,207.04</w:t>
            </w: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外购软硬件及服务</w:t>
            </w:r>
          </w:p>
        </w:tc>
        <w:tc>
          <w:tcPr>
            <w:tcW w:w="1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7,151,080.82</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28,301.89</w:t>
            </w: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59"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7,179,382.71</w:t>
            </w: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7,169,287.86</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28,301.89</w:t>
            </w:r>
          </w:p>
        </w:tc>
        <w:tc>
          <w:tcPr>
            <w:tcW w:w="1274"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59"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7,197,589.75</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存货期末余额含有借款费用资本化金额的说明" w:id="249"/>
      <w:bookmarkEnd w:id="249"/>
      <w:r>
        <w:rPr>
          <w:b w:val="0"/>
          <w:bCs w:val="0"/>
        </w:rPr>
      </w:r>
      <w:r>
        <w:rPr/>
        <w:t>（</w:t>
      </w:r>
      <w:r>
        <w:rPr>
          <w:rFonts w:ascii="Times New Roman" w:hAnsi="Times New Roman" w:cs="Times New Roman" w:eastAsia="Times New Roman" w:hint="default"/>
        </w:rPr>
        <w:t>3</w:t>
      </w:r>
      <w:r>
        <w:rPr/>
        <w:t>）存货期末余额含有借款费用资本化金额的说明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514"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4）期末建造合同形成的已完工未结算资产情况" w:id="250"/>
      <w:bookmarkEnd w:id="250"/>
      <w:r>
        <w:rPr>
          <w:b w:val="0"/>
          <w:bCs w:val="0"/>
        </w:rPr>
      </w:r>
      <w:r>
        <w:rPr/>
        <w:t>（</w:t>
      </w:r>
      <w:r>
        <w:rPr>
          <w:rFonts w:ascii="Times New Roman" w:hAnsi="Times New Roman" w:cs="Times New Roman" w:eastAsia="Times New Roman" w:hint="default"/>
        </w:rPr>
        <w:t>4</w:t>
      </w:r>
      <w:r>
        <w:rPr/>
        <w:t>）期末建造合同形成的已完工未结算资产情况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14" w:right="0"/>
        <w:jc w:val="left"/>
      </w:pPr>
      <w:r>
        <w:rPr/>
        <w:t>无。</w:t>
      </w:r>
    </w:p>
    <w:p>
      <w:pPr>
        <w:spacing w:after="0" w:line="240" w:lineRule="auto"/>
        <w:jc w:val="left"/>
        <w:sectPr>
          <w:pgSz w:w="11910" w:h="16840"/>
          <w:pgMar w:header="851" w:footer="979" w:top="1400" w:bottom="1160" w:left="98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8、持有待售资产" w:id="251"/>
      <w:bookmarkEnd w:id="251"/>
      <w:r>
        <w:rPr>
          <w:b w:val="0"/>
          <w:bCs w:val="0"/>
        </w:rPr>
      </w:r>
      <w:r>
        <w:rPr>
          <w:rFonts w:ascii="Times New Roman" w:hAnsi="Times New Roman" w:cs="Times New Roman" w:eastAsia="Times New Roman" w:hint="default"/>
        </w:rPr>
        <w:t>8</w:t>
      </w:r>
      <w:r>
        <w:rPr/>
        <w:t>、持有待售资产</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514"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9、一年内到期的非流动资产" w:id="252"/>
      <w:bookmarkEnd w:id="252"/>
      <w:r>
        <w:rPr>
          <w:b w:val="0"/>
          <w:bCs w:val="0"/>
        </w:rPr>
      </w:r>
      <w:r>
        <w:rPr>
          <w:rFonts w:ascii="Times New Roman" w:hAnsi="Times New Roman" w:cs="Times New Roman" w:eastAsia="Times New Roman" w:hint="default"/>
        </w:rPr>
        <w:t>9</w:t>
      </w:r>
      <w:r>
        <w:rPr/>
        <w:t>、一年内到期的非流动资产</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514"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10、其他流动资产" w:id="253"/>
      <w:bookmarkEnd w:id="253"/>
      <w:r>
        <w:rPr>
          <w:b w:val="0"/>
          <w:bCs w:val="0"/>
        </w:rPr>
      </w:r>
      <w:r>
        <w:rPr>
          <w:rFonts w:ascii="Times New Roman" w:hAnsi="Times New Roman" w:cs="Times New Roman" w:eastAsia="Times New Roman" w:hint="default"/>
        </w:rPr>
        <w:t>10</w:t>
      </w:r>
      <w:r>
        <w:rPr/>
        <w:t>、其他流动资产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3"/>
        <w:gridCol w:w="3191"/>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待抵扣进项税</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1,100,788.70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3,013,464.47</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预缴的其他税金</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104,189.70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222,511.48</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148,604,240.00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202,000,000.00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149,809,218.40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205,235,975.95</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11、可供出售金融资产" w:id="254"/>
      <w:bookmarkEnd w:id="254"/>
      <w:r>
        <w:rPr>
          <w:b w:val="0"/>
          <w:bCs w:val="0"/>
        </w:rPr>
      </w:r>
      <w:r>
        <w:rPr>
          <w:rFonts w:ascii="Times New Roman" w:hAnsi="Times New Roman" w:cs="Times New Roman" w:eastAsia="Times New Roman" w:hint="default"/>
        </w:rPr>
        <w:t>11</w:t>
      </w:r>
      <w:r>
        <w:rPr/>
        <w:t>、可供出售金融资产</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可供出售金融资产情况" w:id="255"/>
      <w:bookmarkEnd w:id="255"/>
      <w:r>
        <w:rPr>
          <w:b w:val="0"/>
          <w:bCs w:val="0"/>
        </w:rPr>
      </w:r>
      <w:r>
        <w:rPr/>
        <w:t>（</w:t>
      </w:r>
      <w:r>
        <w:rPr>
          <w:rFonts w:ascii="Times New Roman" w:hAnsi="Times New Roman" w:cs="Times New Roman" w:eastAsia="Times New Roman" w:hint="default"/>
        </w:rPr>
        <w:t>1</w:t>
      </w:r>
      <w:r>
        <w:rPr/>
        <w:t>）可供出售金融资产情况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001"/>
        <w:gridCol w:w="1195"/>
        <w:gridCol w:w="1196"/>
        <w:gridCol w:w="1196"/>
        <w:gridCol w:w="1248"/>
        <w:gridCol w:w="1367"/>
        <w:gridCol w:w="1367"/>
      </w:tblGrid>
      <w:tr>
        <w:trPr>
          <w:trHeight w:val="205" w:hRule="exact"/>
        </w:trPr>
        <w:tc>
          <w:tcPr>
            <w:tcW w:w="2001" w:type="dxa"/>
            <w:tcBorders>
              <w:top w:val="single" w:sz="4" w:space="0" w:color="000000"/>
              <w:left w:val="single" w:sz="4" w:space="0" w:color="000000"/>
              <w:bottom w:val="nil" w:sz="6" w:space="0" w:color="auto"/>
              <w:right w:val="single" w:sz="4" w:space="0" w:color="000000"/>
            </w:tcBorders>
            <w:shd w:val="clear" w:color="auto" w:fill="D2D2D2"/>
          </w:tcPr>
          <w:p>
            <w:pPr/>
          </w:p>
        </w:tc>
        <w:tc>
          <w:tcPr>
            <w:tcW w:w="358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98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200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87" w:type="dxa"/>
            <w:gridSpan w:val="3"/>
            <w:vMerge/>
            <w:tcBorders>
              <w:left w:val="single" w:sz="4" w:space="0" w:color="000000"/>
              <w:bottom w:val="single" w:sz="4" w:space="0" w:color="000000"/>
              <w:right w:val="single" w:sz="4" w:space="0" w:color="000000"/>
            </w:tcBorders>
            <w:shd w:val="clear" w:color="auto" w:fill="D2D2D2"/>
          </w:tcPr>
          <w:p>
            <w:pPr/>
          </w:p>
        </w:tc>
        <w:tc>
          <w:tcPr>
            <w:tcW w:w="3982" w:type="dxa"/>
            <w:gridSpan w:val="3"/>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2001" w:type="dxa"/>
            <w:vMerge/>
            <w:tcBorders>
              <w:left w:val="single" w:sz="4" w:space="0" w:color="000000"/>
              <w:bottom w:val="nil" w:sz="6" w:space="0" w:color="auto"/>
              <w:right w:val="single" w:sz="4" w:space="0" w:color="000000"/>
            </w:tcBorders>
            <w:shd w:val="clear" w:color="auto" w:fill="D2D2D2"/>
          </w:tcPr>
          <w:p>
            <w:pP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24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5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8"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20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24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1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369,549,399.02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1,540,000.00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368,009,399.02</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6" w:right="0"/>
              <w:jc w:val="center"/>
              <w:rPr>
                <w:rFonts w:ascii="Times New Roman" w:hAnsi="Times New Roman" w:cs="Times New Roman" w:eastAsia="Times New Roman" w:hint="default"/>
                <w:sz w:val="18"/>
                <w:szCs w:val="18"/>
              </w:rPr>
            </w:pPr>
            <w:r>
              <w:rPr>
                <w:rFonts w:ascii="Times New Roman"/>
                <w:sz w:val="18"/>
              </w:rPr>
              <w:t>364,397,368.12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400,000.00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363,997,368.12</w:t>
            </w:r>
          </w:p>
        </w:tc>
      </w:tr>
      <w:tr>
        <w:trPr>
          <w:trHeight w:val="402" w:hRule="exact"/>
        </w:trPr>
        <w:tc>
          <w:tcPr>
            <w:tcW w:w="2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按成本计量的</w:t>
            </w:r>
          </w:p>
        </w:tc>
        <w:tc>
          <w:tcPr>
            <w:tcW w:w="11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369,549,399.02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1,540,000.00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368,009,399.02</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6" w:right="0"/>
              <w:jc w:val="center"/>
              <w:rPr>
                <w:rFonts w:ascii="Times New Roman" w:hAnsi="Times New Roman" w:cs="Times New Roman" w:eastAsia="Times New Roman" w:hint="default"/>
                <w:sz w:val="18"/>
                <w:szCs w:val="18"/>
              </w:rPr>
            </w:pPr>
            <w:r>
              <w:rPr>
                <w:rFonts w:ascii="Times New Roman"/>
                <w:sz w:val="18"/>
              </w:rPr>
              <w:t>364,397,368.12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400,000.00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363,997,368.12</w:t>
            </w:r>
          </w:p>
        </w:tc>
      </w:tr>
      <w:tr>
        <w:trPr>
          <w:trHeight w:val="402" w:hRule="exact"/>
        </w:trPr>
        <w:tc>
          <w:tcPr>
            <w:tcW w:w="2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369,549,399.02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1,540,000.00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368,009,399.02</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6" w:right="0"/>
              <w:jc w:val="center"/>
              <w:rPr>
                <w:rFonts w:ascii="Times New Roman" w:hAnsi="Times New Roman" w:cs="Times New Roman" w:eastAsia="Times New Roman" w:hint="default"/>
                <w:sz w:val="18"/>
                <w:szCs w:val="18"/>
              </w:rPr>
            </w:pPr>
            <w:r>
              <w:rPr>
                <w:rFonts w:ascii="Times New Roman"/>
                <w:sz w:val="18"/>
              </w:rPr>
              <w:t>364,397,368.12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400,000.00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363,997,368.12</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期末按公允价值计量的可供出售金融资产" w:id="256"/>
      <w:bookmarkEnd w:id="256"/>
      <w:r>
        <w:rPr>
          <w:b w:val="0"/>
          <w:bCs w:val="0"/>
        </w:rPr>
      </w:r>
      <w:r>
        <w:rPr/>
        <w:t>（</w:t>
      </w:r>
      <w:r>
        <w:rPr>
          <w:rFonts w:ascii="Times New Roman" w:hAnsi="Times New Roman" w:cs="Times New Roman" w:eastAsia="Times New Roman" w:hint="default"/>
        </w:rPr>
        <w:t>2</w:t>
      </w:r>
      <w:r>
        <w:rPr/>
        <w:t>）期末按公允价值计量的可供出售金融资产</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514"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3）期末按成本计量的可供出售金融资产" w:id="257"/>
      <w:bookmarkEnd w:id="257"/>
      <w:r>
        <w:rPr>
          <w:b w:val="0"/>
          <w:bCs w:val="0"/>
        </w:rPr>
      </w:r>
      <w:r>
        <w:rPr/>
        <w:t>（</w:t>
      </w:r>
      <w:r>
        <w:rPr>
          <w:rFonts w:ascii="Times New Roman" w:hAnsi="Times New Roman" w:cs="Times New Roman" w:eastAsia="Times New Roman" w:hint="default"/>
        </w:rPr>
        <w:t>3</w:t>
      </w:r>
      <w:r>
        <w:rPr/>
        <w:t>）期末按成本计量的可供出售金融资产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60"/>
        <w:gridCol w:w="1134"/>
        <w:gridCol w:w="568"/>
        <w:gridCol w:w="567"/>
        <w:gridCol w:w="992"/>
        <w:gridCol w:w="991"/>
        <w:gridCol w:w="568"/>
        <w:gridCol w:w="574"/>
        <w:gridCol w:w="870"/>
        <w:gridCol w:w="683"/>
        <w:gridCol w:w="1057"/>
      </w:tblGrid>
      <w:tr>
        <w:trPr>
          <w:trHeight w:val="402" w:hRule="exact"/>
        </w:trPr>
        <w:tc>
          <w:tcPr>
            <w:tcW w:w="156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324"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3261"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3003"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683"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2"/>
              <w:ind w:left="66" w:right="65"/>
              <w:jc w:val="center"/>
              <w:rPr>
                <w:rFonts w:ascii="宋体" w:hAnsi="宋体" w:cs="宋体" w:eastAsia="宋体" w:hint="default"/>
                <w:sz w:val="18"/>
                <w:szCs w:val="18"/>
              </w:rPr>
            </w:pPr>
            <w:r>
              <w:rPr>
                <w:rFonts w:ascii="宋体" w:hAnsi="宋体" w:cs="宋体" w:eastAsia="宋体" w:hint="default"/>
                <w:sz w:val="18"/>
                <w:szCs w:val="18"/>
              </w:rPr>
              <w:t>在被投 资单位 持股比 例</w:t>
            </w:r>
          </w:p>
        </w:tc>
        <w:tc>
          <w:tcPr>
            <w:tcW w:w="105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433" w:right="72" w:hanging="360"/>
              <w:jc w:val="left"/>
              <w:rPr>
                <w:rFonts w:ascii="宋体" w:hAnsi="宋体" w:cs="宋体" w:eastAsia="宋体" w:hint="default"/>
                <w:sz w:val="18"/>
                <w:szCs w:val="18"/>
              </w:rPr>
            </w:pPr>
            <w:r>
              <w:rPr>
                <w:rFonts w:ascii="宋体" w:hAnsi="宋体" w:cs="宋体" w:eastAsia="宋体" w:hint="default"/>
                <w:sz w:val="18"/>
                <w:szCs w:val="18"/>
              </w:rPr>
              <w:t>本期现金红 利</w:t>
            </w:r>
          </w:p>
        </w:tc>
      </w:tr>
      <w:tr>
        <w:trPr>
          <w:trHeight w:val="936" w:hRule="exact"/>
        </w:trPr>
        <w:tc>
          <w:tcPr>
            <w:tcW w:w="1560" w:type="dxa"/>
            <w:vMerge/>
            <w:tcBorders>
              <w:left w:val="single" w:sz="4" w:space="0" w:color="000000"/>
              <w:bottom w:val="single" w:sz="4" w:space="0" w:color="000000"/>
              <w:right w:val="single" w:sz="4" w:space="0" w:color="000000"/>
            </w:tcBorders>
            <w:shd w:val="clear" w:color="auto" w:fill="D2D2D2"/>
          </w:tcPr>
          <w:p>
            <w:pP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期初</w:t>
            </w:r>
          </w:p>
        </w:tc>
        <w:tc>
          <w:tcPr>
            <w:tcW w:w="5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319" w:lineRule="auto"/>
              <w:ind w:left="98" w:right="97"/>
              <w:jc w:val="left"/>
              <w:rPr>
                <w:rFonts w:ascii="宋体" w:hAnsi="宋体" w:cs="宋体" w:eastAsia="宋体" w:hint="default"/>
                <w:sz w:val="18"/>
                <w:szCs w:val="18"/>
              </w:rPr>
            </w:pPr>
            <w:r>
              <w:rPr>
                <w:rFonts w:ascii="宋体" w:hAnsi="宋体" w:cs="宋体" w:eastAsia="宋体" w:hint="default"/>
                <w:sz w:val="18"/>
                <w:szCs w:val="18"/>
              </w:rPr>
              <w:t>本期 增加</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319" w:lineRule="auto"/>
              <w:ind w:left="98" w:right="96"/>
              <w:jc w:val="left"/>
              <w:rPr>
                <w:rFonts w:ascii="宋体" w:hAnsi="宋体" w:cs="宋体" w:eastAsia="宋体" w:hint="default"/>
                <w:sz w:val="18"/>
                <w:szCs w:val="18"/>
              </w:rPr>
            </w:pPr>
            <w:r>
              <w:rPr>
                <w:rFonts w:ascii="宋体" w:hAnsi="宋体" w:cs="宋体" w:eastAsia="宋体" w:hint="default"/>
                <w:sz w:val="18"/>
                <w:szCs w:val="18"/>
              </w:rPr>
              <w:t>本期 减少</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310"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310"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5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319" w:lineRule="auto"/>
              <w:ind w:left="99" w:right="96"/>
              <w:jc w:val="left"/>
              <w:rPr>
                <w:rFonts w:ascii="宋体" w:hAnsi="宋体" w:cs="宋体" w:eastAsia="宋体" w:hint="default"/>
                <w:sz w:val="18"/>
                <w:szCs w:val="18"/>
              </w:rPr>
            </w:pPr>
            <w:r>
              <w:rPr>
                <w:rFonts w:ascii="宋体" w:hAnsi="宋体" w:cs="宋体" w:eastAsia="宋体" w:hint="default"/>
                <w:sz w:val="18"/>
                <w:szCs w:val="18"/>
              </w:rPr>
              <w:t>本期 增加</w:t>
            </w:r>
          </w:p>
        </w:tc>
        <w:tc>
          <w:tcPr>
            <w:tcW w:w="5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319" w:lineRule="auto"/>
              <w:ind w:left="101" w:right="101"/>
              <w:jc w:val="left"/>
              <w:rPr>
                <w:rFonts w:ascii="宋体" w:hAnsi="宋体" w:cs="宋体" w:eastAsia="宋体" w:hint="default"/>
                <w:sz w:val="18"/>
                <w:szCs w:val="18"/>
              </w:rPr>
            </w:pPr>
            <w:r>
              <w:rPr>
                <w:rFonts w:ascii="宋体" w:hAnsi="宋体" w:cs="宋体" w:eastAsia="宋体" w:hint="default"/>
                <w:sz w:val="18"/>
                <w:szCs w:val="18"/>
              </w:rPr>
              <w:t>本期 减少</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683" w:type="dxa"/>
            <w:vMerge/>
            <w:tcBorders>
              <w:left w:val="single" w:sz="4" w:space="0" w:color="000000"/>
              <w:bottom w:val="single" w:sz="4" w:space="0" w:color="000000"/>
              <w:right w:val="single" w:sz="4" w:space="0" w:color="000000"/>
            </w:tcBorders>
            <w:shd w:val="clear" w:color="auto" w:fill="D2D2D2"/>
          </w:tcPr>
          <w:p>
            <w:pPr/>
          </w:p>
        </w:tc>
        <w:tc>
          <w:tcPr>
            <w:tcW w:w="1057" w:type="dxa"/>
            <w:vMerge/>
            <w:tcBorders>
              <w:left w:val="single" w:sz="4" w:space="0" w:color="000000"/>
              <w:bottom w:val="single" w:sz="4" w:space="0" w:color="000000"/>
              <w:right w:val="single" w:sz="4" w:space="0" w:color="000000"/>
            </w:tcBorders>
            <w:shd w:val="clear" w:color="auto" w:fill="D2D2D2"/>
          </w:tcPr>
          <w:p>
            <w:pPr/>
          </w:p>
        </w:tc>
      </w:tr>
      <w:tr>
        <w:trPr>
          <w:trHeight w:val="715"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22" w:right="87"/>
              <w:jc w:val="left"/>
              <w:rPr>
                <w:rFonts w:ascii="宋体" w:hAnsi="宋体" w:cs="宋体" w:eastAsia="宋体" w:hint="default"/>
                <w:sz w:val="18"/>
                <w:szCs w:val="18"/>
              </w:rPr>
            </w:pPr>
            <w:r>
              <w:rPr>
                <w:rFonts w:ascii="宋体" w:hAnsi="宋体" w:cs="宋体" w:eastAsia="宋体" w:hint="default"/>
                <w:sz w:val="18"/>
                <w:szCs w:val="18"/>
              </w:rPr>
              <w:t>北京润佳华商创新 投资管理中心（有</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2" w:right="0"/>
              <w:jc w:val="center"/>
              <w:rPr>
                <w:rFonts w:ascii="Times New Roman" w:hAnsi="Times New Roman" w:cs="Times New Roman" w:eastAsia="Times New Roman" w:hint="default"/>
                <w:sz w:val="18"/>
                <w:szCs w:val="18"/>
              </w:rPr>
            </w:pPr>
            <w:r>
              <w:rPr>
                <w:rFonts w:ascii="Times New Roman"/>
                <w:sz w:val="18"/>
              </w:rPr>
              <w:t>65,000,000.00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65,000,000.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991"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4" w:right="0"/>
              <w:jc w:val="left"/>
              <w:rPr>
                <w:rFonts w:ascii="Times New Roman" w:hAnsi="Times New Roman" w:cs="Times New Roman" w:eastAsia="Times New Roman" w:hint="default"/>
                <w:sz w:val="18"/>
                <w:szCs w:val="18"/>
              </w:rPr>
            </w:pPr>
            <w:r>
              <w:rPr>
                <w:rFonts w:ascii="Times New Roman"/>
                <w:sz w:val="18"/>
              </w:rPr>
              <w:t>59.91%</w:t>
            </w:r>
          </w:p>
        </w:tc>
        <w:tc>
          <w:tcPr>
            <w:tcW w:w="105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400" w:bottom="1160" w:left="980" w:right="0"/>
        </w:sectPr>
      </w:pPr>
    </w:p>
    <w:tbl>
      <w:tblPr>
        <w:tblW w:w="0" w:type="auto"/>
        <w:jc w:val="left"/>
        <w:tblInd w:w="109" w:type="dxa"/>
        <w:tblLayout w:type="fixed"/>
        <w:tblCellMar>
          <w:top w:w="0" w:type="dxa"/>
          <w:left w:w="0" w:type="dxa"/>
          <w:bottom w:w="0" w:type="dxa"/>
          <w:right w:w="0" w:type="dxa"/>
        </w:tblCellMar>
        <w:tblLook w:val="01E0"/>
      </w:tblPr>
      <w:tblGrid>
        <w:gridCol w:w="1560"/>
        <w:gridCol w:w="1134"/>
        <w:gridCol w:w="568"/>
        <w:gridCol w:w="567"/>
        <w:gridCol w:w="992"/>
        <w:gridCol w:w="991"/>
        <w:gridCol w:w="568"/>
        <w:gridCol w:w="574"/>
        <w:gridCol w:w="870"/>
        <w:gridCol w:w="683"/>
        <w:gridCol w:w="1057"/>
      </w:tblGrid>
      <w:tr>
        <w:trPr>
          <w:trHeight w:val="374" w:hRule="exact"/>
        </w:trPr>
        <w:tc>
          <w:tcPr>
            <w:tcW w:w="156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sz w:val="18"/>
                <w:szCs w:val="18"/>
              </w:rPr>
              <w:t>限合伙</w:t>
            </w:r>
            <w:r>
              <w:rPr>
                <w:rFonts w:ascii="宋体" w:hAnsi="宋体" w:cs="宋体" w:eastAsia="宋体" w:hint="default"/>
                <w:spacing w:val="-90"/>
                <w:sz w:val="18"/>
                <w:szCs w:val="18"/>
              </w:rPr>
              <w:t>）</w:t>
            </w: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1134" w:type="dxa"/>
            <w:tcBorders>
              <w:top w:val="single" w:sz="10" w:space="0" w:color="000000"/>
              <w:left w:val="single" w:sz="4" w:space="0" w:color="000000"/>
              <w:bottom w:val="single" w:sz="4" w:space="0" w:color="000000"/>
              <w:right w:val="single" w:sz="4" w:space="0" w:color="000000"/>
            </w:tcBorders>
          </w:tcPr>
          <w:p>
            <w:pPr/>
          </w:p>
        </w:tc>
        <w:tc>
          <w:tcPr>
            <w:tcW w:w="568" w:type="dxa"/>
            <w:tcBorders>
              <w:top w:val="single" w:sz="10" w:space="0" w:color="000000"/>
              <w:left w:val="single" w:sz="4" w:space="0" w:color="000000"/>
              <w:bottom w:val="single" w:sz="4" w:space="0" w:color="000000"/>
              <w:right w:val="single" w:sz="4" w:space="0" w:color="000000"/>
            </w:tcBorders>
          </w:tcPr>
          <w:p>
            <w:pPr/>
          </w:p>
        </w:tc>
        <w:tc>
          <w:tcPr>
            <w:tcW w:w="567" w:type="dxa"/>
            <w:tcBorders>
              <w:top w:val="single" w:sz="10" w:space="0" w:color="000000"/>
              <w:left w:val="single" w:sz="4" w:space="0" w:color="000000"/>
              <w:bottom w:val="single" w:sz="4" w:space="0" w:color="000000"/>
              <w:right w:val="single" w:sz="4" w:space="0" w:color="000000"/>
            </w:tcBorders>
          </w:tcPr>
          <w:p>
            <w:pPr/>
          </w:p>
        </w:tc>
        <w:tc>
          <w:tcPr>
            <w:tcW w:w="992" w:type="dxa"/>
            <w:tcBorders>
              <w:top w:val="single" w:sz="10" w:space="0" w:color="000000"/>
              <w:left w:val="single" w:sz="4" w:space="0" w:color="000000"/>
              <w:bottom w:val="single" w:sz="4" w:space="0" w:color="000000"/>
              <w:right w:val="single" w:sz="4" w:space="0" w:color="000000"/>
            </w:tcBorders>
          </w:tcPr>
          <w:p>
            <w:pPr/>
          </w:p>
        </w:tc>
        <w:tc>
          <w:tcPr>
            <w:tcW w:w="991" w:type="dxa"/>
            <w:tcBorders>
              <w:top w:val="single" w:sz="10" w:space="0" w:color="000000"/>
              <w:left w:val="single" w:sz="4" w:space="0" w:color="000000"/>
              <w:bottom w:val="single" w:sz="4" w:space="0" w:color="000000"/>
              <w:right w:val="single" w:sz="4" w:space="0" w:color="000000"/>
            </w:tcBorders>
          </w:tcPr>
          <w:p>
            <w:pPr/>
          </w:p>
        </w:tc>
        <w:tc>
          <w:tcPr>
            <w:tcW w:w="568" w:type="dxa"/>
            <w:tcBorders>
              <w:top w:val="single" w:sz="10" w:space="0" w:color="000000"/>
              <w:left w:val="single" w:sz="4" w:space="0" w:color="000000"/>
              <w:bottom w:val="single" w:sz="4" w:space="0" w:color="000000"/>
              <w:right w:val="single" w:sz="4" w:space="0" w:color="000000"/>
            </w:tcBorders>
          </w:tcPr>
          <w:p>
            <w:pPr/>
          </w:p>
        </w:tc>
        <w:tc>
          <w:tcPr>
            <w:tcW w:w="574" w:type="dxa"/>
            <w:tcBorders>
              <w:top w:val="single" w:sz="10" w:space="0" w:color="000000"/>
              <w:left w:val="single" w:sz="4" w:space="0" w:color="000000"/>
              <w:bottom w:val="single" w:sz="4" w:space="0" w:color="000000"/>
              <w:right w:val="single" w:sz="4" w:space="0" w:color="000000"/>
            </w:tcBorders>
          </w:tcPr>
          <w:p>
            <w:pPr/>
          </w:p>
        </w:tc>
        <w:tc>
          <w:tcPr>
            <w:tcW w:w="870" w:type="dxa"/>
            <w:tcBorders>
              <w:top w:val="single" w:sz="10" w:space="0" w:color="000000"/>
              <w:left w:val="single" w:sz="4" w:space="0" w:color="000000"/>
              <w:bottom w:val="single" w:sz="4" w:space="0" w:color="000000"/>
              <w:right w:val="single" w:sz="4" w:space="0" w:color="000000"/>
            </w:tcBorders>
          </w:tcPr>
          <w:p>
            <w:pPr/>
          </w:p>
        </w:tc>
        <w:tc>
          <w:tcPr>
            <w:tcW w:w="683" w:type="dxa"/>
            <w:tcBorders>
              <w:top w:val="single" w:sz="10" w:space="0" w:color="000000"/>
              <w:left w:val="single" w:sz="4" w:space="0" w:color="000000"/>
              <w:bottom w:val="single" w:sz="4" w:space="0" w:color="000000"/>
              <w:right w:val="single" w:sz="4" w:space="0" w:color="000000"/>
            </w:tcBorders>
          </w:tcPr>
          <w:p>
            <w:pPr/>
          </w:p>
        </w:tc>
        <w:tc>
          <w:tcPr>
            <w:tcW w:w="1057" w:type="dxa"/>
            <w:tcBorders>
              <w:top w:val="single" w:sz="10" w:space="0" w:color="000000"/>
              <w:left w:val="single" w:sz="4" w:space="0" w:color="000000"/>
              <w:bottom w:val="single" w:sz="4" w:space="0" w:color="000000"/>
              <w:right w:val="single" w:sz="4" w:space="0" w:color="000000"/>
            </w:tcBorders>
          </w:tcPr>
          <w:p>
            <w:pP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6"/>
              <w:ind w:left="22" w:right="87"/>
              <w:jc w:val="left"/>
              <w:rPr>
                <w:rFonts w:ascii="宋体" w:hAnsi="宋体" w:cs="宋体" w:eastAsia="宋体" w:hint="default"/>
                <w:sz w:val="18"/>
                <w:szCs w:val="18"/>
              </w:rPr>
            </w:pPr>
            <w:r>
              <w:rPr>
                <w:rFonts w:ascii="宋体" w:hAnsi="宋体" w:cs="宋体" w:eastAsia="宋体" w:hint="default"/>
                <w:sz w:val="18"/>
                <w:szCs w:val="18"/>
              </w:rPr>
              <w:t>广东中科白云投资 管理有限公司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1"/>
              <w:jc w:val="right"/>
              <w:rPr>
                <w:rFonts w:ascii="Times New Roman" w:hAnsi="Times New Roman" w:cs="Times New Roman" w:eastAsia="Times New Roman" w:hint="default"/>
                <w:sz w:val="18"/>
                <w:szCs w:val="18"/>
              </w:rPr>
            </w:pPr>
            <w:r>
              <w:rPr>
                <w:rFonts w:ascii="Times New Roman"/>
                <w:spacing w:val="-1"/>
                <w:sz w:val="18"/>
              </w:rPr>
              <w:t>200,000,000.0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1"/>
              <w:jc w:val="right"/>
              <w:rPr>
                <w:rFonts w:ascii="Times New Roman" w:hAnsi="Times New Roman" w:cs="Times New Roman" w:eastAsia="Times New Roman" w:hint="default"/>
                <w:sz w:val="18"/>
                <w:szCs w:val="18"/>
              </w:rPr>
            </w:pPr>
            <w:r>
              <w:rPr>
                <w:rFonts w:ascii="Times New Roman"/>
                <w:sz w:val="18"/>
              </w:rPr>
              <w:t>200,000,000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991"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76" w:right="0"/>
              <w:jc w:val="center"/>
              <w:rPr>
                <w:rFonts w:ascii="Times New Roman" w:hAnsi="Times New Roman" w:cs="Times New Roman" w:eastAsia="Times New Roman" w:hint="default"/>
                <w:sz w:val="18"/>
                <w:szCs w:val="18"/>
              </w:rPr>
            </w:pPr>
            <w:r>
              <w:rPr>
                <w:rFonts w:ascii="Times New Roman"/>
                <w:sz w:val="18"/>
              </w:rPr>
              <w:t>11.02%</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80" w:right="0"/>
              <w:jc w:val="left"/>
              <w:rPr>
                <w:rFonts w:ascii="Times New Roman" w:hAnsi="Times New Roman" w:cs="Times New Roman" w:eastAsia="Times New Roman" w:hint="default"/>
                <w:sz w:val="18"/>
                <w:szCs w:val="18"/>
              </w:rPr>
            </w:pPr>
            <w:r>
              <w:rPr>
                <w:rFonts w:ascii="Times New Roman"/>
                <w:sz w:val="18"/>
              </w:rPr>
              <w:t>4,378,586.10</w:t>
            </w: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7"/>
              <w:ind w:left="22" w:right="87"/>
              <w:jc w:val="left"/>
              <w:rPr>
                <w:rFonts w:ascii="宋体" w:hAnsi="宋体" w:cs="宋体" w:eastAsia="宋体" w:hint="default"/>
                <w:sz w:val="18"/>
                <w:szCs w:val="18"/>
              </w:rPr>
            </w:pPr>
            <w:r>
              <w:rPr>
                <w:rFonts w:ascii="宋体" w:hAnsi="宋体" w:cs="宋体" w:eastAsia="宋体" w:hint="default"/>
                <w:sz w:val="18"/>
                <w:szCs w:val="18"/>
              </w:rPr>
              <w:t>北京安德伦技术开 发有限公司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250,000.00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250,000.00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250,000.00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250,000.00</w:t>
            </w:r>
          </w:p>
        </w:tc>
        <w:tc>
          <w:tcPr>
            <w:tcW w:w="683" w:type="dxa"/>
            <w:tcBorders>
              <w:top w:val="single" w:sz="4" w:space="0" w:color="000000"/>
              <w:left w:val="single" w:sz="4" w:space="0" w:color="000000"/>
              <w:bottom w:val="single" w:sz="4" w:space="0" w:color="000000"/>
              <w:right w:val="single" w:sz="4" w:space="0" w:color="000000"/>
            </w:tcBorders>
          </w:tcPr>
          <w:p>
            <w:pPr/>
          </w:p>
        </w:tc>
        <w:tc>
          <w:tcPr>
            <w:tcW w:w="105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6"/>
              <w:ind w:left="22" w:right="87"/>
              <w:jc w:val="left"/>
              <w:rPr>
                <w:rFonts w:ascii="宋体" w:hAnsi="宋体" w:cs="宋体" w:eastAsia="宋体" w:hint="default"/>
                <w:sz w:val="18"/>
                <w:szCs w:val="18"/>
              </w:rPr>
            </w:pPr>
            <w:r>
              <w:rPr>
                <w:rFonts w:ascii="宋体" w:hAnsi="宋体" w:cs="宋体" w:eastAsia="宋体" w:hint="default"/>
                <w:sz w:val="18"/>
                <w:szCs w:val="18"/>
              </w:rPr>
              <w:t>宁波互通网络技术 服务有限公司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150,000.00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150,000.00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150,000.00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150,000.00</w:t>
            </w:r>
          </w:p>
        </w:tc>
        <w:tc>
          <w:tcPr>
            <w:tcW w:w="683" w:type="dxa"/>
            <w:tcBorders>
              <w:top w:val="single" w:sz="4" w:space="0" w:color="000000"/>
              <w:left w:val="single" w:sz="4" w:space="0" w:color="000000"/>
              <w:bottom w:val="single" w:sz="4" w:space="0" w:color="000000"/>
              <w:right w:val="single" w:sz="4" w:space="0" w:color="000000"/>
            </w:tcBorders>
          </w:tcPr>
          <w:p>
            <w:pPr/>
          </w:p>
        </w:tc>
        <w:tc>
          <w:tcPr>
            <w:tcW w:w="105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爱财科技有限公司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40,000,000.00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1"/>
              <w:jc w:val="right"/>
              <w:rPr>
                <w:rFonts w:ascii="Times New Roman" w:hAnsi="Times New Roman" w:cs="Times New Roman" w:eastAsia="Times New Roman" w:hint="default"/>
                <w:sz w:val="18"/>
                <w:szCs w:val="18"/>
              </w:rPr>
            </w:pPr>
            <w:r>
              <w:rPr>
                <w:rFonts w:ascii="Times New Roman"/>
                <w:spacing w:val="-1"/>
                <w:sz w:val="18"/>
              </w:rPr>
              <w:t>40,000,000.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00</w:t>
            </w:r>
          </w:p>
        </w:tc>
        <w:tc>
          <w:tcPr>
            <w:tcW w:w="991"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76" w:right="0"/>
              <w:jc w:val="center"/>
              <w:rPr>
                <w:rFonts w:ascii="Times New Roman" w:hAnsi="Times New Roman" w:cs="Times New Roman" w:eastAsia="Times New Roman" w:hint="default"/>
                <w:sz w:val="18"/>
                <w:szCs w:val="18"/>
              </w:rPr>
            </w:pPr>
            <w:r>
              <w:rPr>
                <w:rFonts w:ascii="Times New Roman"/>
                <w:sz w:val="18"/>
              </w:rPr>
              <w:t>11.84%</w:t>
            </w:r>
          </w:p>
        </w:tc>
        <w:tc>
          <w:tcPr>
            <w:tcW w:w="105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6"/>
              <w:ind w:left="22" w:right="87"/>
              <w:jc w:val="left"/>
              <w:rPr>
                <w:rFonts w:ascii="宋体" w:hAnsi="宋体" w:cs="宋体" w:eastAsia="宋体" w:hint="default"/>
                <w:sz w:val="18"/>
                <w:szCs w:val="18"/>
              </w:rPr>
            </w:pPr>
            <w:r>
              <w:rPr>
                <w:rFonts w:ascii="宋体" w:hAnsi="宋体" w:cs="宋体" w:eastAsia="宋体" w:hint="default"/>
                <w:sz w:val="18"/>
                <w:szCs w:val="18"/>
              </w:rPr>
              <w:t>北京创金兴业投资 中心（有限合伙）</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1"/>
              <w:jc w:val="right"/>
              <w:rPr>
                <w:rFonts w:ascii="Times New Roman" w:hAnsi="Times New Roman" w:cs="Times New Roman" w:eastAsia="Times New Roman" w:hint="default"/>
                <w:sz w:val="18"/>
                <w:szCs w:val="18"/>
              </w:rPr>
            </w:pPr>
            <w:r>
              <w:rPr>
                <w:rFonts w:ascii="Times New Roman"/>
                <w:spacing w:val="-1"/>
                <w:sz w:val="18"/>
              </w:rPr>
              <w:t>10,000,000.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00</w:t>
            </w:r>
          </w:p>
        </w:tc>
        <w:tc>
          <w:tcPr>
            <w:tcW w:w="991"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61" w:right="0"/>
              <w:jc w:val="center"/>
              <w:rPr>
                <w:rFonts w:ascii="Times New Roman" w:hAnsi="Times New Roman" w:cs="Times New Roman" w:eastAsia="Times New Roman" w:hint="default"/>
                <w:sz w:val="18"/>
                <w:szCs w:val="18"/>
              </w:rPr>
            </w:pPr>
            <w:r>
              <w:rPr>
                <w:rFonts w:ascii="Times New Roman"/>
                <w:sz w:val="18"/>
              </w:rPr>
              <w:t>1.92%</w:t>
            </w:r>
          </w:p>
        </w:tc>
        <w:tc>
          <w:tcPr>
            <w:tcW w:w="105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6"/>
              <w:ind w:left="22" w:right="87"/>
              <w:jc w:val="left"/>
              <w:rPr>
                <w:rFonts w:ascii="宋体" w:hAnsi="宋体" w:cs="宋体" w:eastAsia="宋体" w:hint="default"/>
                <w:sz w:val="18"/>
                <w:szCs w:val="18"/>
              </w:rPr>
            </w:pPr>
            <w:r>
              <w:rPr>
                <w:rFonts w:ascii="宋体" w:hAnsi="宋体" w:cs="宋体" w:eastAsia="宋体" w:hint="default"/>
                <w:sz w:val="18"/>
                <w:szCs w:val="18"/>
              </w:rPr>
              <w:t>北京云中融信网络 科技有限公司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6,900,000.00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1"/>
              <w:jc w:val="right"/>
              <w:rPr>
                <w:rFonts w:ascii="Times New Roman" w:hAnsi="Times New Roman" w:cs="Times New Roman" w:eastAsia="Times New Roman" w:hint="default"/>
                <w:sz w:val="18"/>
                <w:szCs w:val="18"/>
              </w:rPr>
            </w:pPr>
            <w:r>
              <w:rPr>
                <w:rFonts w:ascii="Times New Roman"/>
                <w:spacing w:val="-1"/>
                <w:sz w:val="18"/>
              </w:rPr>
              <w:t>6,900,000.0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61" w:right="0"/>
              <w:jc w:val="center"/>
              <w:rPr>
                <w:rFonts w:ascii="Times New Roman" w:hAnsi="Times New Roman" w:cs="Times New Roman" w:eastAsia="Times New Roman" w:hint="default"/>
                <w:sz w:val="18"/>
                <w:szCs w:val="18"/>
              </w:rPr>
            </w:pPr>
            <w:r>
              <w:rPr>
                <w:rFonts w:ascii="Times New Roman"/>
                <w:sz w:val="18"/>
              </w:rPr>
              <w:t>9.88%</w:t>
            </w:r>
          </w:p>
        </w:tc>
        <w:tc>
          <w:tcPr>
            <w:tcW w:w="1057"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6"/>
              <w:ind w:left="22" w:right="87"/>
              <w:jc w:val="both"/>
              <w:rPr>
                <w:rFonts w:ascii="宋体" w:hAnsi="宋体" w:cs="宋体" w:eastAsia="宋体" w:hint="default"/>
                <w:sz w:val="18"/>
                <w:szCs w:val="18"/>
              </w:rPr>
            </w:pPr>
            <w:r>
              <w:rPr>
                <w:rFonts w:ascii="宋体" w:hAnsi="宋体" w:cs="宋体" w:eastAsia="宋体" w:hint="default"/>
                <w:sz w:val="18"/>
                <w:szCs w:val="18"/>
              </w:rPr>
              <w:t>北京魔力码头科技 有限责任公司【注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1,140,000.00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1,140,000.0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1,140,</w:t>
            </w:r>
          </w:p>
          <w:p>
            <w:pPr>
              <w:pStyle w:val="TableParagraph"/>
              <w:spacing w:line="240" w:lineRule="auto" w:before="105"/>
              <w:ind w:left="40" w:right="0"/>
              <w:jc w:val="left"/>
              <w:rPr>
                <w:rFonts w:ascii="Times New Roman" w:hAnsi="Times New Roman" w:cs="Times New Roman" w:eastAsia="Times New Roman" w:hint="default"/>
                <w:sz w:val="18"/>
                <w:szCs w:val="18"/>
              </w:rPr>
            </w:pPr>
            <w:r>
              <w:rPr>
                <w:rFonts w:ascii="Times New Roman"/>
                <w:sz w:val="18"/>
              </w:rPr>
              <w:t>000.00</w:t>
            </w:r>
          </w:p>
        </w:tc>
        <w:tc>
          <w:tcPr>
            <w:tcW w:w="574"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1,140,000.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71" w:right="0"/>
              <w:jc w:val="center"/>
              <w:rPr>
                <w:rFonts w:ascii="Times New Roman" w:hAnsi="Times New Roman" w:cs="Times New Roman" w:eastAsia="Times New Roman" w:hint="default"/>
                <w:sz w:val="18"/>
                <w:szCs w:val="18"/>
              </w:rPr>
            </w:pPr>
            <w:r>
              <w:rPr>
                <w:rFonts w:ascii="Times New Roman"/>
                <w:sz w:val="18"/>
              </w:rPr>
              <w:t>20.00%</w:t>
            </w:r>
          </w:p>
        </w:tc>
        <w:tc>
          <w:tcPr>
            <w:tcW w:w="1057"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6"/>
              <w:ind w:left="22" w:right="87"/>
              <w:jc w:val="both"/>
              <w:rPr>
                <w:rFonts w:ascii="宋体" w:hAnsi="宋体" w:cs="宋体" w:eastAsia="宋体" w:hint="default"/>
                <w:sz w:val="18"/>
                <w:szCs w:val="18"/>
              </w:rPr>
            </w:pPr>
            <w:r>
              <w:rPr>
                <w:rFonts w:ascii="宋体" w:hAnsi="宋体" w:cs="宋体" w:eastAsia="宋体" w:hint="default"/>
                <w:sz w:val="18"/>
                <w:szCs w:val="18"/>
              </w:rPr>
              <w:t>泰岳金服（北京） 科技有限公司【注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5,000,000.00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71" w:right="0"/>
              <w:jc w:val="center"/>
              <w:rPr>
                <w:rFonts w:ascii="Times New Roman" w:hAnsi="Times New Roman" w:cs="Times New Roman" w:eastAsia="Times New Roman" w:hint="default"/>
                <w:sz w:val="18"/>
                <w:szCs w:val="18"/>
              </w:rPr>
            </w:pPr>
            <w:r>
              <w:rPr>
                <w:rFonts w:ascii="Times New Roman"/>
                <w:sz w:val="18"/>
              </w:rPr>
              <w:t>25.50%</w:t>
            </w:r>
          </w:p>
        </w:tc>
        <w:tc>
          <w:tcPr>
            <w:tcW w:w="105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7"/>
              <w:ind w:left="22" w:right="87"/>
              <w:jc w:val="left"/>
              <w:rPr>
                <w:rFonts w:ascii="宋体" w:hAnsi="宋体" w:cs="宋体" w:eastAsia="宋体" w:hint="default"/>
                <w:sz w:val="18"/>
                <w:szCs w:val="18"/>
              </w:rPr>
            </w:pPr>
            <w:r>
              <w:rPr>
                <w:rFonts w:ascii="宋体" w:hAnsi="宋体" w:cs="宋体" w:eastAsia="宋体" w:hint="default"/>
                <w:sz w:val="18"/>
                <w:szCs w:val="18"/>
              </w:rPr>
              <w:t>北京裂变科技有限 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1,157,368.12</w:t>
            </w:r>
          </w:p>
        </w:tc>
        <w:tc>
          <w:tcPr>
            <w:tcW w:w="56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1"/>
              <w:jc w:val="right"/>
              <w:rPr>
                <w:rFonts w:ascii="Times New Roman" w:hAnsi="Times New Roman" w:cs="Times New Roman" w:eastAsia="Times New Roman" w:hint="default"/>
                <w:sz w:val="18"/>
                <w:szCs w:val="18"/>
              </w:rPr>
            </w:pPr>
            <w:r>
              <w:rPr>
                <w:rFonts w:ascii="Times New Roman"/>
                <w:spacing w:val="-1"/>
                <w:sz w:val="18"/>
              </w:rPr>
              <w:t>1,157,368.1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w:t>
            </w:r>
          </w:p>
        </w:tc>
        <w:tc>
          <w:tcPr>
            <w:tcW w:w="991"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71" w:right="0"/>
              <w:jc w:val="center"/>
              <w:rPr>
                <w:rFonts w:ascii="Times New Roman" w:hAnsi="Times New Roman" w:cs="Times New Roman" w:eastAsia="Times New Roman" w:hint="default"/>
                <w:sz w:val="18"/>
                <w:szCs w:val="18"/>
              </w:rPr>
            </w:pPr>
            <w:r>
              <w:rPr>
                <w:rFonts w:ascii="Times New Roman"/>
                <w:sz w:val="18"/>
              </w:rPr>
              <w:t>26.00%</w:t>
            </w:r>
          </w:p>
        </w:tc>
        <w:tc>
          <w:tcPr>
            <w:tcW w:w="1057"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6"/>
              <w:ind w:left="22" w:right="87"/>
              <w:jc w:val="both"/>
              <w:rPr>
                <w:rFonts w:ascii="宋体" w:hAnsi="宋体" w:cs="宋体" w:eastAsia="宋体" w:hint="default"/>
                <w:sz w:val="18"/>
                <w:szCs w:val="18"/>
              </w:rPr>
            </w:pPr>
            <w:r>
              <w:rPr>
                <w:rFonts w:ascii="宋体" w:hAnsi="宋体" w:cs="宋体" w:eastAsia="宋体" w:hint="default"/>
                <w:sz w:val="18"/>
                <w:szCs w:val="18"/>
              </w:rPr>
              <w:t>泰岳梧桐在线教育 产业新三板与并购 基金</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7" w:right="0"/>
              <w:jc w:val="center"/>
              <w:rPr>
                <w:rFonts w:ascii="Times New Roman" w:hAnsi="Times New Roman" w:cs="Times New Roman" w:eastAsia="Times New Roman" w:hint="default"/>
                <w:sz w:val="18"/>
                <w:szCs w:val="18"/>
              </w:rPr>
            </w:pPr>
            <w:r>
              <w:rPr>
                <w:rFonts w:ascii="Times New Roman"/>
                <w:sz w:val="18"/>
              </w:rPr>
              <w:t>242,22</w:t>
            </w:r>
          </w:p>
          <w:p>
            <w:pPr>
              <w:pStyle w:val="TableParagraph"/>
              <w:spacing w:line="240" w:lineRule="auto" w:before="105"/>
              <w:ind w:left="197" w:right="0"/>
              <w:jc w:val="center"/>
              <w:rPr>
                <w:rFonts w:ascii="Times New Roman" w:hAnsi="Times New Roman" w:cs="Times New Roman" w:eastAsia="Times New Roman" w:hint="default"/>
                <w:sz w:val="18"/>
                <w:szCs w:val="18"/>
              </w:rPr>
            </w:pPr>
            <w:r>
              <w:rPr>
                <w:rFonts w:ascii="Times New Roman"/>
                <w:sz w:val="18"/>
              </w:rPr>
              <w:t>4.42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757,775.58</w:t>
            </w:r>
          </w:p>
        </w:tc>
        <w:tc>
          <w:tcPr>
            <w:tcW w:w="991"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61" w:right="0"/>
              <w:jc w:val="center"/>
              <w:rPr>
                <w:rFonts w:ascii="Times New Roman" w:hAnsi="Times New Roman" w:cs="Times New Roman" w:eastAsia="Times New Roman" w:hint="default"/>
                <w:sz w:val="18"/>
                <w:szCs w:val="18"/>
              </w:rPr>
            </w:pPr>
            <w:r>
              <w:rPr>
                <w:rFonts w:ascii="Times New Roman"/>
                <w:sz w:val="18"/>
              </w:rPr>
              <w:t>0.99%</w:t>
            </w:r>
          </w:p>
        </w:tc>
        <w:tc>
          <w:tcPr>
            <w:tcW w:w="105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6"/>
              <w:ind w:left="22" w:right="87"/>
              <w:jc w:val="left"/>
              <w:rPr>
                <w:rFonts w:ascii="宋体" w:hAnsi="宋体" w:cs="宋体" w:eastAsia="宋体" w:hint="default"/>
                <w:sz w:val="18"/>
                <w:szCs w:val="18"/>
              </w:rPr>
            </w:pPr>
            <w:r>
              <w:rPr>
                <w:rFonts w:ascii="宋体" w:hAnsi="宋体" w:cs="宋体" w:eastAsia="宋体" w:hint="default"/>
                <w:sz w:val="18"/>
                <w:szCs w:val="18"/>
              </w:rPr>
              <w:t>北京帝派智能科技 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12,000,000.00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3" w:right="0"/>
              <w:jc w:val="left"/>
              <w:rPr>
                <w:rFonts w:ascii="Times New Roman" w:hAnsi="Times New Roman" w:cs="Times New Roman" w:eastAsia="Times New Roman" w:hint="default"/>
                <w:sz w:val="18"/>
                <w:szCs w:val="18"/>
              </w:rPr>
            </w:pPr>
            <w:r>
              <w:rPr>
                <w:rFonts w:ascii="Times New Roman"/>
                <w:sz w:val="18"/>
              </w:rPr>
              <w:t>-6,000,</w:t>
            </w:r>
          </w:p>
          <w:p>
            <w:pPr>
              <w:pStyle w:val="TableParagraph"/>
              <w:spacing w:line="240" w:lineRule="auto" w:before="105"/>
              <w:ind w:left="39" w:right="0"/>
              <w:jc w:val="left"/>
              <w:rPr>
                <w:rFonts w:ascii="Times New Roman" w:hAnsi="Times New Roman" w:cs="Times New Roman" w:eastAsia="Times New Roman" w:hint="default"/>
                <w:sz w:val="18"/>
                <w:szCs w:val="18"/>
              </w:rPr>
            </w:pPr>
            <w:r>
              <w:rPr>
                <w:rFonts w:ascii="Times New Roman"/>
                <w:sz w:val="18"/>
              </w:rPr>
              <w:t>000.00</w:t>
            </w:r>
          </w:p>
        </w:tc>
        <w:tc>
          <w:tcPr>
            <w:tcW w:w="56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1"/>
              <w:jc w:val="right"/>
              <w:rPr>
                <w:rFonts w:ascii="Times New Roman" w:hAnsi="Times New Roman" w:cs="Times New Roman" w:eastAsia="Times New Roman" w:hint="default"/>
                <w:sz w:val="18"/>
                <w:szCs w:val="18"/>
              </w:rPr>
            </w:pPr>
            <w:r>
              <w:rPr>
                <w:rFonts w:ascii="Times New Roman"/>
                <w:spacing w:val="-1"/>
                <w:sz w:val="18"/>
              </w:rPr>
              <w:t>6,000,000.0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71" w:right="0"/>
              <w:jc w:val="center"/>
              <w:rPr>
                <w:rFonts w:ascii="Times New Roman" w:hAnsi="Times New Roman" w:cs="Times New Roman" w:eastAsia="Times New Roman" w:hint="default"/>
                <w:sz w:val="18"/>
                <w:szCs w:val="18"/>
              </w:rPr>
            </w:pPr>
            <w:r>
              <w:rPr>
                <w:rFonts w:ascii="Times New Roman"/>
                <w:sz w:val="18"/>
              </w:rPr>
              <w:t>16.00%</w:t>
            </w:r>
          </w:p>
        </w:tc>
        <w:tc>
          <w:tcPr>
            <w:tcW w:w="105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6"/>
              <w:ind w:left="22" w:right="87"/>
              <w:jc w:val="left"/>
              <w:rPr>
                <w:rFonts w:ascii="宋体" w:hAnsi="宋体" w:cs="宋体" w:eastAsia="宋体" w:hint="default"/>
                <w:sz w:val="18"/>
                <w:szCs w:val="18"/>
              </w:rPr>
            </w:pPr>
            <w:r>
              <w:rPr>
                <w:rFonts w:ascii="宋体" w:hAnsi="宋体" w:cs="宋体" w:eastAsia="宋体" w:hint="default"/>
                <w:sz w:val="18"/>
                <w:szCs w:val="18"/>
              </w:rPr>
              <w:t>成都斯沃茨科技有 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4,800,000.00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1"/>
              <w:jc w:val="right"/>
              <w:rPr>
                <w:rFonts w:ascii="Times New Roman" w:hAnsi="Times New Roman" w:cs="Times New Roman" w:eastAsia="Times New Roman" w:hint="default"/>
                <w:sz w:val="18"/>
                <w:szCs w:val="18"/>
              </w:rPr>
            </w:pPr>
            <w:r>
              <w:rPr>
                <w:rFonts w:ascii="Times New Roman"/>
                <w:spacing w:val="-1"/>
                <w:sz w:val="18"/>
              </w:rPr>
              <w:t>4,800,000.0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61" w:right="0"/>
              <w:jc w:val="center"/>
              <w:rPr>
                <w:rFonts w:ascii="Times New Roman" w:hAnsi="Times New Roman" w:cs="Times New Roman" w:eastAsia="Times New Roman" w:hint="default"/>
                <w:sz w:val="18"/>
                <w:szCs w:val="18"/>
              </w:rPr>
            </w:pPr>
            <w:r>
              <w:rPr>
                <w:rFonts w:ascii="Times New Roman"/>
                <w:sz w:val="18"/>
              </w:rPr>
              <w:t>5.28%</w:t>
            </w:r>
          </w:p>
        </w:tc>
        <w:tc>
          <w:tcPr>
            <w:tcW w:w="1057"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6"/>
              <w:ind w:left="22" w:right="87"/>
              <w:jc w:val="both"/>
              <w:rPr>
                <w:rFonts w:ascii="宋体" w:hAnsi="宋体" w:cs="宋体" w:eastAsia="宋体" w:hint="default"/>
                <w:sz w:val="18"/>
                <w:szCs w:val="18"/>
              </w:rPr>
            </w:pPr>
            <w:r>
              <w:rPr>
                <w:rFonts w:ascii="宋体" w:hAnsi="宋体" w:cs="宋体" w:eastAsia="宋体" w:hint="default"/>
                <w:sz w:val="18"/>
                <w:szCs w:val="18"/>
              </w:rPr>
              <w:t>广州泰岳指咚软件 技术有限公司【注 </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2,000,000.00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71" w:right="0"/>
              <w:jc w:val="center"/>
              <w:rPr>
                <w:rFonts w:ascii="Times New Roman" w:hAnsi="Times New Roman" w:cs="Times New Roman" w:eastAsia="Times New Roman" w:hint="default"/>
                <w:sz w:val="18"/>
                <w:szCs w:val="18"/>
              </w:rPr>
            </w:pPr>
            <w:r>
              <w:rPr>
                <w:rFonts w:ascii="Times New Roman"/>
                <w:sz w:val="18"/>
              </w:rPr>
              <w:t>20.00%</w:t>
            </w:r>
          </w:p>
        </w:tc>
        <w:tc>
          <w:tcPr>
            <w:tcW w:w="105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6"/>
              <w:ind w:left="22" w:right="87"/>
              <w:jc w:val="left"/>
              <w:rPr>
                <w:rFonts w:ascii="宋体" w:hAnsi="宋体" w:cs="宋体" w:eastAsia="宋体" w:hint="default"/>
                <w:sz w:val="18"/>
                <w:szCs w:val="18"/>
              </w:rPr>
            </w:pPr>
            <w:r>
              <w:rPr>
                <w:rFonts w:ascii="宋体" w:hAnsi="宋体" w:cs="宋体" w:eastAsia="宋体" w:hint="default"/>
                <w:sz w:val="18"/>
                <w:szCs w:val="18"/>
              </w:rPr>
              <w:t>北京创董创新实业 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15,000,000.00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1"/>
              <w:jc w:val="right"/>
              <w:rPr>
                <w:rFonts w:ascii="Times New Roman" w:hAnsi="Times New Roman" w:cs="Times New Roman" w:eastAsia="Times New Roman" w:hint="default"/>
                <w:sz w:val="18"/>
                <w:szCs w:val="18"/>
              </w:rPr>
            </w:pPr>
            <w:r>
              <w:rPr>
                <w:rFonts w:ascii="Times New Roman"/>
                <w:spacing w:val="-1"/>
                <w:sz w:val="18"/>
              </w:rPr>
              <w:t>15,000,000.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991"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71" w:right="0"/>
              <w:jc w:val="center"/>
              <w:rPr>
                <w:rFonts w:ascii="Times New Roman" w:hAnsi="Times New Roman" w:cs="Times New Roman" w:eastAsia="Times New Roman" w:hint="default"/>
                <w:sz w:val="18"/>
                <w:szCs w:val="18"/>
              </w:rPr>
            </w:pPr>
            <w:r>
              <w:rPr>
                <w:rFonts w:ascii="Times New Roman"/>
                <w:sz w:val="18"/>
              </w:rPr>
              <w:t>15.00%</w:t>
            </w:r>
          </w:p>
        </w:tc>
        <w:tc>
          <w:tcPr>
            <w:tcW w:w="105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6"/>
              <w:ind w:left="22" w:right="87"/>
              <w:jc w:val="left"/>
              <w:rPr>
                <w:rFonts w:ascii="宋体" w:hAnsi="宋体" w:cs="宋体" w:eastAsia="宋体" w:hint="default"/>
                <w:sz w:val="18"/>
                <w:szCs w:val="18"/>
              </w:rPr>
            </w:pPr>
            <w:r>
              <w:rPr>
                <w:rFonts w:ascii="宋体" w:hAnsi="宋体" w:cs="宋体" w:eastAsia="宋体" w:hint="default"/>
                <w:sz w:val="18"/>
                <w:szCs w:val="18"/>
              </w:rPr>
              <w:t>北京玄一科技有限 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宋体" w:hAnsi="宋体" w:cs="宋体" w:eastAsia="宋体" w:hint="default"/>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83" w:right="0"/>
              <w:jc w:val="left"/>
              <w:rPr>
                <w:rFonts w:ascii="Times New Roman" w:hAnsi="Times New Roman" w:cs="Times New Roman" w:eastAsia="Times New Roman" w:hint="default"/>
                <w:sz w:val="18"/>
                <w:szCs w:val="18"/>
              </w:rPr>
            </w:pPr>
            <w:r>
              <w:rPr>
                <w:rFonts w:ascii="Times New Roman"/>
                <w:sz w:val="18"/>
              </w:rPr>
              <w:t>1,894,</w:t>
            </w:r>
          </w:p>
          <w:p>
            <w:pPr>
              <w:pStyle w:val="TableParagraph"/>
              <w:spacing w:line="240" w:lineRule="auto" w:before="105"/>
              <w:ind w:left="39" w:right="0"/>
              <w:jc w:val="left"/>
              <w:rPr>
                <w:rFonts w:ascii="Times New Roman" w:hAnsi="Times New Roman" w:cs="Times New Roman" w:eastAsia="Times New Roman" w:hint="default"/>
                <w:sz w:val="18"/>
                <w:szCs w:val="18"/>
              </w:rPr>
            </w:pPr>
            <w:r>
              <w:rPr>
                <w:rFonts w:ascii="Times New Roman"/>
                <w:sz w:val="18"/>
              </w:rPr>
              <w:t>255.32</w:t>
            </w:r>
          </w:p>
        </w:tc>
        <w:tc>
          <w:tcPr>
            <w:tcW w:w="56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1"/>
              <w:jc w:val="right"/>
              <w:rPr>
                <w:rFonts w:ascii="Times New Roman" w:hAnsi="Times New Roman" w:cs="Times New Roman" w:eastAsia="Times New Roman" w:hint="default"/>
                <w:sz w:val="18"/>
                <w:szCs w:val="18"/>
              </w:rPr>
            </w:pPr>
            <w:r>
              <w:rPr>
                <w:rFonts w:ascii="Times New Roman"/>
                <w:spacing w:val="-1"/>
                <w:sz w:val="18"/>
              </w:rPr>
              <w:t>1,894,255.3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w:t>
            </w:r>
          </w:p>
        </w:tc>
        <w:tc>
          <w:tcPr>
            <w:tcW w:w="991"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71" w:right="0"/>
              <w:jc w:val="center"/>
              <w:rPr>
                <w:rFonts w:ascii="Times New Roman" w:hAnsi="Times New Roman" w:cs="Times New Roman" w:eastAsia="Times New Roman" w:hint="default"/>
                <w:sz w:val="18"/>
                <w:szCs w:val="18"/>
              </w:rPr>
            </w:pPr>
            <w:r>
              <w:rPr>
                <w:rFonts w:ascii="Times New Roman"/>
                <w:sz w:val="18"/>
              </w:rPr>
              <w:t>22.36%</w:t>
            </w:r>
          </w:p>
        </w:tc>
        <w:tc>
          <w:tcPr>
            <w:tcW w:w="105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7"/>
              <w:ind w:left="22" w:right="87"/>
              <w:jc w:val="left"/>
              <w:rPr>
                <w:rFonts w:ascii="宋体" w:hAnsi="宋体" w:cs="宋体" w:eastAsia="宋体" w:hint="default"/>
                <w:sz w:val="18"/>
                <w:szCs w:val="18"/>
              </w:rPr>
            </w:pPr>
            <w:r>
              <w:rPr>
                <w:rFonts w:ascii="宋体" w:hAnsi="宋体" w:cs="宋体" w:eastAsia="宋体" w:hint="default"/>
                <w:sz w:val="18"/>
                <w:szCs w:val="18"/>
              </w:rPr>
              <w:t>北京神州云联科技 有限公司</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83" w:right="0"/>
              <w:jc w:val="left"/>
              <w:rPr>
                <w:rFonts w:ascii="Times New Roman" w:hAnsi="Times New Roman" w:cs="Times New Roman" w:eastAsia="Times New Roman" w:hint="default"/>
                <w:sz w:val="18"/>
                <w:szCs w:val="18"/>
              </w:rPr>
            </w:pPr>
            <w:r>
              <w:rPr>
                <w:rFonts w:ascii="Times New Roman"/>
                <w:sz w:val="18"/>
              </w:rPr>
              <w:t>8,000,</w:t>
            </w:r>
          </w:p>
          <w:p>
            <w:pPr>
              <w:pStyle w:val="TableParagraph"/>
              <w:spacing w:line="240" w:lineRule="auto" w:before="105"/>
              <w:ind w:left="39" w:right="0"/>
              <w:jc w:val="left"/>
              <w:rPr>
                <w:rFonts w:ascii="Times New Roman" w:hAnsi="Times New Roman" w:cs="Times New Roman" w:eastAsia="Times New Roman" w:hint="default"/>
                <w:sz w:val="18"/>
                <w:szCs w:val="18"/>
              </w:rPr>
            </w:pPr>
            <w:r>
              <w:rPr>
                <w:rFonts w:ascii="Times New Roman"/>
                <w:sz w:val="18"/>
              </w:rPr>
              <w:t>000.00</w:t>
            </w:r>
          </w:p>
        </w:tc>
        <w:tc>
          <w:tcPr>
            <w:tcW w:w="56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1"/>
              <w:jc w:val="right"/>
              <w:rPr>
                <w:rFonts w:ascii="Times New Roman" w:hAnsi="Times New Roman" w:cs="Times New Roman" w:eastAsia="Times New Roman" w:hint="default"/>
                <w:sz w:val="18"/>
                <w:szCs w:val="18"/>
              </w:rPr>
            </w:pPr>
            <w:r>
              <w:rPr>
                <w:rFonts w:ascii="Times New Roman"/>
                <w:spacing w:val="-1"/>
                <w:sz w:val="18"/>
              </w:rPr>
              <w:t>8,000,000.0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71" w:right="0"/>
              <w:jc w:val="center"/>
              <w:rPr>
                <w:rFonts w:ascii="Times New Roman" w:hAnsi="Times New Roman" w:cs="Times New Roman" w:eastAsia="Times New Roman" w:hint="default"/>
                <w:sz w:val="18"/>
                <w:szCs w:val="18"/>
              </w:rPr>
            </w:pPr>
            <w:r>
              <w:rPr>
                <w:rFonts w:ascii="Times New Roman"/>
                <w:sz w:val="18"/>
              </w:rPr>
              <w:t>10.00%</w:t>
            </w:r>
          </w:p>
        </w:tc>
        <w:tc>
          <w:tcPr>
            <w:tcW w:w="105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6"/>
              <w:ind w:left="22" w:right="87"/>
              <w:jc w:val="left"/>
              <w:rPr>
                <w:rFonts w:ascii="宋体" w:hAnsi="宋体" w:cs="宋体" w:eastAsia="宋体" w:hint="default"/>
                <w:sz w:val="18"/>
                <w:szCs w:val="18"/>
              </w:rPr>
            </w:pPr>
            <w:r>
              <w:rPr>
                <w:rFonts w:ascii="宋体" w:hAnsi="宋体" w:cs="宋体" w:eastAsia="宋体" w:hint="default"/>
                <w:sz w:val="18"/>
                <w:szCs w:val="18"/>
              </w:rPr>
              <w:t>天津智子网络科技 有限公司</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83" w:right="0"/>
              <w:jc w:val="left"/>
              <w:rPr>
                <w:rFonts w:ascii="Times New Roman" w:hAnsi="Times New Roman" w:cs="Times New Roman" w:eastAsia="Times New Roman" w:hint="default"/>
                <w:sz w:val="18"/>
                <w:szCs w:val="18"/>
              </w:rPr>
            </w:pPr>
            <w:r>
              <w:rPr>
                <w:rFonts w:ascii="Times New Roman"/>
                <w:sz w:val="18"/>
              </w:rPr>
              <w:t>1,500,</w:t>
            </w:r>
          </w:p>
          <w:p>
            <w:pPr>
              <w:pStyle w:val="TableParagraph"/>
              <w:spacing w:line="240" w:lineRule="auto" w:before="105"/>
              <w:ind w:left="39" w:right="0"/>
              <w:jc w:val="left"/>
              <w:rPr>
                <w:rFonts w:ascii="Times New Roman" w:hAnsi="Times New Roman" w:cs="Times New Roman" w:eastAsia="Times New Roman" w:hint="default"/>
                <w:sz w:val="18"/>
                <w:szCs w:val="18"/>
              </w:rPr>
            </w:pPr>
            <w:r>
              <w:rPr>
                <w:rFonts w:ascii="Times New Roman"/>
                <w:sz w:val="18"/>
              </w:rPr>
              <w:t>000.00</w:t>
            </w:r>
          </w:p>
        </w:tc>
        <w:tc>
          <w:tcPr>
            <w:tcW w:w="567"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1"/>
              <w:jc w:val="right"/>
              <w:rPr>
                <w:rFonts w:ascii="Times New Roman" w:hAnsi="Times New Roman" w:cs="Times New Roman" w:eastAsia="Times New Roman" w:hint="default"/>
                <w:sz w:val="18"/>
                <w:szCs w:val="18"/>
              </w:rPr>
            </w:pPr>
            <w:r>
              <w:rPr>
                <w:rFonts w:ascii="Times New Roman"/>
                <w:spacing w:val="-1"/>
                <w:sz w:val="18"/>
              </w:rPr>
              <w:t>1,500,000.0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574"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61" w:right="0"/>
              <w:jc w:val="center"/>
              <w:rPr>
                <w:rFonts w:ascii="Times New Roman" w:hAnsi="Times New Roman" w:cs="Times New Roman" w:eastAsia="Times New Roman" w:hint="default"/>
                <w:sz w:val="18"/>
                <w:szCs w:val="18"/>
              </w:rPr>
            </w:pPr>
            <w:r>
              <w:rPr>
                <w:rFonts w:ascii="Times New Roman"/>
                <w:sz w:val="18"/>
              </w:rPr>
              <w:t>7.14%</w:t>
            </w:r>
          </w:p>
        </w:tc>
        <w:tc>
          <w:tcPr>
            <w:tcW w:w="105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440" w:bottom="1160" w:left="1020" w:right="0"/>
        </w:sectPr>
      </w:pPr>
    </w:p>
    <w:p>
      <w:pPr>
        <w:spacing w:line="240" w:lineRule="auto" w:before="6"/>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1560"/>
        <w:gridCol w:w="1134"/>
        <w:gridCol w:w="568"/>
        <w:gridCol w:w="567"/>
        <w:gridCol w:w="992"/>
        <w:gridCol w:w="991"/>
        <w:gridCol w:w="568"/>
        <w:gridCol w:w="574"/>
        <w:gridCol w:w="870"/>
        <w:gridCol w:w="683"/>
        <w:gridCol w:w="1057"/>
      </w:tblGrid>
      <w:tr>
        <w:trPr>
          <w:trHeight w:val="726" w:hRule="exact"/>
        </w:trPr>
        <w:tc>
          <w:tcPr>
            <w:tcW w:w="1560" w:type="dxa"/>
            <w:tcBorders>
              <w:top w:val="single" w:sz="10" w:space="0" w:color="000000"/>
              <w:left w:val="single" w:sz="4" w:space="0" w:color="000000"/>
              <w:bottom w:val="single" w:sz="4" w:space="0" w:color="000000"/>
              <w:right w:val="single" w:sz="4" w:space="0" w:color="000000"/>
            </w:tcBorders>
          </w:tcPr>
          <w:p>
            <w:pPr>
              <w:pStyle w:val="TableParagraph"/>
              <w:spacing w:line="316" w:lineRule="auto" w:before="97"/>
              <w:ind w:left="22" w:right="71"/>
              <w:jc w:val="left"/>
              <w:rPr>
                <w:rFonts w:ascii="宋体" w:hAnsi="宋体" w:cs="宋体" w:eastAsia="宋体" w:hint="default"/>
                <w:sz w:val="18"/>
                <w:szCs w:val="18"/>
              </w:rPr>
            </w:pPr>
            <w:r>
              <w:rPr>
                <w:rFonts w:ascii="Times New Roman" w:hAnsi="Times New Roman" w:cs="Times New Roman" w:eastAsia="Times New Roman" w:hint="default"/>
                <w:sz w:val="18"/>
                <w:szCs w:val="18"/>
              </w:rPr>
              <w:t>Ultrapower 360</w:t>
            </w:r>
            <w:r>
              <w:rPr>
                <w:rFonts w:ascii="Times New Roman" w:hAnsi="Times New Roman" w:cs="Times New Roman" w:eastAsia="Times New Roman" w:hint="default"/>
                <w:spacing w:val="-3"/>
                <w:sz w:val="18"/>
                <w:szCs w:val="18"/>
              </w:rPr>
              <w:t> </w:t>
            </w:r>
            <w:r>
              <w:rPr>
                <w:rFonts w:ascii="Times New Roman" w:hAnsi="Times New Roman" w:cs="Times New Roman" w:eastAsia="Times New Roman" w:hint="default"/>
                <w:sz w:val="18"/>
                <w:szCs w:val="18"/>
              </w:rPr>
              <w:t>Pte.</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Ltd</w:t>
            </w:r>
            <w:r>
              <w:rPr>
                <w:rFonts w:ascii="宋体" w:hAnsi="宋体" w:cs="宋体" w:eastAsia="宋体" w:hint="default"/>
                <w:sz w:val="18"/>
                <w:szCs w:val="18"/>
              </w:rPr>
              <w:t>【注</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7</w:t>
            </w:r>
            <w:r>
              <w:rPr>
                <w:rFonts w:ascii="宋体" w:hAnsi="宋体" w:cs="宋体" w:eastAsia="宋体" w:hint="default"/>
                <w:sz w:val="18"/>
                <w:szCs w:val="18"/>
              </w:rPr>
              <w:t>】</w:t>
            </w:r>
          </w:p>
        </w:tc>
        <w:tc>
          <w:tcPr>
            <w:tcW w:w="1134" w:type="dxa"/>
            <w:tcBorders>
              <w:top w:val="single" w:sz="10" w:space="0" w:color="000000"/>
              <w:left w:val="single" w:sz="4" w:space="0" w:color="000000"/>
              <w:bottom w:val="single" w:sz="4" w:space="0" w:color="000000"/>
              <w:right w:val="single" w:sz="4" w:space="0" w:color="000000"/>
            </w:tcBorders>
          </w:tcPr>
          <w:p>
            <w:pPr/>
          </w:p>
        </w:tc>
        <w:tc>
          <w:tcPr>
            <w:tcW w:w="568" w:type="dxa"/>
            <w:tcBorders>
              <w:top w:val="single" w:sz="10" w:space="0" w:color="000000"/>
              <w:left w:val="single" w:sz="4" w:space="0" w:color="000000"/>
              <w:bottom w:val="single" w:sz="4" w:space="0" w:color="000000"/>
              <w:right w:val="single" w:sz="4" w:space="0" w:color="000000"/>
            </w:tcBorders>
          </w:tcPr>
          <w:p>
            <w:pPr/>
          </w:p>
        </w:tc>
        <w:tc>
          <w:tcPr>
            <w:tcW w:w="567" w:type="dxa"/>
            <w:tcBorders>
              <w:top w:val="single" w:sz="10" w:space="0" w:color="000000"/>
              <w:left w:val="single" w:sz="4" w:space="0" w:color="000000"/>
              <w:bottom w:val="single" w:sz="4" w:space="0" w:color="000000"/>
              <w:right w:val="single" w:sz="4" w:space="0" w:color="000000"/>
            </w:tcBorders>
          </w:tcPr>
          <w:p>
            <w:pPr/>
          </w:p>
        </w:tc>
        <w:tc>
          <w:tcPr>
            <w:tcW w:w="992" w:type="dxa"/>
            <w:tcBorders>
              <w:top w:val="single" w:sz="10" w:space="0" w:color="000000"/>
              <w:left w:val="single" w:sz="4" w:space="0" w:color="000000"/>
              <w:bottom w:val="single" w:sz="4" w:space="0" w:color="000000"/>
              <w:right w:val="single" w:sz="4" w:space="0" w:color="000000"/>
            </w:tcBorders>
          </w:tcPr>
          <w:p>
            <w:pPr/>
          </w:p>
        </w:tc>
        <w:tc>
          <w:tcPr>
            <w:tcW w:w="991" w:type="dxa"/>
            <w:tcBorders>
              <w:top w:val="single" w:sz="10" w:space="0" w:color="000000"/>
              <w:left w:val="single" w:sz="4" w:space="0" w:color="000000"/>
              <w:bottom w:val="single" w:sz="4" w:space="0" w:color="000000"/>
              <w:right w:val="single" w:sz="4" w:space="0" w:color="000000"/>
            </w:tcBorders>
          </w:tcPr>
          <w:p>
            <w:pPr/>
          </w:p>
        </w:tc>
        <w:tc>
          <w:tcPr>
            <w:tcW w:w="568" w:type="dxa"/>
            <w:tcBorders>
              <w:top w:val="single" w:sz="10" w:space="0" w:color="000000"/>
              <w:left w:val="single" w:sz="4" w:space="0" w:color="000000"/>
              <w:bottom w:val="single" w:sz="4" w:space="0" w:color="000000"/>
              <w:right w:val="single" w:sz="4" w:space="0" w:color="000000"/>
            </w:tcBorders>
          </w:tcPr>
          <w:p>
            <w:pPr/>
          </w:p>
        </w:tc>
        <w:tc>
          <w:tcPr>
            <w:tcW w:w="574" w:type="dxa"/>
            <w:tcBorders>
              <w:top w:val="single" w:sz="10" w:space="0" w:color="000000"/>
              <w:left w:val="single" w:sz="4" w:space="0" w:color="000000"/>
              <w:bottom w:val="single" w:sz="4" w:space="0" w:color="000000"/>
              <w:right w:val="single" w:sz="4" w:space="0" w:color="000000"/>
            </w:tcBorders>
          </w:tcPr>
          <w:p>
            <w:pPr/>
          </w:p>
        </w:tc>
        <w:tc>
          <w:tcPr>
            <w:tcW w:w="870" w:type="dxa"/>
            <w:tcBorders>
              <w:top w:val="single" w:sz="10" w:space="0" w:color="000000"/>
              <w:left w:val="single" w:sz="4" w:space="0" w:color="000000"/>
              <w:bottom w:val="single" w:sz="4" w:space="0" w:color="000000"/>
              <w:right w:val="single" w:sz="4" w:space="0" w:color="000000"/>
            </w:tcBorders>
          </w:tcPr>
          <w:p>
            <w:pPr/>
          </w:p>
        </w:tc>
        <w:tc>
          <w:tcPr>
            <w:tcW w:w="68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71" w:right="0"/>
              <w:jc w:val="center"/>
              <w:rPr>
                <w:rFonts w:ascii="Times New Roman" w:hAnsi="Times New Roman" w:cs="Times New Roman" w:eastAsia="Times New Roman" w:hint="default"/>
                <w:sz w:val="18"/>
                <w:szCs w:val="18"/>
              </w:rPr>
            </w:pPr>
            <w:r>
              <w:rPr>
                <w:rFonts w:ascii="Times New Roman"/>
                <w:sz w:val="18"/>
              </w:rPr>
              <w:t>19.00%</w:t>
            </w:r>
          </w:p>
        </w:tc>
        <w:tc>
          <w:tcPr>
            <w:tcW w:w="1057" w:type="dxa"/>
            <w:tcBorders>
              <w:top w:val="single" w:sz="10" w:space="0" w:color="000000"/>
              <w:left w:val="single" w:sz="4" w:space="0" w:color="000000"/>
              <w:bottom w:val="single" w:sz="4" w:space="0" w:color="000000"/>
              <w:right w:val="single" w:sz="4" w:space="0" w:color="000000"/>
            </w:tcBorders>
          </w:tcPr>
          <w:p>
            <w:pPr/>
          </w:p>
        </w:tc>
      </w:tr>
      <w:tr>
        <w:trPr>
          <w:trHeight w:val="716"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364,397,368.1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3" w:right="0"/>
              <w:jc w:val="left"/>
              <w:rPr>
                <w:rFonts w:ascii="Times New Roman" w:hAnsi="Times New Roman" w:cs="Times New Roman" w:eastAsia="Times New Roman" w:hint="default"/>
                <w:sz w:val="18"/>
                <w:szCs w:val="18"/>
              </w:rPr>
            </w:pPr>
            <w:r>
              <w:rPr>
                <w:rFonts w:ascii="Times New Roman"/>
                <w:sz w:val="18"/>
              </w:rPr>
              <w:t>5,394,</w:t>
            </w:r>
          </w:p>
          <w:p>
            <w:pPr>
              <w:pStyle w:val="TableParagraph"/>
              <w:spacing w:line="240" w:lineRule="auto" w:before="105"/>
              <w:ind w:left="39" w:right="0"/>
              <w:jc w:val="left"/>
              <w:rPr>
                <w:rFonts w:ascii="Times New Roman" w:hAnsi="Times New Roman" w:cs="Times New Roman" w:eastAsia="Times New Roman" w:hint="default"/>
                <w:sz w:val="18"/>
                <w:szCs w:val="18"/>
              </w:rPr>
            </w:pPr>
            <w:r>
              <w:rPr>
                <w:rFonts w:ascii="Times New Roman"/>
                <w:sz w:val="18"/>
              </w:rPr>
              <w:t>255.32</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 w:right="0"/>
              <w:jc w:val="center"/>
              <w:rPr>
                <w:rFonts w:ascii="Times New Roman" w:hAnsi="Times New Roman" w:cs="Times New Roman" w:eastAsia="Times New Roman" w:hint="default"/>
                <w:sz w:val="18"/>
                <w:szCs w:val="18"/>
              </w:rPr>
            </w:pPr>
            <w:r>
              <w:rPr>
                <w:rFonts w:ascii="Times New Roman"/>
                <w:sz w:val="18"/>
              </w:rPr>
              <w:t>242,22</w:t>
            </w:r>
          </w:p>
          <w:p>
            <w:pPr>
              <w:pStyle w:val="TableParagraph"/>
              <w:spacing w:line="240" w:lineRule="auto" w:before="105"/>
              <w:ind w:left="197" w:right="0"/>
              <w:jc w:val="center"/>
              <w:rPr>
                <w:rFonts w:ascii="Times New Roman" w:hAnsi="Times New Roman" w:cs="Times New Roman" w:eastAsia="Times New Roman" w:hint="default"/>
                <w:sz w:val="18"/>
                <w:szCs w:val="18"/>
              </w:rPr>
            </w:pPr>
            <w:r>
              <w:rPr>
                <w:rFonts w:ascii="Times New Roman"/>
                <w:sz w:val="18"/>
              </w:rPr>
              <w:t>4.42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369,549,399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400,000.00</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5" w:right="0"/>
              <w:jc w:val="left"/>
              <w:rPr>
                <w:rFonts w:ascii="Times New Roman" w:hAnsi="Times New Roman" w:cs="Times New Roman" w:eastAsia="Times New Roman" w:hint="default"/>
                <w:sz w:val="18"/>
                <w:szCs w:val="18"/>
              </w:rPr>
            </w:pPr>
            <w:r>
              <w:rPr>
                <w:rFonts w:ascii="Times New Roman"/>
                <w:sz w:val="18"/>
              </w:rPr>
              <w:t>1,140,</w:t>
            </w:r>
          </w:p>
          <w:p>
            <w:pPr>
              <w:pStyle w:val="TableParagraph"/>
              <w:spacing w:line="240" w:lineRule="auto" w:before="105"/>
              <w:ind w:left="40" w:right="0"/>
              <w:jc w:val="left"/>
              <w:rPr>
                <w:rFonts w:ascii="Times New Roman" w:hAnsi="Times New Roman" w:cs="Times New Roman" w:eastAsia="Times New Roman" w:hint="default"/>
                <w:sz w:val="18"/>
                <w:szCs w:val="18"/>
              </w:rPr>
            </w:pPr>
            <w:r>
              <w:rPr>
                <w:rFonts w:ascii="Times New Roman"/>
                <w:sz w:val="18"/>
              </w:rPr>
              <w:t>000.00</w:t>
            </w:r>
          </w:p>
        </w:tc>
        <w:tc>
          <w:tcPr>
            <w:tcW w:w="574"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1,540,000.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80" w:right="0"/>
              <w:jc w:val="left"/>
              <w:rPr>
                <w:rFonts w:ascii="Times New Roman" w:hAnsi="Times New Roman" w:cs="Times New Roman" w:eastAsia="Times New Roman" w:hint="default"/>
                <w:sz w:val="18"/>
                <w:szCs w:val="18"/>
              </w:rPr>
            </w:pPr>
            <w:r>
              <w:rPr>
                <w:rFonts w:ascii="Times New Roman"/>
                <w:sz w:val="18"/>
              </w:rPr>
              <w:t>4,378,586.10</w:t>
            </w:r>
          </w:p>
        </w:tc>
      </w:tr>
    </w:tbl>
    <w:p>
      <w:pPr>
        <w:pStyle w:val="BodyText"/>
        <w:spacing w:line="300" w:lineRule="auto" w:before="51"/>
        <w:ind w:left="134" w:right="1140"/>
        <w:jc w:val="both"/>
      </w:pPr>
      <w:r>
        <w:rPr/>
        <w:t>注</w:t>
      </w:r>
      <w:r>
        <w:rPr>
          <w:rFonts w:ascii="Times New Roman" w:hAnsi="Times New Roman" w:cs="Times New Roman" w:eastAsia="Times New Roman" w:hint="default"/>
        </w:rPr>
        <w:t>1</w:t>
      </w:r>
      <w:r>
        <w:rPr/>
        <w:t>：根据合伙协议，公司为有限合伙人，不参与合伙企业的经营管理，对其无法实施控制且不具有重大影响，按可供出售 金融资产核算。</w:t>
      </w:r>
    </w:p>
    <w:p>
      <w:pPr>
        <w:pStyle w:val="BodyText"/>
        <w:spacing w:line="302" w:lineRule="auto" w:before="70"/>
        <w:ind w:left="134" w:right="1132"/>
        <w:jc w:val="both"/>
      </w:pPr>
      <w:r>
        <w:rPr/>
        <w:t>注</w:t>
      </w:r>
      <w:r>
        <w:rPr>
          <w:rFonts w:ascii="Times New Roman" w:hAnsi="Times New Roman" w:cs="Times New Roman" w:eastAsia="Times New Roman" w:hint="default"/>
        </w:rPr>
        <w:t>2</w:t>
      </w:r>
      <w:r>
        <w:rPr/>
        <w:t>：公司全资子公司北京壳木软件有限责任公司持有北京魔力码头科技有限责任公司</w:t>
      </w:r>
      <w:r>
        <w:rPr>
          <w:rFonts w:ascii="Times New Roman" w:hAnsi="Times New Roman" w:cs="Times New Roman" w:eastAsia="Times New Roman" w:hint="default"/>
        </w:rPr>
        <w:t>20%</w:t>
      </w:r>
      <w:r>
        <w:rPr/>
        <w:t>股权，不参与日常经营，不具备 重大影响，按可供出售金融资产核算。</w:t>
      </w:r>
    </w:p>
    <w:p>
      <w:pPr>
        <w:pStyle w:val="BodyText"/>
        <w:spacing w:line="319" w:lineRule="auto" w:before="70"/>
        <w:ind w:left="134" w:right="1132"/>
        <w:jc w:val="both"/>
      </w:pPr>
      <w:r>
        <w:rPr>
          <w:spacing w:val="-4"/>
        </w:rPr>
        <w:t>注</w:t>
      </w:r>
      <w:r>
        <w:rPr>
          <w:rFonts w:ascii="Times New Roman" w:hAnsi="Times New Roman" w:cs="Times New Roman" w:eastAsia="Times New Roman" w:hint="default"/>
          <w:spacing w:val="-4"/>
        </w:rPr>
        <w:t>3</w:t>
      </w:r>
      <w:r>
        <w:rPr>
          <w:spacing w:val="-4"/>
        </w:rPr>
        <w:t>：公司持有泰岳金服（北京）科技有限公司</w:t>
      </w:r>
      <w:r>
        <w:rPr>
          <w:rFonts w:ascii="Times New Roman" w:hAnsi="Times New Roman" w:cs="Times New Roman" w:eastAsia="Times New Roman" w:hint="default"/>
          <w:spacing w:val="-4"/>
        </w:rPr>
        <w:t>25.50%</w:t>
      </w:r>
      <w:r>
        <w:rPr>
          <w:spacing w:val="-4"/>
        </w:rPr>
        <w:t>股权，不参与日常经营，不具备重大影响，按可供出售金融资产核算。</w:t>
      </w:r>
      <w:r>
        <w:rPr>
          <w:spacing w:val="-52"/>
        </w:rPr>
        <w:t> </w:t>
      </w:r>
      <w:r>
        <w:rPr>
          <w:spacing w:val="-52"/>
        </w:rPr>
      </w:r>
      <w:r>
        <w:rPr/>
        <w:t>注</w:t>
      </w:r>
      <w:r>
        <w:rPr>
          <w:rFonts w:ascii="Times New Roman" w:hAnsi="Times New Roman" w:cs="Times New Roman" w:eastAsia="Times New Roman" w:hint="default"/>
        </w:rPr>
        <w:t>4</w:t>
      </w:r>
      <w:r>
        <w:rPr/>
        <w:t>：公司控股子公司北京泰岳智桥信息技术有限公司持有北京裂变科技有限公司</w:t>
      </w:r>
      <w:r>
        <w:rPr>
          <w:rFonts w:ascii="Times New Roman" w:hAnsi="Times New Roman" w:cs="Times New Roman" w:eastAsia="Times New Roman" w:hint="default"/>
        </w:rPr>
        <w:t>26%</w:t>
      </w:r>
      <w:r>
        <w:rPr/>
        <w:t>股权，不参与日常经营，不具备重大 影响，按可供出售金融资产核算。</w:t>
      </w:r>
    </w:p>
    <w:p>
      <w:pPr>
        <w:pStyle w:val="BodyText"/>
        <w:spacing w:line="319" w:lineRule="auto" w:before="56"/>
        <w:ind w:left="134" w:right="1132"/>
        <w:jc w:val="both"/>
      </w:pPr>
      <w:r>
        <w:rPr>
          <w:spacing w:val="-4"/>
        </w:rPr>
        <w:t>注</w:t>
      </w:r>
      <w:r>
        <w:rPr>
          <w:rFonts w:ascii="Times New Roman" w:hAnsi="Times New Roman" w:cs="Times New Roman" w:eastAsia="Times New Roman" w:hint="default"/>
          <w:spacing w:val="-4"/>
        </w:rPr>
        <w:t>5</w:t>
      </w:r>
      <w:r>
        <w:rPr>
          <w:spacing w:val="-4"/>
        </w:rPr>
        <w:t>：公司持有广州泰岳指咚软件技术有限公司</w:t>
      </w:r>
      <w:r>
        <w:rPr>
          <w:rFonts w:ascii="Times New Roman" w:hAnsi="Times New Roman" w:cs="Times New Roman" w:eastAsia="Times New Roman" w:hint="default"/>
          <w:spacing w:val="-4"/>
        </w:rPr>
        <w:t>20.00%</w:t>
      </w:r>
      <w:r>
        <w:rPr>
          <w:spacing w:val="-4"/>
        </w:rPr>
        <w:t>股权，不参与日常经营，不具备重大影响，按可供出售金融资产核算。</w:t>
      </w:r>
      <w:r>
        <w:rPr>
          <w:spacing w:val="-48"/>
        </w:rPr>
        <w:t> </w:t>
      </w:r>
      <w:r>
        <w:rPr>
          <w:spacing w:val="-48"/>
        </w:rPr>
      </w:r>
      <w:r>
        <w:rPr/>
        <w:t>注</w:t>
      </w:r>
      <w:r>
        <w:rPr>
          <w:rFonts w:ascii="Times New Roman" w:hAnsi="Times New Roman" w:cs="Times New Roman" w:eastAsia="Times New Roman" w:hint="default"/>
        </w:rPr>
        <w:t>6</w:t>
      </w:r>
      <w:r>
        <w:rPr/>
        <w:t>：公司</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月与天津嘉泰仁和科技合伙企业（有限合伙）共同出资设立北京玄一科技有限公司，注册资本</w:t>
      </w:r>
      <w:r>
        <w:rPr>
          <w:rFonts w:ascii="Times New Roman" w:hAnsi="Times New Roman" w:cs="Times New Roman" w:eastAsia="Times New Roman" w:hint="default"/>
        </w:rPr>
        <w:t>100</w:t>
      </w:r>
      <w:r>
        <w:rPr/>
        <w:t>万元人 民币，公司投资比例</w:t>
      </w:r>
      <w:r>
        <w:rPr>
          <w:rFonts w:ascii="Times New Roman" w:hAnsi="Times New Roman" w:cs="Times New Roman" w:eastAsia="Times New Roman" w:hint="default"/>
        </w:rPr>
        <w:t>36%</w:t>
      </w:r>
      <w:r>
        <w:rPr/>
        <w:t>。公司</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月至</w:t>
      </w:r>
      <w:r>
        <w:rPr>
          <w:rFonts w:ascii="Times New Roman" w:hAnsi="Times New Roman" w:cs="Times New Roman" w:eastAsia="Times New Roman" w:hint="default"/>
        </w:rPr>
        <w:t>12</w:t>
      </w:r>
      <w:r>
        <w:rPr/>
        <w:t>月对其按权益法进行核算。根据</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月签订的股份转让及增资协议，公</w:t>
      </w:r>
    </w:p>
    <w:p>
      <w:pPr>
        <w:pStyle w:val="BodyText"/>
        <w:spacing w:line="302" w:lineRule="auto"/>
        <w:ind w:left="134" w:right="1131"/>
        <w:jc w:val="both"/>
      </w:pPr>
      <w:r>
        <w:rPr/>
        <w:t>司对其持股比例最终将降至</w:t>
      </w:r>
      <w:r>
        <w:rPr>
          <w:rFonts w:ascii="Times New Roman" w:hAnsi="Times New Roman" w:cs="Times New Roman" w:eastAsia="Times New Roman" w:hint="default"/>
        </w:rPr>
        <w:t>19.68%</w:t>
      </w:r>
      <w:r>
        <w:rPr/>
        <w:t>，对其已无重大影响，故纳入可供出售金融资产科目按成本法核算。截至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 </w:t>
      </w:r>
      <w:r>
        <w:rPr/>
        <w:t>日，由于增资的工商变更尚未完成，公司期末对其持股比例为</w:t>
      </w:r>
      <w:r>
        <w:rPr>
          <w:rFonts w:ascii="Times New Roman" w:hAnsi="Times New Roman" w:cs="Times New Roman" w:eastAsia="Times New Roman" w:hint="default"/>
        </w:rPr>
        <w:t>22.36%</w:t>
      </w:r>
      <w:r>
        <w:rPr/>
        <w:t>。</w:t>
      </w:r>
    </w:p>
    <w:p>
      <w:pPr>
        <w:pStyle w:val="BodyText"/>
        <w:spacing w:line="300" w:lineRule="auto" w:before="50"/>
        <w:ind w:left="134" w:right="1131"/>
        <w:jc w:val="left"/>
      </w:pPr>
      <w:r>
        <w:rPr>
          <w:spacing w:val="-3"/>
        </w:rPr>
        <w:t>注</w:t>
      </w:r>
      <w:r>
        <w:rPr>
          <w:rFonts w:ascii="Times New Roman" w:hAnsi="Times New Roman" w:cs="Times New Roman" w:eastAsia="Times New Roman" w:hint="default"/>
          <w:spacing w:val="-3"/>
        </w:rPr>
        <w:t>7</w:t>
      </w:r>
      <w:r>
        <w:rPr>
          <w:spacing w:val="-3"/>
        </w:rPr>
        <w:t>：根据</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4</w:t>
      </w:r>
      <w:r>
        <w:rPr>
          <w:spacing w:val="-3"/>
        </w:rPr>
        <w:t>日第六届董事会第三十八次会议审议通过转让股权的议案，公司与相关方签订股权转让协议，截止</w:t>
      </w:r>
      <w:r>
        <w:rPr>
          <w:rFonts w:ascii="Times New Roman" w:hAnsi="Times New Roman" w:cs="Times New Roman" w:eastAsia="Times New Roman" w:hint="default"/>
          <w:spacing w:val="-3"/>
        </w:rPr>
        <w:t>2018</w:t>
      </w:r>
      <w:r>
        <w:rPr>
          <w:rFonts w:ascii="Times New Roman" w:hAnsi="Times New Roman" w:cs="Times New Roman" w:eastAsia="Times New Roman" w:hint="default"/>
          <w:spacing w:val="-39"/>
        </w:rPr>
        <w:t> </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30</w:t>
      </w:r>
      <w:r>
        <w:rPr/>
        <w:t>日，子公司神州泰岳（香港）有限公司、</w:t>
      </w:r>
      <w:r>
        <w:rPr>
          <w:rFonts w:ascii="Times New Roman" w:hAnsi="Times New Roman" w:cs="Times New Roman" w:eastAsia="Times New Roman" w:hint="default"/>
        </w:rPr>
        <w:t>Bridge Minds Consulting Pte Ltd</w:t>
      </w:r>
      <w:r>
        <w:rPr/>
        <w:t>分别处置其所持有的</w:t>
      </w:r>
      <w:r>
        <w:rPr>
          <w:rFonts w:ascii="Times New Roman" w:hAnsi="Times New Roman" w:cs="Times New Roman" w:eastAsia="Times New Roman" w:hint="default"/>
        </w:rPr>
        <w:t>Ultrapower 360 Pte.</w:t>
      </w:r>
      <w:r>
        <w:rPr>
          <w:rFonts w:ascii="Times New Roman" w:hAnsi="Times New Roman" w:cs="Times New Roman" w:eastAsia="Times New Roman" w:hint="default"/>
          <w:spacing w:val="-11"/>
        </w:rPr>
        <w:t> </w:t>
      </w:r>
      <w:r>
        <w:rPr>
          <w:rFonts w:ascii="Times New Roman" w:hAnsi="Times New Roman" w:cs="Times New Roman" w:eastAsia="Times New Roman" w:hint="default"/>
        </w:rPr>
        <w:t>Ltd</w:t>
      </w:r>
      <w:r>
        <w:rPr>
          <w:rFonts w:ascii="Times New Roman" w:hAnsi="Times New Roman" w:cs="Times New Roman" w:eastAsia="Times New Roman" w:hint="default"/>
        </w:rPr>
        <w:t> </w:t>
      </w:r>
      <w:r>
        <w:rPr>
          <w:spacing w:val="-3"/>
        </w:rPr>
        <w:t>的</w:t>
      </w:r>
      <w:r>
        <w:rPr>
          <w:rFonts w:ascii="Times New Roman" w:hAnsi="Times New Roman" w:cs="Times New Roman" w:eastAsia="Times New Roman" w:hint="default"/>
          <w:spacing w:val="-3"/>
        </w:rPr>
        <w:t>5%</w:t>
      </w:r>
      <w:r>
        <w:rPr>
          <w:spacing w:val="-3"/>
        </w:rPr>
        <w:t>及</w:t>
      </w:r>
      <w:r>
        <w:rPr>
          <w:rFonts w:ascii="Times New Roman" w:hAnsi="Times New Roman" w:cs="Times New Roman" w:eastAsia="Times New Roman" w:hint="default"/>
          <w:spacing w:val="-3"/>
        </w:rPr>
        <w:t>8.75%</w:t>
      </w:r>
      <w:r>
        <w:rPr>
          <w:spacing w:val="-3"/>
        </w:rPr>
        <w:t>的股权，处置完成后公司合计持有</w:t>
      </w:r>
      <w:r>
        <w:rPr>
          <w:rFonts w:ascii="Times New Roman" w:hAnsi="Times New Roman" w:cs="Times New Roman" w:eastAsia="Times New Roman" w:hint="default"/>
          <w:spacing w:val="-3"/>
        </w:rPr>
        <w:t>Ultrapower</w:t>
      </w:r>
      <w:r>
        <w:rPr>
          <w:rFonts w:ascii="Times New Roman" w:hAnsi="Times New Roman" w:cs="Times New Roman" w:eastAsia="Times New Roman" w:hint="default"/>
          <w:spacing w:val="7"/>
        </w:rPr>
        <w:t> </w:t>
      </w:r>
      <w:r>
        <w:rPr>
          <w:rFonts w:ascii="Times New Roman" w:hAnsi="Times New Roman" w:cs="Times New Roman" w:eastAsia="Times New Roman" w:hint="default"/>
        </w:rPr>
        <w:t>360</w:t>
      </w:r>
      <w:r>
        <w:rPr>
          <w:rFonts w:ascii="Times New Roman" w:hAnsi="Times New Roman" w:cs="Times New Roman" w:eastAsia="Times New Roman" w:hint="default"/>
          <w:spacing w:val="7"/>
        </w:rPr>
        <w:t> </w:t>
      </w:r>
      <w:r>
        <w:rPr>
          <w:rFonts w:ascii="Times New Roman" w:hAnsi="Times New Roman" w:cs="Times New Roman" w:eastAsia="Times New Roman" w:hint="default"/>
          <w:w w:val="99"/>
        </w:rPr>
        <w:t>Pte.</w:t>
      </w:r>
      <w:r>
        <w:rPr>
          <w:rFonts w:ascii="Times New Roman" w:hAnsi="Times New Roman" w:cs="Times New Roman" w:eastAsia="Times New Roman" w:hint="default"/>
          <w:spacing w:val="6"/>
          <w:w w:val="99"/>
        </w:rPr>
        <w:t> </w:t>
      </w:r>
      <w:r>
        <w:rPr>
          <w:rFonts w:ascii="Times New Roman" w:hAnsi="Times New Roman" w:cs="Times New Roman" w:eastAsia="Times New Roman" w:hint="default"/>
          <w:spacing w:val="-1"/>
        </w:rPr>
        <w:t>Ltd</w:t>
      </w:r>
      <w:r>
        <w:rPr>
          <w:rFonts w:ascii="Times New Roman" w:hAnsi="Times New Roman" w:cs="Times New Roman" w:eastAsia="Times New Roman" w:hint="default"/>
          <w:spacing w:val="7"/>
        </w:rPr>
        <w:t> </w:t>
      </w:r>
      <w:r>
        <w:rPr>
          <w:rFonts w:ascii="Times New Roman" w:hAnsi="Times New Roman" w:cs="Times New Roman" w:eastAsia="Times New Roman" w:hint="default"/>
          <w:spacing w:val="-7"/>
        </w:rPr>
        <w:t>41.25%</w:t>
      </w:r>
      <w:r>
        <w:rPr>
          <w:spacing w:val="-7"/>
        </w:rPr>
        <w:t>的股权，工商变更、业务及财务工作交接完成，</w:t>
      </w:r>
      <w:r>
        <w:rPr>
          <w:spacing w:val="-88"/>
        </w:rPr>
        <w:t> </w:t>
      </w:r>
      <w:r>
        <w:rPr>
          <w:spacing w:val="-88"/>
        </w:rPr>
      </w:r>
      <w:r>
        <w:rPr>
          <w:spacing w:val="-1"/>
        </w:rPr>
        <w:t>公司不再对其实施控制，采用权益法核算。</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7-12</w:t>
      </w:r>
      <w:r>
        <w:rPr>
          <w:spacing w:val="-1"/>
        </w:rPr>
        <w:t>月按权益法核算，期末该长期股权投资投资账面价值为零。根据</w:t>
      </w:r>
      <w:r>
        <w:rPr>
          <w:rFonts w:ascii="Times New Roman" w:hAnsi="Times New Roman" w:cs="Times New Roman" w:eastAsia="Times New Roman" w:hint="default"/>
          <w:spacing w:val="-1"/>
        </w:rPr>
        <w:t>2018</w:t>
      </w:r>
      <w:r>
        <w:rPr>
          <w:rFonts w:ascii="Times New Roman" w:hAnsi="Times New Roman" w:cs="Times New Roman" w:eastAsia="Times New Roman" w:hint="default"/>
          <w:spacing w:val="-40"/>
        </w:rPr>
        <w:t> </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13</w:t>
      </w:r>
      <w:r>
        <w:rPr>
          <w:spacing w:val="-2"/>
        </w:rPr>
        <w:t>日第六届董事会第四十五次会议审议通过转让股权的议案，公司与相关方签订股权转让协议，神州泰岳（香港）有</w:t>
      </w:r>
      <w:r>
        <w:rPr>
          <w:spacing w:val="-62"/>
        </w:rPr>
        <w:t> </w:t>
      </w:r>
      <w:r>
        <w:rPr>
          <w:spacing w:val="-62"/>
        </w:rPr>
      </w:r>
      <w:r>
        <w:rPr/>
        <w:t>限公司、</w:t>
      </w:r>
      <w:r>
        <w:rPr>
          <w:rFonts w:ascii="Times New Roman" w:hAnsi="Times New Roman" w:cs="Times New Roman" w:eastAsia="Times New Roman" w:hint="default"/>
        </w:rPr>
        <w:t>Bridge Minds Consulting Pte Ltd</w:t>
      </w:r>
      <w:r>
        <w:rPr/>
        <w:t>分别再次处置其所持有的</w:t>
      </w:r>
      <w:r>
        <w:rPr>
          <w:rFonts w:ascii="Times New Roman" w:hAnsi="Times New Roman" w:cs="Times New Roman" w:eastAsia="Times New Roman" w:hint="default"/>
        </w:rPr>
        <w:t>Ultrapower 360 Pte.</w:t>
      </w:r>
      <w:r>
        <w:rPr>
          <w:rFonts w:ascii="Times New Roman" w:hAnsi="Times New Roman" w:cs="Times New Roman" w:eastAsia="Times New Roman" w:hint="default"/>
          <w:spacing w:val="-9"/>
        </w:rPr>
        <w:t> </w:t>
      </w:r>
      <w:r>
        <w:rPr>
          <w:rFonts w:ascii="Times New Roman" w:hAnsi="Times New Roman" w:cs="Times New Roman" w:eastAsia="Times New Roman" w:hint="default"/>
        </w:rPr>
        <w:t>Ltd</w:t>
      </w:r>
      <w:r>
        <w:rPr/>
        <w:t>的</w:t>
      </w:r>
      <w:r>
        <w:rPr>
          <w:rFonts w:ascii="Times New Roman" w:hAnsi="Times New Roman" w:cs="Times New Roman" w:eastAsia="Times New Roman" w:hint="default"/>
        </w:rPr>
        <w:t>15%</w:t>
      </w:r>
      <w:r>
        <w:rPr/>
        <w:t>及</w:t>
      </w:r>
      <w:r>
        <w:rPr>
          <w:rFonts w:ascii="Times New Roman" w:hAnsi="Times New Roman" w:cs="Times New Roman" w:eastAsia="Times New Roman" w:hint="default"/>
        </w:rPr>
        <w:t>7.25%</w:t>
      </w:r>
      <w:r>
        <w:rPr/>
        <w:t>的股权，第二次处置 完成后公司持有</w:t>
      </w:r>
      <w:r>
        <w:rPr>
          <w:rFonts w:ascii="Times New Roman" w:hAnsi="Times New Roman" w:cs="Times New Roman" w:eastAsia="Times New Roman" w:hint="default"/>
        </w:rPr>
        <w:t>Ultrapower 360 Pte. Ltd</w:t>
      </w:r>
      <w:r>
        <w:rPr>
          <w:rFonts w:ascii="Times New Roman" w:hAnsi="Times New Roman" w:cs="Times New Roman" w:eastAsia="Times New Roman" w:hint="default"/>
          <w:spacing w:val="42"/>
        </w:rPr>
        <w:t> </w:t>
      </w:r>
      <w:r>
        <w:rPr/>
        <w:t>股权比例降至</w:t>
      </w:r>
      <w:r>
        <w:rPr>
          <w:rFonts w:ascii="Times New Roman" w:hAnsi="Times New Roman" w:cs="Times New Roman" w:eastAsia="Times New Roman" w:hint="default"/>
        </w:rPr>
        <w:t>19%</w:t>
      </w:r>
      <w:r>
        <w:rPr/>
        <w:t>，对其无重大影响，故期末纳入可供出售金融资产科目按成本法 核算，金额为</w:t>
      </w:r>
      <w:r>
        <w:rPr>
          <w:rFonts w:ascii="Times New Roman" w:hAnsi="Times New Roman" w:cs="Times New Roman" w:eastAsia="Times New Roman" w:hint="default"/>
        </w:rPr>
        <w:t>0</w:t>
      </w:r>
      <w:r>
        <w:rPr/>
        <w:t>。</w:t>
      </w:r>
    </w:p>
    <w:p>
      <w:pPr>
        <w:spacing w:line="240" w:lineRule="auto" w:before="12"/>
        <w:rPr>
          <w:rFonts w:ascii="宋体" w:hAnsi="宋体" w:cs="宋体" w:eastAsia="宋体" w:hint="default"/>
          <w:sz w:val="21"/>
          <w:szCs w:val="21"/>
        </w:rPr>
      </w:pPr>
    </w:p>
    <w:p>
      <w:pPr>
        <w:pStyle w:val="Heading3"/>
        <w:spacing w:line="240" w:lineRule="auto"/>
        <w:ind w:left="134" w:right="0"/>
        <w:jc w:val="both"/>
        <w:rPr>
          <w:b w:val="0"/>
          <w:bCs w:val="0"/>
        </w:rPr>
      </w:pPr>
      <w:bookmarkStart w:name="（4）报告期内可供出售金融资产减值的变动情况" w:id="258"/>
      <w:bookmarkEnd w:id="258"/>
      <w:r>
        <w:rPr>
          <w:b w:val="0"/>
          <w:bCs w:val="0"/>
        </w:rPr>
      </w:r>
      <w:r>
        <w:rPr/>
        <w:t>（</w:t>
      </w:r>
      <w:r>
        <w:rPr>
          <w:rFonts w:ascii="Times New Roman" w:hAnsi="Times New Roman" w:cs="Times New Roman" w:eastAsia="Times New Roman" w:hint="default"/>
        </w:rPr>
        <w:t>4</w:t>
      </w:r>
      <w:r>
        <w:rPr/>
        <w:t>）报告期内可供出售金融资产减值的变动情况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3" w:type="dxa"/>
        <w:tblLayout w:type="fixed"/>
        <w:tblCellMar>
          <w:top w:w="0" w:type="dxa"/>
          <w:left w:w="0" w:type="dxa"/>
          <w:bottom w:w="0" w:type="dxa"/>
          <w:right w:w="0" w:type="dxa"/>
        </w:tblCellMar>
        <w:tblLook w:val="01E0"/>
      </w:tblPr>
      <w:tblGrid>
        <w:gridCol w:w="2400"/>
        <w:gridCol w:w="2435"/>
        <w:gridCol w:w="2424"/>
        <w:gridCol w:w="2424"/>
      </w:tblGrid>
      <w:tr>
        <w:trPr>
          <w:trHeight w:val="402" w:hRule="exact"/>
        </w:trPr>
        <w:tc>
          <w:tcPr>
            <w:tcW w:w="2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94" w:right="0"/>
              <w:jc w:val="left"/>
              <w:rPr>
                <w:rFonts w:ascii="宋体" w:hAnsi="宋体" w:cs="宋体" w:eastAsia="宋体" w:hint="default"/>
                <w:sz w:val="18"/>
                <w:szCs w:val="18"/>
              </w:rPr>
            </w:pPr>
            <w:r>
              <w:rPr>
                <w:rFonts w:ascii="宋体" w:hAnsi="宋体" w:cs="宋体" w:eastAsia="宋体" w:hint="default"/>
                <w:sz w:val="18"/>
                <w:szCs w:val="18"/>
              </w:rPr>
              <w:t>可供出售金融资产分类</w:t>
            </w:r>
          </w:p>
        </w:tc>
        <w:tc>
          <w:tcPr>
            <w:tcW w:w="2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7"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24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85"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24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2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期初已计提减值余额</w:t>
            </w:r>
          </w:p>
        </w:tc>
        <w:tc>
          <w:tcPr>
            <w:tcW w:w="243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400,000.00</w:t>
            </w:r>
          </w:p>
        </w:tc>
        <w:tc>
          <w:tcPr>
            <w:tcW w:w="2424" w:type="dxa"/>
            <w:tcBorders>
              <w:top w:val="single" w:sz="4" w:space="0" w:color="000000"/>
              <w:left w:val="single" w:sz="4" w:space="0" w:color="000000"/>
              <w:bottom w:val="single" w:sz="4" w:space="0" w:color="000000"/>
              <w:right w:val="single" w:sz="4" w:space="0" w:color="000000"/>
            </w:tcBorders>
          </w:tcPr>
          <w:p>
            <w:pP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400,000.00</w:t>
            </w:r>
          </w:p>
        </w:tc>
      </w:tr>
      <w:tr>
        <w:trPr>
          <w:trHeight w:val="402" w:hRule="exact"/>
        </w:trPr>
        <w:tc>
          <w:tcPr>
            <w:tcW w:w="2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243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1,140,000.00</w:t>
            </w:r>
          </w:p>
        </w:tc>
        <w:tc>
          <w:tcPr>
            <w:tcW w:w="2424" w:type="dxa"/>
            <w:tcBorders>
              <w:top w:val="single" w:sz="4" w:space="0" w:color="000000"/>
              <w:left w:val="single" w:sz="4" w:space="0" w:color="000000"/>
              <w:bottom w:val="single" w:sz="4" w:space="0" w:color="000000"/>
              <w:right w:val="single" w:sz="4" w:space="0" w:color="000000"/>
            </w:tcBorders>
          </w:tcPr>
          <w:p>
            <w:pP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1,140,000.00</w:t>
            </w:r>
          </w:p>
        </w:tc>
      </w:tr>
      <w:tr>
        <w:trPr>
          <w:trHeight w:val="403" w:hRule="exact"/>
        </w:trPr>
        <w:tc>
          <w:tcPr>
            <w:tcW w:w="2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期末已计提减值余额</w:t>
            </w:r>
          </w:p>
        </w:tc>
        <w:tc>
          <w:tcPr>
            <w:tcW w:w="243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1,540,000.00</w:t>
            </w:r>
          </w:p>
        </w:tc>
        <w:tc>
          <w:tcPr>
            <w:tcW w:w="2424" w:type="dxa"/>
            <w:tcBorders>
              <w:top w:val="single" w:sz="4" w:space="0" w:color="000000"/>
              <w:left w:val="single" w:sz="4" w:space="0" w:color="000000"/>
              <w:bottom w:val="single" w:sz="4" w:space="0" w:color="000000"/>
              <w:right w:val="single" w:sz="4" w:space="0" w:color="000000"/>
            </w:tcBorders>
          </w:tcPr>
          <w:p>
            <w:pP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1,540,000.00</w:t>
            </w:r>
          </w:p>
        </w:tc>
      </w:tr>
    </w:tbl>
    <w:p>
      <w:pPr>
        <w:spacing w:line="240" w:lineRule="auto" w:before="2"/>
        <w:rPr>
          <w:rFonts w:ascii="宋体" w:hAnsi="宋体" w:cs="宋体" w:eastAsia="宋体" w:hint="default"/>
          <w:sz w:val="19"/>
          <w:szCs w:val="19"/>
        </w:rPr>
      </w:pPr>
    </w:p>
    <w:p>
      <w:pPr>
        <w:pStyle w:val="Heading3"/>
        <w:spacing w:line="240" w:lineRule="auto" w:before="35"/>
        <w:ind w:left="134" w:right="1032"/>
        <w:jc w:val="left"/>
        <w:rPr>
          <w:b w:val="0"/>
          <w:bCs w:val="0"/>
        </w:rPr>
      </w:pPr>
      <w:bookmarkStart w:name="（5）可供出售权益工具期末公允价值严重下跌或非暂时性下跌但未计提减值准备的相关说" w:id="259"/>
      <w:bookmarkEnd w:id="259"/>
      <w:r>
        <w:rPr>
          <w:b w:val="0"/>
          <w:bCs w:val="0"/>
        </w:rPr>
      </w:r>
      <w:r>
        <w:rPr/>
        <w:t>（</w:t>
      </w:r>
      <w:r>
        <w:rPr>
          <w:rFonts w:ascii="Times New Roman" w:hAnsi="Times New Roman" w:cs="Times New Roman" w:eastAsia="Times New Roman" w:hint="default"/>
        </w:rPr>
        <w:t>5</w:t>
      </w:r>
      <w:r>
        <w:rPr/>
        <w:t>）可供出售权益工具期末公允价值严重下跌或非暂时性下跌但未计提减值准备的相关说明</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494" w:right="7680"/>
        <w:jc w:val="left"/>
      </w:pPr>
      <w:r>
        <w:rPr/>
        <w:t>无。</w:t>
      </w:r>
    </w:p>
    <w:p>
      <w:pPr>
        <w:spacing w:line="240" w:lineRule="auto" w:before="10"/>
        <w:rPr>
          <w:rFonts w:ascii="宋体" w:hAnsi="宋体" w:cs="宋体" w:eastAsia="宋体" w:hint="default"/>
          <w:sz w:val="26"/>
          <w:szCs w:val="26"/>
        </w:rPr>
      </w:pPr>
    </w:p>
    <w:p>
      <w:pPr>
        <w:pStyle w:val="Heading3"/>
        <w:spacing w:line="240" w:lineRule="auto"/>
        <w:ind w:left="134" w:right="7680"/>
        <w:jc w:val="left"/>
        <w:rPr>
          <w:b w:val="0"/>
          <w:bCs w:val="0"/>
        </w:rPr>
      </w:pPr>
      <w:bookmarkStart w:name="12、持有至到期投资" w:id="260"/>
      <w:bookmarkEnd w:id="260"/>
      <w:r>
        <w:rPr>
          <w:b w:val="0"/>
          <w:bCs w:val="0"/>
        </w:rPr>
      </w:r>
      <w:r>
        <w:rPr>
          <w:rFonts w:ascii="Times New Roman" w:hAnsi="Times New Roman" w:cs="Times New Roman" w:eastAsia="Times New Roman" w:hint="default"/>
        </w:rPr>
        <w:t>12</w:t>
      </w:r>
      <w:r>
        <w:rPr/>
        <w:t>、持有至到期投资</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494" w:right="7680"/>
        <w:jc w:val="left"/>
      </w:pPr>
      <w:r>
        <w:rPr/>
        <w:t>无。</w:t>
      </w:r>
    </w:p>
    <w:p>
      <w:pPr>
        <w:spacing w:after="0" w:line="240" w:lineRule="auto"/>
        <w:jc w:val="left"/>
        <w:sectPr>
          <w:pgSz w:w="11910" w:h="16840"/>
          <w:pgMar w:header="851" w:footer="979" w:top="1400" w:bottom="1160" w:left="100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13、长期应收款" w:id="261"/>
      <w:bookmarkEnd w:id="261"/>
      <w:r>
        <w:rPr>
          <w:b w:val="0"/>
          <w:bCs w:val="0"/>
        </w:rPr>
      </w:r>
      <w:r>
        <w:rPr>
          <w:rFonts w:ascii="Times New Roman" w:hAnsi="Times New Roman" w:cs="Times New Roman" w:eastAsia="Times New Roman" w:hint="default"/>
        </w:rPr>
        <w:t>13</w:t>
      </w:r>
      <w:r>
        <w:rPr/>
        <w:t>、长期应收款</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14" w:right="0"/>
        <w:jc w:val="left"/>
      </w:pPr>
      <w:r>
        <w:rPr/>
        <w:t>无。</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14、长期股权投资" w:id="262"/>
      <w:bookmarkEnd w:id="262"/>
      <w:r>
        <w:rPr>
          <w:b w:val="0"/>
          <w:bCs w:val="0"/>
        </w:rPr>
      </w:r>
      <w:r>
        <w:rPr>
          <w:rFonts w:ascii="Times New Roman" w:hAnsi="Times New Roman" w:cs="Times New Roman" w:eastAsia="Times New Roman" w:hint="default"/>
        </w:rPr>
        <w:t>14</w:t>
      </w:r>
      <w:r>
        <w:rPr/>
        <w:t>、长期股权投资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117"/>
        <w:gridCol w:w="999"/>
        <w:gridCol w:w="708"/>
        <w:gridCol w:w="567"/>
        <w:gridCol w:w="851"/>
        <w:gridCol w:w="851"/>
        <w:gridCol w:w="567"/>
        <w:gridCol w:w="1134"/>
        <w:gridCol w:w="562"/>
        <w:gridCol w:w="611"/>
        <w:gridCol w:w="1101"/>
        <w:gridCol w:w="495"/>
      </w:tblGrid>
      <w:tr>
        <w:trPr>
          <w:trHeight w:val="397" w:hRule="exact"/>
        </w:trPr>
        <w:tc>
          <w:tcPr>
            <w:tcW w:w="1117" w:type="dxa"/>
            <w:vMerge w:val="restart"/>
            <w:tcBorders>
              <w:top w:val="single" w:sz="4" w:space="0" w:color="000000"/>
              <w:left w:val="single" w:sz="4" w:space="0" w:color="000000"/>
              <w:right w:val="single" w:sz="4" w:space="0" w:color="000000"/>
            </w:tcBorders>
            <w:shd w:val="clear" w:color="auto" w:fill="D2D2D2"/>
          </w:tcPr>
          <w:p>
            <w:pPr/>
          </w:p>
        </w:tc>
        <w:tc>
          <w:tcPr>
            <w:tcW w:w="999" w:type="dxa"/>
            <w:vMerge w:val="restart"/>
            <w:tcBorders>
              <w:top w:val="single" w:sz="4" w:space="0" w:color="000000"/>
              <w:left w:val="single" w:sz="4" w:space="0" w:color="000000"/>
              <w:right w:val="single" w:sz="4" w:space="0" w:color="000000"/>
            </w:tcBorders>
            <w:shd w:val="clear" w:color="auto" w:fill="D2D2D2"/>
          </w:tcPr>
          <w:p>
            <w:pPr/>
          </w:p>
        </w:tc>
        <w:tc>
          <w:tcPr>
            <w:tcW w:w="5850"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1101" w:type="dxa"/>
            <w:vMerge w:val="restart"/>
            <w:tcBorders>
              <w:top w:val="single" w:sz="4" w:space="0" w:color="000000"/>
              <w:left w:val="single" w:sz="4" w:space="0" w:color="000000"/>
              <w:right w:val="single" w:sz="4" w:space="0" w:color="000000"/>
            </w:tcBorders>
            <w:shd w:val="clear" w:color="auto" w:fill="D2D2D2"/>
          </w:tcPr>
          <w:p>
            <w:pPr/>
          </w:p>
        </w:tc>
        <w:tc>
          <w:tcPr>
            <w:tcW w:w="49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59" w:right="65"/>
              <w:jc w:val="both"/>
              <w:rPr>
                <w:rFonts w:ascii="宋体" w:hAnsi="宋体" w:cs="宋体" w:eastAsia="宋体" w:hint="default"/>
                <w:sz w:val="18"/>
                <w:szCs w:val="18"/>
              </w:rPr>
            </w:pPr>
            <w:r>
              <w:rPr>
                <w:rFonts w:ascii="宋体" w:hAnsi="宋体" w:cs="宋体" w:eastAsia="宋体" w:hint="default"/>
                <w:sz w:val="18"/>
                <w:szCs w:val="18"/>
              </w:rPr>
              <w:t>减值 准备 期末 余额</w:t>
            </w:r>
          </w:p>
        </w:tc>
      </w:tr>
      <w:tr>
        <w:trPr>
          <w:trHeight w:val="121" w:hRule="exact"/>
        </w:trPr>
        <w:tc>
          <w:tcPr>
            <w:tcW w:w="1117" w:type="dxa"/>
            <w:vMerge/>
            <w:tcBorders>
              <w:left w:val="single" w:sz="4" w:space="0" w:color="000000"/>
              <w:bottom w:val="nil" w:sz="6" w:space="0" w:color="auto"/>
              <w:right w:val="single" w:sz="4" w:space="0" w:color="000000"/>
            </w:tcBorders>
            <w:shd w:val="clear" w:color="auto" w:fill="D2D2D2"/>
          </w:tcPr>
          <w:p>
            <w:pPr/>
          </w:p>
        </w:tc>
        <w:tc>
          <w:tcPr>
            <w:tcW w:w="999" w:type="dxa"/>
            <w:vMerge/>
            <w:tcBorders>
              <w:left w:val="single" w:sz="4" w:space="0" w:color="000000"/>
              <w:bottom w:val="nil" w:sz="6" w:space="0" w:color="auto"/>
              <w:right w:val="single" w:sz="4" w:space="0" w:color="000000"/>
            </w:tcBorders>
            <w:shd w:val="clear" w:color="auto" w:fill="D2D2D2"/>
          </w:tcPr>
          <w:p>
            <w:pPr/>
          </w:p>
        </w:tc>
        <w:tc>
          <w:tcPr>
            <w:tcW w:w="708" w:type="dxa"/>
            <w:tcBorders>
              <w:top w:val="single" w:sz="4" w:space="0" w:color="000000"/>
              <w:left w:val="single" w:sz="4" w:space="0" w:color="000000"/>
              <w:bottom w:val="nil" w:sz="6" w:space="0" w:color="auto"/>
              <w:right w:val="single" w:sz="4" w:space="0" w:color="000000"/>
            </w:tcBorders>
            <w:shd w:val="clear" w:color="auto" w:fill="D2D2D2"/>
          </w:tcPr>
          <w:p>
            <w:pPr/>
          </w:p>
        </w:tc>
        <w:tc>
          <w:tcPr>
            <w:tcW w:w="567" w:type="dxa"/>
            <w:tcBorders>
              <w:top w:val="single" w:sz="4" w:space="0" w:color="000000"/>
              <w:left w:val="single" w:sz="4" w:space="0" w:color="000000"/>
              <w:bottom w:val="nil" w:sz="6" w:space="0" w:color="auto"/>
              <w:right w:val="single" w:sz="4" w:space="0" w:color="000000"/>
            </w:tcBorders>
            <w:shd w:val="clear" w:color="auto" w:fill="D2D2D2"/>
          </w:tcPr>
          <w:p>
            <w:pPr/>
          </w:p>
        </w:tc>
        <w:tc>
          <w:tcPr>
            <w:tcW w:w="85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60" w:right="59"/>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851" w:type="dxa"/>
            <w:tcBorders>
              <w:top w:val="single" w:sz="4" w:space="0" w:color="000000"/>
              <w:left w:val="single" w:sz="4" w:space="0" w:color="000000"/>
              <w:bottom w:val="nil" w:sz="6" w:space="0" w:color="auto"/>
              <w:right w:val="single" w:sz="4" w:space="0" w:color="000000"/>
            </w:tcBorders>
            <w:shd w:val="clear" w:color="auto" w:fill="D2D2D2"/>
          </w:tcPr>
          <w:p>
            <w:pPr/>
          </w:p>
        </w:tc>
        <w:tc>
          <w:tcPr>
            <w:tcW w:w="56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98" w:right="96"/>
              <w:jc w:val="both"/>
              <w:rPr>
                <w:rFonts w:ascii="宋体" w:hAnsi="宋体" w:cs="宋体" w:eastAsia="宋体" w:hint="default"/>
                <w:sz w:val="18"/>
                <w:szCs w:val="18"/>
              </w:rPr>
            </w:pPr>
            <w:r>
              <w:rPr>
                <w:rFonts w:ascii="宋体" w:hAnsi="宋体" w:cs="宋体" w:eastAsia="宋体" w:hint="default"/>
                <w:sz w:val="18"/>
                <w:szCs w:val="18"/>
              </w:rPr>
              <w:t>其他 权益 变动</w:t>
            </w:r>
          </w:p>
        </w:tc>
        <w:tc>
          <w:tcPr>
            <w:tcW w:w="113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111" w:right="110"/>
              <w:jc w:val="center"/>
              <w:rPr>
                <w:rFonts w:ascii="宋体" w:hAnsi="宋体" w:cs="宋体" w:eastAsia="宋体" w:hint="default"/>
                <w:sz w:val="18"/>
                <w:szCs w:val="18"/>
              </w:rPr>
            </w:pPr>
            <w:r>
              <w:rPr>
                <w:rFonts w:ascii="宋体" w:hAnsi="宋体" w:cs="宋体" w:eastAsia="宋体" w:hint="default"/>
                <w:sz w:val="18"/>
                <w:szCs w:val="18"/>
              </w:rPr>
              <w:t>宣告发放现 金股利或利 润</w:t>
            </w:r>
          </w:p>
        </w:tc>
        <w:tc>
          <w:tcPr>
            <w:tcW w:w="56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98" w:right="93"/>
              <w:jc w:val="both"/>
              <w:rPr>
                <w:rFonts w:ascii="宋体" w:hAnsi="宋体" w:cs="宋体" w:eastAsia="宋体" w:hint="default"/>
                <w:sz w:val="18"/>
                <w:szCs w:val="18"/>
              </w:rPr>
            </w:pPr>
            <w:r>
              <w:rPr>
                <w:rFonts w:ascii="宋体" w:hAnsi="宋体" w:cs="宋体" w:eastAsia="宋体" w:hint="default"/>
                <w:sz w:val="18"/>
                <w:szCs w:val="18"/>
              </w:rPr>
              <w:t>计提 减值 准备</w:t>
            </w:r>
          </w:p>
        </w:tc>
        <w:tc>
          <w:tcPr>
            <w:tcW w:w="611" w:type="dxa"/>
            <w:vMerge w:val="restart"/>
            <w:tcBorders>
              <w:top w:val="single" w:sz="4" w:space="0" w:color="000000"/>
              <w:left w:val="single" w:sz="4" w:space="0" w:color="000000"/>
              <w:right w:val="single" w:sz="4" w:space="0" w:color="000000"/>
            </w:tcBorders>
            <w:shd w:val="clear" w:color="auto" w:fill="D2D2D2"/>
          </w:tcPr>
          <w:p>
            <w:pPr/>
          </w:p>
        </w:tc>
        <w:tc>
          <w:tcPr>
            <w:tcW w:w="1101" w:type="dxa"/>
            <w:vMerge/>
            <w:tcBorders>
              <w:left w:val="single" w:sz="4" w:space="0" w:color="000000"/>
              <w:bottom w:val="nil" w:sz="6" w:space="0" w:color="auto"/>
              <w:right w:val="single" w:sz="4" w:space="0" w:color="000000"/>
            </w:tcBorders>
            <w:shd w:val="clear" w:color="auto" w:fill="D2D2D2"/>
          </w:tcPr>
          <w:p>
            <w:pPr/>
          </w:p>
        </w:tc>
        <w:tc>
          <w:tcPr>
            <w:tcW w:w="495" w:type="dxa"/>
            <w:vMerge/>
            <w:tcBorders>
              <w:left w:val="single" w:sz="4" w:space="0" w:color="000000"/>
              <w:right w:val="single" w:sz="4" w:space="0" w:color="000000"/>
            </w:tcBorders>
            <w:shd w:val="clear" w:color="auto" w:fill="D2D2D2"/>
          </w:tcPr>
          <w:p>
            <w:pPr/>
          </w:p>
        </w:tc>
      </w:tr>
      <w:tr>
        <w:trPr>
          <w:trHeight w:val="178" w:hRule="exact"/>
        </w:trPr>
        <w:tc>
          <w:tcPr>
            <w:tcW w:w="111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00"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99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3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708"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95"/>
              <w:ind w:left="257" w:right="78" w:hanging="180"/>
              <w:jc w:val="left"/>
              <w:rPr>
                <w:rFonts w:ascii="宋体" w:hAnsi="宋体" w:cs="宋体" w:eastAsia="宋体" w:hint="default"/>
                <w:sz w:val="18"/>
                <w:szCs w:val="18"/>
              </w:rPr>
            </w:pPr>
            <w:r>
              <w:rPr>
                <w:rFonts w:ascii="宋体" w:hAnsi="宋体" w:cs="宋体" w:eastAsia="宋体" w:hint="default"/>
                <w:sz w:val="18"/>
                <w:szCs w:val="18"/>
              </w:rPr>
              <w:t>追加投 资</w:t>
            </w:r>
          </w:p>
        </w:tc>
        <w:tc>
          <w:tcPr>
            <w:tcW w:w="567"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95"/>
              <w:ind w:left="98" w:right="96"/>
              <w:jc w:val="left"/>
              <w:rPr>
                <w:rFonts w:ascii="宋体" w:hAnsi="宋体" w:cs="宋体" w:eastAsia="宋体" w:hint="default"/>
                <w:sz w:val="18"/>
                <w:szCs w:val="18"/>
              </w:rPr>
            </w:pPr>
            <w:r>
              <w:rPr>
                <w:rFonts w:ascii="宋体" w:hAnsi="宋体" w:cs="宋体" w:eastAsia="宋体" w:hint="default"/>
                <w:sz w:val="18"/>
                <w:szCs w:val="18"/>
              </w:rPr>
              <w:t>减少 投资</w:t>
            </w:r>
          </w:p>
        </w:tc>
        <w:tc>
          <w:tcPr>
            <w:tcW w:w="851" w:type="dxa"/>
            <w:vMerge/>
            <w:tcBorders>
              <w:left w:val="single" w:sz="4" w:space="0" w:color="000000"/>
              <w:right w:val="single" w:sz="4" w:space="0" w:color="000000"/>
            </w:tcBorders>
            <w:shd w:val="clear" w:color="auto" w:fill="D2D2D2"/>
          </w:tcPr>
          <w:p>
            <w:pPr/>
          </w:p>
        </w:tc>
        <w:tc>
          <w:tcPr>
            <w:tcW w:w="851"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73"/>
              <w:ind w:left="59" w:right="58"/>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567" w:type="dxa"/>
            <w:vMerge/>
            <w:tcBorders>
              <w:left w:val="single" w:sz="4" w:space="0" w:color="000000"/>
              <w:right w:val="single" w:sz="4" w:space="0" w:color="000000"/>
            </w:tcBorders>
            <w:shd w:val="clear" w:color="auto" w:fill="D2D2D2"/>
          </w:tcPr>
          <w:p>
            <w:pPr/>
          </w:p>
        </w:tc>
        <w:tc>
          <w:tcPr>
            <w:tcW w:w="1134" w:type="dxa"/>
            <w:vMerge/>
            <w:tcBorders>
              <w:left w:val="single" w:sz="4" w:space="0" w:color="000000"/>
              <w:right w:val="single" w:sz="4" w:space="0" w:color="000000"/>
            </w:tcBorders>
            <w:shd w:val="clear" w:color="auto" w:fill="D2D2D2"/>
          </w:tcPr>
          <w:p>
            <w:pPr/>
          </w:p>
        </w:tc>
        <w:tc>
          <w:tcPr>
            <w:tcW w:w="562" w:type="dxa"/>
            <w:vMerge/>
            <w:tcBorders>
              <w:left w:val="single" w:sz="4" w:space="0" w:color="000000"/>
              <w:right w:val="single" w:sz="4" w:space="0" w:color="000000"/>
            </w:tcBorders>
            <w:shd w:val="clear" w:color="auto" w:fill="D2D2D2"/>
          </w:tcPr>
          <w:p>
            <w:pPr/>
          </w:p>
        </w:tc>
        <w:tc>
          <w:tcPr>
            <w:tcW w:w="611" w:type="dxa"/>
            <w:vMerge/>
            <w:tcBorders>
              <w:left w:val="single" w:sz="4" w:space="0" w:color="000000"/>
              <w:bottom w:val="nil" w:sz="6" w:space="0" w:color="auto"/>
              <w:right w:val="single" w:sz="4" w:space="0" w:color="000000"/>
            </w:tcBorders>
            <w:shd w:val="clear" w:color="auto" w:fill="D2D2D2"/>
          </w:tcPr>
          <w:p>
            <w:pPr/>
          </w:p>
        </w:tc>
        <w:tc>
          <w:tcPr>
            <w:tcW w:w="110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9"/>
              <w:ind w:left="18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495" w:type="dxa"/>
            <w:vMerge/>
            <w:tcBorders>
              <w:left w:val="single" w:sz="4" w:space="0" w:color="000000"/>
              <w:right w:val="single" w:sz="4" w:space="0" w:color="000000"/>
            </w:tcBorders>
            <w:shd w:val="clear" w:color="auto" w:fill="D2D2D2"/>
          </w:tcPr>
          <w:p>
            <w:pPr/>
          </w:p>
        </w:tc>
      </w:tr>
      <w:tr>
        <w:trPr>
          <w:trHeight w:val="191" w:hRule="exact"/>
        </w:trPr>
        <w:tc>
          <w:tcPr>
            <w:tcW w:w="1117" w:type="dxa"/>
            <w:vMerge/>
            <w:tcBorders>
              <w:left w:val="single" w:sz="4" w:space="0" w:color="000000"/>
              <w:bottom w:val="nil" w:sz="6" w:space="0" w:color="auto"/>
              <w:right w:val="single" w:sz="4" w:space="0" w:color="000000"/>
            </w:tcBorders>
            <w:shd w:val="clear" w:color="auto" w:fill="D2D2D2"/>
          </w:tcPr>
          <w:p>
            <w:pPr/>
          </w:p>
        </w:tc>
        <w:tc>
          <w:tcPr>
            <w:tcW w:w="999" w:type="dxa"/>
            <w:vMerge/>
            <w:tcBorders>
              <w:left w:val="single" w:sz="4" w:space="0" w:color="000000"/>
              <w:bottom w:val="nil" w:sz="6" w:space="0" w:color="auto"/>
              <w:right w:val="single" w:sz="4" w:space="0" w:color="000000"/>
            </w:tcBorders>
            <w:shd w:val="clear" w:color="auto" w:fill="D2D2D2"/>
          </w:tcPr>
          <w:p>
            <w:pPr/>
          </w:p>
        </w:tc>
        <w:tc>
          <w:tcPr>
            <w:tcW w:w="708" w:type="dxa"/>
            <w:vMerge/>
            <w:tcBorders>
              <w:left w:val="single" w:sz="4" w:space="0" w:color="000000"/>
              <w:right w:val="single" w:sz="4" w:space="0" w:color="000000"/>
            </w:tcBorders>
            <w:shd w:val="clear" w:color="auto" w:fill="D2D2D2"/>
          </w:tcPr>
          <w:p>
            <w:pPr/>
          </w:p>
        </w:tc>
        <w:tc>
          <w:tcPr>
            <w:tcW w:w="567" w:type="dxa"/>
            <w:vMerge/>
            <w:tcBorders>
              <w:left w:val="single" w:sz="4" w:space="0" w:color="000000"/>
              <w:right w:val="single" w:sz="4" w:space="0" w:color="000000"/>
            </w:tcBorders>
            <w:shd w:val="clear" w:color="auto" w:fill="D2D2D2"/>
          </w:tcPr>
          <w:p>
            <w:pPr/>
          </w:p>
        </w:tc>
        <w:tc>
          <w:tcPr>
            <w:tcW w:w="851" w:type="dxa"/>
            <w:vMerge/>
            <w:tcBorders>
              <w:left w:val="single" w:sz="4" w:space="0" w:color="000000"/>
              <w:right w:val="single" w:sz="4" w:space="0" w:color="000000"/>
            </w:tcBorders>
            <w:shd w:val="clear" w:color="auto" w:fill="D2D2D2"/>
          </w:tcPr>
          <w:p>
            <w:pPr/>
          </w:p>
        </w:tc>
        <w:tc>
          <w:tcPr>
            <w:tcW w:w="851" w:type="dxa"/>
            <w:vMerge/>
            <w:tcBorders>
              <w:left w:val="single" w:sz="4" w:space="0" w:color="000000"/>
              <w:right w:val="single" w:sz="4" w:space="0" w:color="000000"/>
            </w:tcBorders>
            <w:shd w:val="clear" w:color="auto" w:fill="D2D2D2"/>
          </w:tcPr>
          <w:p>
            <w:pPr/>
          </w:p>
        </w:tc>
        <w:tc>
          <w:tcPr>
            <w:tcW w:w="567" w:type="dxa"/>
            <w:vMerge/>
            <w:tcBorders>
              <w:left w:val="single" w:sz="4" w:space="0" w:color="000000"/>
              <w:right w:val="single" w:sz="4" w:space="0" w:color="000000"/>
            </w:tcBorders>
            <w:shd w:val="clear" w:color="auto" w:fill="D2D2D2"/>
          </w:tcPr>
          <w:p>
            <w:pPr/>
          </w:p>
        </w:tc>
        <w:tc>
          <w:tcPr>
            <w:tcW w:w="1134" w:type="dxa"/>
            <w:vMerge/>
            <w:tcBorders>
              <w:left w:val="single" w:sz="4" w:space="0" w:color="000000"/>
              <w:right w:val="single" w:sz="4" w:space="0" w:color="000000"/>
            </w:tcBorders>
            <w:shd w:val="clear" w:color="auto" w:fill="D2D2D2"/>
          </w:tcPr>
          <w:p>
            <w:pPr/>
          </w:p>
        </w:tc>
        <w:tc>
          <w:tcPr>
            <w:tcW w:w="562" w:type="dxa"/>
            <w:vMerge/>
            <w:tcBorders>
              <w:left w:val="single" w:sz="4" w:space="0" w:color="000000"/>
              <w:right w:val="single" w:sz="4" w:space="0" w:color="000000"/>
            </w:tcBorders>
            <w:shd w:val="clear" w:color="auto" w:fill="D2D2D2"/>
          </w:tcPr>
          <w:p>
            <w:pPr/>
          </w:p>
        </w:tc>
        <w:tc>
          <w:tcPr>
            <w:tcW w:w="61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01" w:type="dxa"/>
            <w:vMerge/>
            <w:tcBorders>
              <w:left w:val="single" w:sz="4" w:space="0" w:color="000000"/>
              <w:bottom w:val="nil" w:sz="6" w:space="0" w:color="auto"/>
              <w:right w:val="single" w:sz="4" w:space="0" w:color="000000"/>
            </w:tcBorders>
            <w:shd w:val="clear" w:color="auto" w:fill="D2D2D2"/>
          </w:tcPr>
          <w:p>
            <w:pPr/>
          </w:p>
        </w:tc>
        <w:tc>
          <w:tcPr>
            <w:tcW w:w="495" w:type="dxa"/>
            <w:vMerge/>
            <w:tcBorders>
              <w:left w:val="single" w:sz="4" w:space="0" w:color="000000"/>
              <w:right w:val="single" w:sz="4" w:space="0" w:color="000000"/>
            </w:tcBorders>
            <w:shd w:val="clear" w:color="auto" w:fill="D2D2D2"/>
          </w:tcPr>
          <w:p>
            <w:pPr/>
          </w:p>
        </w:tc>
      </w:tr>
      <w:tr>
        <w:trPr>
          <w:trHeight w:val="202" w:hRule="exact"/>
        </w:trPr>
        <w:tc>
          <w:tcPr>
            <w:tcW w:w="1117" w:type="dxa"/>
            <w:vMerge w:val="restart"/>
            <w:tcBorders>
              <w:top w:val="nil" w:sz="6" w:space="0" w:color="auto"/>
              <w:left w:val="single" w:sz="4" w:space="0" w:color="000000"/>
              <w:right w:val="single" w:sz="4" w:space="0" w:color="000000"/>
            </w:tcBorders>
            <w:shd w:val="clear" w:color="auto" w:fill="D2D2D2"/>
          </w:tcPr>
          <w:p>
            <w:pPr/>
          </w:p>
        </w:tc>
        <w:tc>
          <w:tcPr>
            <w:tcW w:w="999" w:type="dxa"/>
            <w:vMerge w:val="restart"/>
            <w:tcBorders>
              <w:top w:val="nil" w:sz="6" w:space="0" w:color="auto"/>
              <w:left w:val="single" w:sz="4" w:space="0" w:color="000000"/>
              <w:right w:val="single" w:sz="4" w:space="0" w:color="000000"/>
            </w:tcBorders>
            <w:shd w:val="clear" w:color="auto" w:fill="D2D2D2"/>
          </w:tcPr>
          <w:p>
            <w:pPr/>
          </w:p>
        </w:tc>
        <w:tc>
          <w:tcPr>
            <w:tcW w:w="708" w:type="dxa"/>
            <w:vMerge/>
            <w:tcBorders>
              <w:left w:val="single" w:sz="4" w:space="0" w:color="000000"/>
              <w:right w:val="single" w:sz="4" w:space="0" w:color="000000"/>
            </w:tcBorders>
            <w:shd w:val="clear" w:color="auto" w:fill="D2D2D2"/>
          </w:tcPr>
          <w:p>
            <w:pPr/>
          </w:p>
        </w:tc>
        <w:tc>
          <w:tcPr>
            <w:tcW w:w="567" w:type="dxa"/>
            <w:vMerge/>
            <w:tcBorders>
              <w:left w:val="single" w:sz="4" w:space="0" w:color="000000"/>
              <w:right w:val="single" w:sz="4" w:space="0" w:color="000000"/>
            </w:tcBorders>
            <w:shd w:val="clear" w:color="auto" w:fill="D2D2D2"/>
          </w:tcPr>
          <w:p>
            <w:pPr/>
          </w:p>
        </w:tc>
        <w:tc>
          <w:tcPr>
            <w:tcW w:w="851" w:type="dxa"/>
            <w:vMerge/>
            <w:tcBorders>
              <w:left w:val="single" w:sz="4" w:space="0" w:color="000000"/>
              <w:right w:val="single" w:sz="4" w:space="0" w:color="000000"/>
            </w:tcBorders>
            <w:shd w:val="clear" w:color="auto" w:fill="D2D2D2"/>
          </w:tcPr>
          <w:p>
            <w:pPr/>
          </w:p>
        </w:tc>
        <w:tc>
          <w:tcPr>
            <w:tcW w:w="851" w:type="dxa"/>
            <w:vMerge/>
            <w:tcBorders>
              <w:left w:val="single" w:sz="4" w:space="0" w:color="000000"/>
              <w:right w:val="single" w:sz="4" w:space="0" w:color="000000"/>
            </w:tcBorders>
            <w:shd w:val="clear" w:color="auto" w:fill="D2D2D2"/>
          </w:tcPr>
          <w:p>
            <w:pPr/>
          </w:p>
        </w:tc>
        <w:tc>
          <w:tcPr>
            <w:tcW w:w="567" w:type="dxa"/>
            <w:vMerge/>
            <w:tcBorders>
              <w:left w:val="single" w:sz="4" w:space="0" w:color="000000"/>
              <w:right w:val="single" w:sz="4" w:space="0" w:color="000000"/>
            </w:tcBorders>
            <w:shd w:val="clear" w:color="auto" w:fill="D2D2D2"/>
          </w:tcPr>
          <w:p>
            <w:pPr/>
          </w:p>
        </w:tc>
        <w:tc>
          <w:tcPr>
            <w:tcW w:w="1134" w:type="dxa"/>
            <w:vMerge/>
            <w:tcBorders>
              <w:left w:val="single" w:sz="4" w:space="0" w:color="000000"/>
              <w:right w:val="single" w:sz="4" w:space="0" w:color="000000"/>
            </w:tcBorders>
            <w:shd w:val="clear" w:color="auto" w:fill="D2D2D2"/>
          </w:tcPr>
          <w:p>
            <w:pPr/>
          </w:p>
        </w:tc>
        <w:tc>
          <w:tcPr>
            <w:tcW w:w="562" w:type="dxa"/>
            <w:vMerge/>
            <w:tcBorders>
              <w:left w:val="single" w:sz="4" w:space="0" w:color="000000"/>
              <w:right w:val="single" w:sz="4" w:space="0" w:color="000000"/>
            </w:tcBorders>
            <w:shd w:val="clear" w:color="auto" w:fill="D2D2D2"/>
          </w:tcPr>
          <w:p>
            <w:pPr/>
          </w:p>
        </w:tc>
        <w:tc>
          <w:tcPr>
            <w:tcW w:w="611" w:type="dxa"/>
            <w:vMerge/>
            <w:tcBorders>
              <w:left w:val="single" w:sz="4" w:space="0" w:color="000000"/>
              <w:bottom w:val="nil" w:sz="6" w:space="0" w:color="auto"/>
              <w:right w:val="single" w:sz="4" w:space="0" w:color="000000"/>
            </w:tcBorders>
            <w:shd w:val="clear" w:color="auto" w:fill="D2D2D2"/>
          </w:tcPr>
          <w:p>
            <w:pPr/>
          </w:p>
        </w:tc>
        <w:tc>
          <w:tcPr>
            <w:tcW w:w="1101" w:type="dxa"/>
            <w:vMerge w:val="restart"/>
            <w:tcBorders>
              <w:top w:val="nil" w:sz="6" w:space="0" w:color="auto"/>
              <w:left w:val="single" w:sz="4" w:space="0" w:color="000000"/>
              <w:right w:val="single" w:sz="4" w:space="0" w:color="000000"/>
            </w:tcBorders>
            <w:shd w:val="clear" w:color="auto" w:fill="D2D2D2"/>
          </w:tcPr>
          <w:p>
            <w:pPr/>
          </w:p>
        </w:tc>
        <w:tc>
          <w:tcPr>
            <w:tcW w:w="495" w:type="dxa"/>
            <w:vMerge/>
            <w:tcBorders>
              <w:left w:val="single" w:sz="4" w:space="0" w:color="000000"/>
              <w:right w:val="single" w:sz="4" w:space="0" w:color="000000"/>
            </w:tcBorders>
            <w:shd w:val="clear" w:color="auto" w:fill="D2D2D2"/>
          </w:tcPr>
          <w:p>
            <w:pPr/>
          </w:p>
        </w:tc>
      </w:tr>
      <w:tr>
        <w:trPr>
          <w:trHeight w:val="156" w:hRule="exact"/>
        </w:trPr>
        <w:tc>
          <w:tcPr>
            <w:tcW w:w="1117" w:type="dxa"/>
            <w:vMerge/>
            <w:tcBorders>
              <w:left w:val="single" w:sz="4" w:space="0" w:color="000000"/>
              <w:right w:val="single" w:sz="4" w:space="0" w:color="000000"/>
            </w:tcBorders>
            <w:shd w:val="clear" w:color="auto" w:fill="D2D2D2"/>
          </w:tcPr>
          <w:p>
            <w:pPr/>
          </w:p>
        </w:tc>
        <w:tc>
          <w:tcPr>
            <w:tcW w:w="999" w:type="dxa"/>
            <w:vMerge/>
            <w:tcBorders>
              <w:left w:val="single" w:sz="4" w:space="0" w:color="000000"/>
              <w:right w:val="single" w:sz="4" w:space="0" w:color="000000"/>
            </w:tcBorders>
            <w:shd w:val="clear" w:color="auto" w:fill="D2D2D2"/>
          </w:tcPr>
          <w:p>
            <w:pPr/>
          </w:p>
        </w:tc>
        <w:tc>
          <w:tcPr>
            <w:tcW w:w="708" w:type="dxa"/>
            <w:vMerge/>
            <w:tcBorders>
              <w:left w:val="single" w:sz="4" w:space="0" w:color="000000"/>
              <w:bottom w:val="nil" w:sz="6" w:space="0" w:color="auto"/>
              <w:right w:val="single" w:sz="4" w:space="0" w:color="000000"/>
            </w:tcBorders>
            <w:shd w:val="clear" w:color="auto" w:fill="D2D2D2"/>
          </w:tcPr>
          <w:p>
            <w:pPr/>
          </w:p>
        </w:tc>
        <w:tc>
          <w:tcPr>
            <w:tcW w:w="567" w:type="dxa"/>
            <w:vMerge/>
            <w:tcBorders>
              <w:left w:val="single" w:sz="4" w:space="0" w:color="000000"/>
              <w:bottom w:val="nil" w:sz="6" w:space="0" w:color="auto"/>
              <w:right w:val="single" w:sz="4" w:space="0" w:color="000000"/>
            </w:tcBorders>
            <w:shd w:val="clear" w:color="auto" w:fill="D2D2D2"/>
          </w:tcPr>
          <w:p>
            <w:pPr/>
          </w:p>
        </w:tc>
        <w:tc>
          <w:tcPr>
            <w:tcW w:w="851" w:type="dxa"/>
            <w:vMerge/>
            <w:tcBorders>
              <w:left w:val="single" w:sz="4" w:space="0" w:color="000000"/>
              <w:right w:val="single" w:sz="4" w:space="0" w:color="000000"/>
            </w:tcBorders>
            <w:shd w:val="clear" w:color="auto" w:fill="D2D2D2"/>
          </w:tcPr>
          <w:p>
            <w:pPr/>
          </w:p>
        </w:tc>
        <w:tc>
          <w:tcPr>
            <w:tcW w:w="851" w:type="dxa"/>
            <w:vMerge/>
            <w:tcBorders>
              <w:left w:val="single" w:sz="4" w:space="0" w:color="000000"/>
              <w:bottom w:val="nil" w:sz="6" w:space="0" w:color="auto"/>
              <w:right w:val="single" w:sz="4" w:space="0" w:color="000000"/>
            </w:tcBorders>
            <w:shd w:val="clear" w:color="auto" w:fill="D2D2D2"/>
          </w:tcPr>
          <w:p>
            <w:pPr/>
          </w:p>
        </w:tc>
        <w:tc>
          <w:tcPr>
            <w:tcW w:w="567" w:type="dxa"/>
            <w:vMerge/>
            <w:tcBorders>
              <w:left w:val="single" w:sz="4" w:space="0" w:color="000000"/>
              <w:right w:val="single" w:sz="4" w:space="0" w:color="000000"/>
            </w:tcBorders>
            <w:shd w:val="clear" w:color="auto" w:fill="D2D2D2"/>
          </w:tcPr>
          <w:p>
            <w:pPr/>
          </w:p>
        </w:tc>
        <w:tc>
          <w:tcPr>
            <w:tcW w:w="1134" w:type="dxa"/>
            <w:vMerge/>
            <w:tcBorders>
              <w:left w:val="single" w:sz="4" w:space="0" w:color="000000"/>
              <w:right w:val="single" w:sz="4" w:space="0" w:color="000000"/>
            </w:tcBorders>
            <w:shd w:val="clear" w:color="auto" w:fill="D2D2D2"/>
          </w:tcPr>
          <w:p>
            <w:pPr/>
          </w:p>
        </w:tc>
        <w:tc>
          <w:tcPr>
            <w:tcW w:w="562" w:type="dxa"/>
            <w:vMerge/>
            <w:tcBorders>
              <w:left w:val="single" w:sz="4" w:space="0" w:color="000000"/>
              <w:right w:val="single" w:sz="4" w:space="0" w:color="000000"/>
            </w:tcBorders>
            <w:shd w:val="clear" w:color="auto" w:fill="D2D2D2"/>
          </w:tcPr>
          <w:p>
            <w:pPr/>
          </w:p>
        </w:tc>
        <w:tc>
          <w:tcPr>
            <w:tcW w:w="611" w:type="dxa"/>
            <w:vMerge w:val="restart"/>
            <w:tcBorders>
              <w:top w:val="nil" w:sz="6" w:space="0" w:color="auto"/>
              <w:left w:val="single" w:sz="4" w:space="0" w:color="000000"/>
              <w:right w:val="single" w:sz="4" w:space="0" w:color="000000"/>
            </w:tcBorders>
            <w:shd w:val="clear" w:color="auto" w:fill="D2D2D2"/>
          </w:tcPr>
          <w:p>
            <w:pPr/>
          </w:p>
        </w:tc>
        <w:tc>
          <w:tcPr>
            <w:tcW w:w="1101" w:type="dxa"/>
            <w:vMerge/>
            <w:tcBorders>
              <w:left w:val="single" w:sz="4" w:space="0" w:color="000000"/>
              <w:right w:val="single" w:sz="4" w:space="0" w:color="000000"/>
            </w:tcBorders>
            <w:shd w:val="clear" w:color="auto" w:fill="D2D2D2"/>
          </w:tcPr>
          <w:p>
            <w:pPr/>
          </w:p>
        </w:tc>
        <w:tc>
          <w:tcPr>
            <w:tcW w:w="495" w:type="dxa"/>
            <w:vMerge/>
            <w:tcBorders>
              <w:left w:val="single" w:sz="4" w:space="0" w:color="000000"/>
              <w:right w:val="single" w:sz="4" w:space="0" w:color="000000"/>
            </w:tcBorders>
            <w:shd w:val="clear" w:color="auto" w:fill="D2D2D2"/>
          </w:tcPr>
          <w:p>
            <w:pPr/>
          </w:p>
        </w:tc>
      </w:tr>
      <w:tr>
        <w:trPr>
          <w:trHeight w:val="161" w:hRule="exact"/>
        </w:trPr>
        <w:tc>
          <w:tcPr>
            <w:tcW w:w="1117" w:type="dxa"/>
            <w:vMerge/>
            <w:tcBorders>
              <w:left w:val="single" w:sz="4" w:space="0" w:color="000000"/>
              <w:bottom w:val="single" w:sz="4" w:space="0" w:color="000000"/>
              <w:right w:val="single" w:sz="4" w:space="0" w:color="000000"/>
            </w:tcBorders>
            <w:shd w:val="clear" w:color="auto" w:fill="D2D2D2"/>
          </w:tcPr>
          <w:p>
            <w:pPr/>
          </w:p>
        </w:tc>
        <w:tc>
          <w:tcPr>
            <w:tcW w:w="999" w:type="dxa"/>
            <w:vMerge/>
            <w:tcBorders>
              <w:left w:val="single" w:sz="4" w:space="0" w:color="000000"/>
              <w:bottom w:val="single" w:sz="4" w:space="0" w:color="000000"/>
              <w:right w:val="single" w:sz="4" w:space="0" w:color="000000"/>
            </w:tcBorders>
            <w:shd w:val="clear" w:color="auto" w:fill="D2D2D2"/>
          </w:tcPr>
          <w:p>
            <w:pPr/>
          </w:p>
        </w:tc>
        <w:tc>
          <w:tcPr>
            <w:tcW w:w="708" w:type="dxa"/>
            <w:tcBorders>
              <w:top w:val="nil" w:sz="6" w:space="0" w:color="auto"/>
              <w:left w:val="single" w:sz="4" w:space="0" w:color="000000"/>
              <w:bottom w:val="single" w:sz="4" w:space="0" w:color="000000"/>
              <w:right w:val="single" w:sz="4" w:space="0" w:color="000000"/>
            </w:tcBorders>
            <w:shd w:val="clear" w:color="auto" w:fill="D2D2D2"/>
          </w:tcPr>
          <w:p>
            <w:pPr/>
          </w:p>
        </w:tc>
        <w:tc>
          <w:tcPr>
            <w:tcW w:w="567" w:type="dxa"/>
            <w:tcBorders>
              <w:top w:val="nil" w:sz="6" w:space="0" w:color="auto"/>
              <w:left w:val="single" w:sz="4" w:space="0" w:color="000000"/>
              <w:bottom w:val="single" w:sz="4" w:space="0" w:color="000000"/>
              <w:right w:val="single" w:sz="4" w:space="0" w:color="000000"/>
            </w:tcBorders>
            <w:shd w:val="clear" w:color="auto" w:fill="D2D2D2"/>
          </w:tcPr>
          <w:p>
            <w:pPr/>
          </w:p>
        </w:tc>
        <w:tc>
          <w:tcPr>
            <w:tcW w:w="851" w:type="dxa"/>
            <w:vMerge/>
            <w:tcBorders>
              <w:left w:val="single" w:sz="4" w:space="0" w:color="000000"/>
              <w:bottom w:val="single" w:sz="4" w:space="0" w:color="000000"/>
              <w:right w:val="single" w:sz="4" w:space="0" w:color="000000"/>
            </w:tcBorders>
            <w:shd w:val="clear" w:color="auto" w:fill="D2D2D2"/>
          </w:tcPr>
          <w:p>
            <w:pPr/>
          </w:p>
        </w:tc>
        <w:tc>
          <w:tcPr>
            <w:tcW w:w="851" w:type="dxa"/>
            <w:tcBorders>
              <w:top w:val="nil" w:sz="6" w:space="0" w:color="auto"/>
              <w:left w:val="single" w:sz="4" w:space="0" w:color="000000"/>
              <w:bottom w:val="single" w:sz="4" w:space="0" w:color="000000"/>
              <w:right w:val="single" w:sz="4" w:space="0" w:color="000000"/>
            </w:tcBorders>
            <w:shd w:val="clear" w:color="auto" w:fill="D2D2D2"/>
          </w:tcPr>
          <w:p>
            <w:pPr/>
          </w:p>
        </w:tc>
        <w:tc>
          <w:tcPr>
            <w:tcW w:w="567" w:type="dxa"/>
            <w:vMerge/>
            <w:tcBorders>
              <w:left w:val="single" w:sz="4" w:space="0" w:color="000000"/>
              <w:bottom w:val="single" w:sz="4" w:space="0" w:color="000000"/>
              <w:right w:val="single" w:sz="4" w:space="0" w:color="000000"/>
            </w:tcBorders>
            <w:shd w:val="clear" w:color="auto" w:fill="D2D2D2"/>
          </w:tcPr>
          <w:p>
            <w:pPr/>
          </w:p>
        </w:tc>
        <w:tc>
          <w:tcPr>
            <w:tcW w:w="1134" w:type="dxa"/>
            <w:vMerge/>
            <w:tcBorders>
              <w:left w:val="single" w:sz="4" w:space="0" w:color="000000"/>
              <w:bottom w:val="single" w:sz="4" w:space="0" w:color="000000"/>
              <w:right w:val="single" w:sz="4" w:space="0" w:color="000000"/>
            </w:tcBorders>
            <w:shd w:val="clear" w:color="auto" w:fill="D2D2D2"/>
          </w:tcPr>
          <w:p>
            <w:pPr/>
          </w:p>
        </w:tc>
        <w:tc>
          <w:tcPr>
            <w:tcW w:w="562" w:type="dxa"/>
            <w:vMerge/>
            <w:tcBorders>
              <w:left w:val="single" w:sz="4" w:space="0" w:color="000000"/>
              <w:bottom w:val="single" w:sz="4" w:space="0" w:color="000000"/>
              <w:right w:val="single" w:sz="4" w:space="0" w:color="000000"/>
            </w:tcBorders>
            <w:shd w:val="clear" w:color="auto" w:fill="D2D2D2"/>
          </w:tcPr>
          <w:p>
            <w:pPr/>
          </w:p>
        </w:tc>
        <w:tc>
          <w:tcPr>
            <w:tcW w:w="611" w:type="dxa"/>
            <w:vMerge/>
            <w:tcBorders>
              <w:left w:val="single" w:sz="4" w:space="0" w:color="000000"/>
              <w:bottom w:val="single" w:sz="4" w:space="0" w:color="000000"/>
              <w:right w:val="single" w:sz="4" w:space="0" w:color="000000"/>
            </w:tcBorders>
            <w:shd w:val="clear" w:color="auto" w:fill="D2D2D2"/>
          </w:tcPr>
          <w:p>
            <w:pPr/>
          </w:p>
        </w:tc>
        <w:tc>
          <w:tcPr>
            <w:tcW w:w="1101" w:type="dxa"/>
            <w:vMerge/>
            <w:tcBorders>
              <w:left w:val="single" w:sz="4" w:space="0" w:color="000000"/>
              <w:bottom w:val="single" w:sz="4" w:space="0" w:color="000000"/>
              <w:right w:val="single" w:sz="4" w:space="0" w:color="000000"/>
            </w:tcBorders>
            <w:shd w:val="clear" w:color="auto" w:fill="D2D2D2"/>
          </w:tcPr>
          <w:p>
            <w:pPr/>
          </w:p>
        </w:tc>
        <w:tc>
          <w:tcPr>
            <w:tcW w:w="495"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9562"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2" w:hRule="exact"/>
        </w:trPr>
        <w:tc>
          <w:tcPr>
            <w:tcW w:w="9562"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026" w:hRule="exact"/>
        </w:trPr>
        <w:tc>
          <w:tcPr>
            <w:tcW w:w="11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94"/>
              <w:jc w:val="both"/>
              <w:rPr>
                <w:rFonts w:ascii="宋体" w:hAnsi="宋体" w:cs="宋体" w:eastAsia="宋体" w:hint="default"/>
                <w:sz w:val="18"/>
                <w:szCs w:val="18"/>
              </w:rPr>
            </w:pPr>
            <w:r>
              <w:rPr>
                <w:rFonts w:ascii="宋体" w:hAnsi="宋体" w:cs="宋体" w:eastAsia="宋体" w:hint="default"/>
                <w:sz w:val="18"/>
                <w:szCs w:val="18"/>
              </w:rPr>
              <w:t>大连华信计 算机技术股 份有限公司</w:t>
            </w:r>
          </w:p>
        </w:tc>
        <w:tc>
          <w:tcPr>
            <w:tcW w:w="9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132,751,435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.48</w:t>
            </w:r>
          </w:p>
        </w:tc>
        <w:tc>
          <w:tcPr>
            <w:tcW w:w="70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16,826,49</w:t>
            </w:r>
          </w:p>
          <w:p>
            <w:pPr>
              <w:pStyle w:val="TableParagraph"/>
              <w:spacing w:line="240" w:lineRule="auto" w:before="105"/>
              <w:ind w:left="504" w:right="0"/>
              <w:jc w:val="left"/>
              <w:rPr>
                <w:rFonts w:ascii="Times New Roman" w:hAnsi="Times New Roman" w:cs="Times New Roman" w:eastAsia="Times New Roman" w:hint="default"/>
                <w:sz w:val="18"/>
                <w:szCs w:val="18"/>
              </w:rPr>
            </w:pPr>
            <w:r>
              <w:rPr>
                <w:rFonts w:ascii="Times New Roman"/>
                <w:sz w:val="18"/>
              </w:rPr>
              <w:t>7.97</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361,146.6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9</w:t>
            </w:r>
          </w:p>
        </w:tc>
        <w:tc>
          <w:tcPr>
            <w:tcW w:w="56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-15,600,000.0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562" w:type="dxa"/>
            <w:tcBorders>
              <w:top w:val="single" w:sz="4" w:space="0" w:color="000000"/>
              <w:left w:val="single" w:sz="4" w:space="0" w:color="000000"/>
              <w:bottom w:val="single" w:sz="4" w:space="0" w:color="000000"/>
              <w:right w:val="single" w:sz="4" w:space="0" w:color="000000"/>
            </w:tcBorders>
          </w:tcPr>
          <w:p>
            <w:pPr/>
          </w:p>
        </w:tc>
        <w:tc>
          <w:tcPr>
            <w:tcW w:w="611" w:type="dxa"/>
            <w:tcBorders>
              <w:top w:val="single" w:sz="4" w:space="0" w:color="000000"/>
              <w:left w:val="single" w:sz="4" w:space="0" w:color="000000"/>
              <w:bottom w:val="single" w:sz="4" w:space="0" w:color="000000"/>
              <w:right w:val="single" w:sz="4" w:space="0" w:color="000000"/>
            </w:tcBorders>
          </w:tcPr>
          <w:p>
            <w:pP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134,339,080.1</w:t>
            </w:r>
          </w:p>
          <w:p>
            <w:pPr>
              <w:pStyle w:val="TableParagraph"/>
              <w:spacing w:line="240" w:lineRule="auto" w:before="105"/>
              <w:ind w:right="26"/>
              <w:jc w:val="right"/>
              <w:rPr>
                <w:rFonts w:ascii="Times New Roman" w:hAnsi="Times New Roman" w:cs="Times New Roman" w:eastAsia="Times New Roman" w:hint="default"/>
                <w:sz w:val="18"/>
                <w:szCs w:val="18"/>
              </w:rPr>
            </w:pPr>
            <w:r>
              <w:rPr>
                <w:rFonts w:ascii="Times New Roman"/>
                <w:sz w:val="18"/>
              </w:rPr>
              <w:t>4</w:t>
            </w:r>
          </w:p>
        </w:tc>
        <w:tc>
          <w:tcPr>
            <w:tcW w:w="495"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1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94"/>
              <w:jc w:val="both"/>
              <w:rPr>
                <w:rFonts w:ascii="宋体" w:hAnsi="宋体" w:cs="宋体" w:eastAsia="宋体" w:hint="default"/>
                <w:sz w:val="18"/>
                <w:szCs w:val="18"/>
              </w:rPr>
            </w:pPr>
            <w:r>
              <w:rPr>
                <w:rFonts w:ascii="宋体" w:hAnsi="宋体" w:cs="宋体" w:eastAsia="宋体" w:hint="default"/>
                <w:sz w:val="18"/>
                <w:szCs w:val="18"/>
              </w:rPr>
              <w:t>宁波泰岳梧 桐投资管理 有限公司</w:t>
            </w:r>
          </w:p>
        </w:tc>
        <w:tc>
          <w:tcPr>
            <w:tcW w:w="9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5,034,320.3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w:t>
            </w:r>
          </w:p>
        </w:tc>
        <w:tc>
          <w:tcPr>
            <w:tcW w:w="70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-415,688.7</w:t>
            </w:r>
            <w:r>
              <w:rPr>
                <w:rFonts w:ascii="Times New Roman"/>
                <w:sz w:val="18"/>
              </w:rPr>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851"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611" w:type="dxa"/>
            <w:tcBorders>
              <w:top w:val="single" w:sz="4" w:space="0" w:color="000000"/>
              <w:left w:val="single" w:sz="4" w:space="0" w:color="000000"/>
              <w:bottom w:val="single" w:sz="4" w:space="0" w:color="000000"/>
              <w:right w:val="single" w:sz="4" w:space="0" w:color="000000"/>
            </w:tcBorders>
          </w:tcPr>
          <w:p>
            <w:pP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4,618,631.66</w:t>
            </w:r>
          </w:p>
        </w:tc>
        <w:tc>
          <w:tcPr>
            <w:tcW w:w="495"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1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94"/>
              <w:jc w:val="both"/>
              <w:rPr>
                <w:rFonts w:ascii="宋体" w:hAnsi="宋体" w:cs="宋体" w:eastAsia="宋体" w:hint="default"/>
                <w:sz w:val="18"/>
                <w:szCs w:val="18"/>
              </w:rPr>
            </w:pPr>
            <w:r>
              <w:rPr>
                <w:rFonts w:ascii="宋体" w:hAnsi="宋体" w:cs="宋体" w:eastAsia="宋体" w:hint="default"/>
                <w:sz w:val="18"/>
                <w:szCs w:val="18"/>
              </w:rPr>
              <w:t>北京神州泰 岳良品电子 商务有限公 司</w:t>
            </w:r>
          </w:p>
        </w:tc>
        <w:tc>
          <w:tcPr>
            <w:tcW w:w="9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52,669,162.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57</w:t>
            </w:r>
          </w:p>
        </w:tc>
        <w:tc>
          <w:tcPr>
            <w:tcW w:w="70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-7,735,045</w:t>
            </w:r>
            <w:r>
              <w:rPr>
                <w:rFonts w:ascii="Times New Roman"/>
                <w:sz w:val="18"/>
              </w:rPr>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.24</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-203,594.0</w:t>
            </w:r>
            <w:r>
              <w:rPr>
                <w:rFonts w:ascii="Times New Roman"/>
                <w:sz w:val="18"/>
              </w:rPr>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w:t>
            </w:r>
          </w:p>
        </w:tc>
        <w:tc>
          <w:tcPr>
            <w:tcW w:w="56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611" w:type="dxa"/>
            <w:tcBorders>
              <w:top w:val="single" w:sz="4" w:space="0" w:color="000000"/>
              <w:left w:val="single" w:sz="4" w:space="0" w:color="000000"/>
              <w:bottom w:val="single" w:sz="4" w:space="0" w:color="000000"/>
              <w:right w:val="single" w:sz="4" w:space="0" w:color="000000"/>
            </w:tcBorders>
          </w:tcPr>
          <w:p>
            <w:pP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44,730,523.31</w:t>
            </w:r>
          </w:p>
        </w:tc>
        <w:tc>
          <w:tcPr>
            <w:tcW w:w="495"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1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94"/>
              <w:jc w:val="both"/>
              <w:rPr>
                <w:rFonts w:ascii="宋体" w:hAnsi="宋体" w:cs="宋体" w:eastAsia="宋体" w:hint="default"/>
                <w:sz w:val="18"/>
                <w:szCs w:val="18"/>
              </w:rPr>
            </w:pPr>
            <w:r>
              <w:rPr>
                <w:rFonts w:ascii="宋体" w:hAnsi="宋体" w:cs="宋体" w:eastAsia="宋体" w:hint="default"/>
                <w:sz w:val="18"/>
                <w:szCs w:val="18"/>
              </w:rPr>
              <w:t>北京神州泰 岳教育科技 有限公司</w:t>
            </w:r>
          </w:p>
        </w:tc>
        <w:tc>
          <w:tcPr>
            <w:tcW w:w="9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611" w:type="dxa"/>
            <w:tcBorders>
              <w:top w:val="single" w:sz="4" w:space="0" w:color="000000"/>
              <w:left w:val="single" w:sz="4" w:space="0" w:color="000000"/>
              <w:bottom w:val="single" w:sz="4" w:space="0" w:color="000000"/>
              <w:right w:val="single" w:sz="4" w:space="0" w:color="000000"/>
            </w:tcBorders>
          </w:tcPr>
          <w:p>
            <w:pP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z w:val="18"/>
              </w:rPr>
              <w:t>0.00</w:t>
            </w:r>
          </w:p>
        </w:tc>
        <w:tc>
          <w:tcPr>
            <w:tcW w:w="4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94"/>
              <w:jc w:val="left"/>
              <w:rPr>
                <w:rFonts w:ascii="宋体" w:hAnsi="宋体" w:cs="宋体" w:eastAsia="宋体" w:hint="default"/>
                <w:sz w:val="18"/>
                <w:szCs w:val="18"/>
              </w:rPr>
            </w:pPr>
            <w:r>
              <w:rPr>
                <w:rFonts w:ascii="宋体" w:hAnsi="宋体" w:cs="宋体" w:eastAsia="宋体" w:hint="default"/>
                <w:sz w:val="18"/>
                <w:szCs w:val="18"/>
              </w:rPr>
              <w:t>蓝鸥科技有 限公司</w:t>
            </w:r>
          </w:p>
        </w:tc>
        <w:tc>
          <w:tcPr>
            <w:tcW w:w="9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113,959,370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.71</w:t>
            </w:r>
          </w:p>
        </w:tc>
        <w:tc>
          <w:tcPr>
            <w:tcW w:w="70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-8,768,781</w:t>
            </w:r>
            <w:r>
              <w:rPr>
                <w:rFonts w:ascii="Times New Roman"/>
                <w:sz w:val="18"/>
              </w:rPr>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.09</w:t>
            </w:r>
          </w:p>
        </w:tc>
        <w:tc>
          <w:tcPr>
            <w:tcW w:w="851"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611" w:type="dxa"/>
            <w:tcBorders>
              <w:top w:val="single" w:sz="4" w:space="0" w:color="000000"/>
              <w:left w:val="single" w:sz="4" w:space="0" w:color="000000"/>
              <w:bottom w:val="single" w:sz="4" w:space="0" w:color="000000"/>
              <w:right w:val="single" w:sz="4" w:space="0" w:color="000000"/>
            </w:tcBorders>
          </w:tcPr>
          <w:p>
            <w:pP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6"/>
              <w:jc w:val="right"/>
              <w:rPr>
                <w:rFonts w:ascii="Times New Roman" w:hAnsi="Times New Roman" w:cs="Times New Roman" w:eastAsia="Times New Roman" w:hint="default"/>
                <w:sz w:val="18"/>
                <w:szCs w:val="18"/>
              </w:rPr>
            </w:pPr>
            <w:r>
              <w:rPr>
                <w:rFonts w:ascii="Times New Roman"/>
                <w:spacing w:val="-1"/>
                <w:sz w:val="18"/>
              </w:rPr>
              <w:t>105,190,589.6</w:t>
            </w:r>
          </w:p>
          <w:p>
            <w:pPr>
              <w:pStyle w:val="TableParagraph"/>
              <w:spacing w:line="240" w:lineRule="auto" w:before="105"/>
              <w:ind w:right="26"/>
              <w:jc w:val="right"/>
              <w:rPr>
                <w:rFonts w:ascii="Times New Roman" w:hAnsi="Times New Roman" w:cs="Times New Roman" w:eastAsia="Times New Roman" w:hint="default"/>
                <w:sz w:val="18"/>
                <w:szCs w:val="18"/>
              </w:rPr>
            </w:pPr>
            <w:r>
              <w:rPr>
                <w:rFonts w:ascii="Times New Roman"/>
                <w:sz w:val="18"/>
              </w:rPr>
              <w:t>2</w:t>
            </w:r>
          </w:p>
        </w:tc>
        <w:tc>
          <w:tcPr>
            <w:tcW w:w="495"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1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94"/>
              <w:jc w:val="both"/>
              <w:rPr>
                <w:rFonts w:ascii="宋体" w:hAnsi="宋体" w:cs="宋体" w:eastAsia="宋体" w:hint="default"/>
                <w:sz w:val="18"/>
                <w:szCs w:val="18"/>
              </w:rPr>
            </w:pPr>
            <w:r>
              <w:rPr>
                <w:rFonts w:ascii="宋体" w:hAnsi="宋体" w:cs="宋体" w:eastAsia="宋体" w:hint="default"/>
                <w:sz w:val="18"/>
                <w:szCs w:val="18"/>
              </w:rPr>
              <w:t>珠海神州泰 岳投资管理 有限公司</w:t>
            </w:r>
          </w:p>
        </w:tc>
        <w:tc>
          <w:tcPr>
            <w:tcW w:w="9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367,286.75</w:t>
            </w:r>
          </w:p>
        </w:tc>
        <w:tc>
          <w:tcPr>
            <w:tcW w:w="70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255,493.1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851"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611" w:type="dxa"/>
            <w:tcBorders>
              <w:top w:val="single" w:sz="4" w:space="0" w:color="000000"/>
              <w:left w:val="single" w:sz="4" w:space="0" w:color="000000"/>
              <w:bottom w:val="single" w:sz="4" w:space="0" w:color="000000"/>
              <w:right w:val="single" w:sz="4" w:space="0" w:color="000000"/>
            </w:tcBorders>
          </w:tcPr>
          <w:p>
            <w:pP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z w:val="18"/>
              </w:rPr>
              <w:t>622,779.93</w:t>
            </w:r>
          </w:p>
        </w:tc>
        <w:tc>
          <w:tcPr>
            <w:tcW w:w="495"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1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94"/>
              <w:jc w:val="both"/>
              <w:rPr>
                <w:rFonts w:ascii="宋体" w:hAnsi="宋体" w:cs="宋体" w:eastAsia="宋体" w:hint="default"/>
                <w:sz w:val="18"/>
                <w:szCs w:val="18"/>
              </w:rPr>
            </w:pPr>
            <w:r>
              <w:rPr>
                <w:rFonts w:ascii="宋体" w:hAnsi="宋体" w:cs="宋体" w:eastAsia="宋体" w:hint="default"/>
                <w:sz w:val="18"/>
                <w:szCs w:val="18"/>
              </w:rPr>
              <w:t>珠海泰岳梧 桐投资管理 有限公司</w:t>
            </w:r>
          </w:p>
        </w:tc>
        <w:tc>
          <w:tcPr>
            <w:tcW w:w="9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584,871.23</w:t>
            </w:r>
          </w:p>
        </w:tc>
        <w:tc>
          <w:tcPr>
            <w:tcW w:w="70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5" w:right="0"/>
              <w:jc w:val="center"/>
              <w:rPr>
                <w:rFonts w:ascii="Times New Roman" w:hAnsi="Times New Roman" w:cs="Times New Roman" w:eastAsia="Times New Roman" w:hint="default"/>
                <w:sz w:val="18"/>
                <w:szCs w:val="18"/>
              </w:rPr>
            </w:pPr>
            <w:r>
              <w:rPr>
                <w:rFonts w:ascii="Times New Roman"/>
                <w:sz w:val="18"/>
              </w:rPr>
              <w:t>27,926.42</w:t>
            </w:r>
          </w:p>
        </w:tc>
        <w:tc>
          <w:tcPr>
            <w:tcW w:w="851"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611" w:type="dxa"/>
            <w:tcBorders>
              <w:top w:val="single" w:sz="4" w:space="0" w:color="000000"/>
              <w:left w:val="single" w:sz="4" w:space="0" w:color="000000"/>
              <w:bottom w:val="single" w:sz="4" w:space="0" w:color="000000"/>
              <w:right w:val="single" w:sz="4" w:space="0" w:color="000000"/>
            </w:tcBorders>
          </w:tcPr>
          <w:p>
            <w:pP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z w:val="18"/>
              </w:rPr>
              <w:t>612,797.65</w:t>
            </w:r>
          </w:p>
        </w:tc>
        <w:tc>
          <w:tcPr>
            <w:tcW w:w="495"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1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94"/>
              <w:jc w:val="both"/>
              <w:rPr>
                <w:rFonts w:ascii="宋体" w:hAnsi="宋体" w:cs="宋体" w:eastAsia="宋体" w:hint="default"/>
                <w:sz w:val="18"/>
                <w:szCs w:val="18"/>
              </w:rPr>
            </w:pPr>
            <w:r>
              <w:rPr>
                <w:rFonts w:ascii="宋体" w:hAnsi="宋体" w:cs="宋体" w:eastAsia="宋体" w:hint="default"/>
                <w:sz w:val="18"/>
                <w:szCs w:val="18"/>
              </w:rPr>
              <w:t>北京岳海云 测信息技术 有限公司</w:t>
            </w:r>
          </w:p>
        </w:tc>
        <w:tc>
          <w:tcPr>
            <w:tcW w:w="9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708"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611" w:type="dxa"/>
            <w:tcBorders>
              <w:top w:val="single" w:sz="4" w:space="0" w:color="000000"/>
              <w:left w:val="single" w:sz="4" w:space="0" w:color="000000"/>
              <w:bottom w:val="single" w:sz="4" w:space="0" w:color="000000"/>
              <w:right w:val="single" w:sz="4" w:space="0" w:color="000000"/>
            </w:tcBorders>
          </w:tcPr>
          <w:p>
            <w:pP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z w:val="18"/>
              </w:rPr>
              <w:t>0.00</w:t>
            </w:r>
          </w:p>
        </w:tc>
        <w:tc>
          <w:tcPr>
            <w:tcW w:w="4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94"/>
              <w:jc w:val="left"/>
              <w:rPr>
                <w:rFonts w:ascii="宋体" w:hAnsi="宋体" w:cs="宋体" w:eastAsia="宋体" w:hint="default"/>
                <w:sz w:val="18"/>
                <w:szCs w:val="18"/>
              </w:rPr>
            </w:pPr>
            <w:r>
              <w:rPr>
                <w:rFonts w:ascii="宋体" w:hAnsi="宋体" w:cs="宋体" w:eastAsia="宋体" w:hint="default"/>
                <w:sz w:val="18"/>
                <w:szCs w:val="18"/>
              </w:rPr>
              <w:t>中建智能技 术有限公司</w:t>
            </w:r>
          </w:p>
        </w:tc>
        <w:tc>
          <w:tcPr>
            <w:tcW w:w="999" w:type="dxa"/>
            <w:tcBorders>
              <w:top w:val="single" w:sz="4" w:space="0" w:color="000000"/>
              <w:left w:val="single" w:sz="13" w:space="0" w:color="D2D2D2"/>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24,500,0</w:t>
            </w:r>
          </w:p>
          <w:p>
            <w:pPr>
              <w:pStyle w:val="TableParagraph"/>
              <w:spacing w:line="240" w:lineRule="auto" w:before="105"/>
              <w:ind w:left="269" w:right="0"/>
              <w:jc w:val="left"/>
              <w:rPr>
                <w:rFonts w:ascii="Times New Roman" w:hAnsi="Times New Roman" w:cs="Times New Roman" w:eastAsia="Times New Roman" w:hint="default"/>
                <w:sz w:val="18"/>
                <w:szCs w:val="18"/>
              </w:rPr>
            </w:pPr>
            <w:r>
              <w:rPr>
                <w:rFonts w:ascii="Times New Roman"/>
                <w:sz w:val="18"/>
              </w:rPr>
              <w:t>00.00</w:t>
            </w:r>
          </w:p>
        </w:tc>
        <w:tc>
          <w:tcPr>
            <w:tcW w:w="56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-522,977.6</w:t>
            </w:r>
            <w:r>
              <w:rPr>
                <w:rFonts w:ascii="Times New Roman"/>
                <w:sz w:val="18"/>
              </w:rPr>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851"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611" w:type="dxa"/>
            <w:tcBorders>
              <w:top w:val="single" w:sz="4" w:space="0" w:color="000000"/>
              <w:left w:val="single" w:sz="4" w:space="0" w:color="000000"/>
              <w:bottom w:val="single" w:sz="4" w:space="0" w:color="000000"/>
              <w:right w:val="single" w:sz="4" w:space="0" w:color="000000"/>
            </w:tcBorders>
          </w:tcPr>
          <w:p>
            <w:pPr/>
          </w:p>
        </w:tc>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23,977,022.40</w:t>
            </w:r>
          </w:p>
        </w:tc>
        <w:tc>
          <w:tcPr>
            <w:tcW w:w="4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1" w:right="0"/>
              <w:jc w:val="left"/>
              <w:rPr>
                <w:rFonts w:ascii="宋体" w:hAnsi="宋体" w:cs="宋体" w:eastAsia="宋体" w:hint="default"/>
                <w:sz w:val="18"/>
                <w:szCs w:val="18"/>
              </w:rPr>
            </w:pPr>
            <w:r>
              <w:rPr>
                <w:rFonts w:ascii="宋体" w:hAnsi="宋体" w:cs="宋体" w:eastAsia="宋体" w:hint="default"/>
                <w:sz w:val="18"/>
                <w:szCs w:val="18"/>
              </w:rPr>
              <w:t>北京玄一科</w:t>
            </w:r>
          </w:p>
        </w:tc>
        <w:tc>
          <w:tcPr>
            <w:tcW w:w="999" w:type="dxa"/>
            <w:tcBorders>
              <w:top w:val="single" w:sz="4" w:space="0" w:color="000000"/>
              <w:left w:val="single" w:sz="13" w:space="0" w:color="D2D2D2"/>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44" w:right="0"/>
              <w:jc w:val="left"/>
              <w:rPr>
                <w:rFonts w:ascii="Times New Roman" w:hAnsi="Times New Roman" w:cs="Times New Roman" w:eastAsia="Times New Roman" w:hint="default"/>
                <w:sz w:val="18"/>
                <w:szCs w:val="18"/>
              </w:rPr>
            </w:pPr>
            <w:r>
              <w:rPr>
                <w:rFonts w:ascii="Times New Roman"/>
                <w:sz w:val="18"/>
              </w:rPr>
              <w:t>9,000,00</w:t>
            </w:r>
          </w:p>
        </w:tc>
        <w:tc>
          <w:tcPr>
            <w:tcW w:w="567"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5" w:right="0"/>
              <w:jc w:val="center"/>
              <w:rPr>
                <w:rFonts w:ascii="Times New Roman" w:hAnsi="Times New Roman" w:cs="Times New Roman" w:eastAsia="Times New Roman" w:hint="default"/>
                <w:sz w:val="18"/>
                <w:szCs w:val="18"/>
              </w:rPr>
            </w:pPr>
            <w:r>
              <w:rPr>
                <w:rFonts w:ascii="Times New Roman"/>
                <w:sz w:val="18"/>
              </w:rPr>
              <w:t>-2,165,298</w:t>
            </w:r>
          </w:p>
        </w:tc>
        <w:tc>
          <w:tcPr>
            <w:tcW w:w="851"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6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67" w:right="0"/>
              <w:jc w:val="left"/>
              <w:rPr>
                <w:rFonts w:ascii="Times New Roman" w:hAnsi="Times New Roman" w:cs="Times New Roman" w:eastAsia="Times New Roman" w:hint="default"/>
                <w:sz w:val="18"/>
                <w:szCs w:val="18"/>
              </w:rPr>
            </w:pPr>
            <w:r>
              <w:rPr>
                <w:rFonts w:ascii="Times New Roman"/>
                <w:sz w:val="18"/>
              </w:rPr>
              <w:t>-6,834,</w:t>
            </w:r>
          </w:p>
        </w:tc>
        <w:tc>
          <w:tcPr>
            <w:tcW w:w="1101" w:type="dxa"/>
            <w:tcBorders>
              <w:top w:val="single" w:sz="4" w:space="0" w:color="000000"/>
              <w:left w:val="single" w:sz="4" w:space="0" w:color="000000"/>
              <w:bottom w:val="single" w:sz="4" w:space="0" w:color="000000"/>
              <w:right w:val="single" w:sz="4" w:space="0" w:color="000000"/>
            </w:tcBorders>
          </w:tcPr>
          <w:p>
            <w:pPr/>
          </w:p>
        </w:tc>
        <w:tc>
          <w:tcPr>
            <w:tcW w:w="495"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400" w:bottom="1160" w:left="980" w:right="0"/>
        </w:sectPr>
      </w:pPr>
    </w:p>
    <w:p>
      <w:pPr>
        <w:spacing w:line="240" w:lineRule="auto" w:before="6"/>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1134"/>
        <w:gridCol w:w="994"/>
        <w:gridCol w:w="708"/>
        <w:gridCol w:w="566"/>
        <w:gridCol w:w="851"/>
        <w:gridCol w:w="851"/>
        <w:gridCol w:w="566"/>
        <w:gridCol w:w="1134"/>
        <w:gridCol w:w="568"/>
        <w:gridCol w:w="605"/>
        <w:gridCol w:w="1096"/>
        <w:gridCol w:w="500"/>
      </w:tblGrid>
      <w:tr>
        <w:trPr>
          <w:trHeight w:val="686" w:hRule="exact"/>
        </w:trPr>
        <w:tc>
          <w:tcPr>
            <w:tcW w:w="1134"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left="22" w:right="0"/>
              <w:jc w:val="left"/>
              <w:rPr>
                <w:rFonts w:ascii="宋体" w:hAnsi="宋体" w:cs="宋体" w:eastAsia="宋体" w:hint="default"/>
                <w:sz w:val="18"/>
                <w:szCs w:val="18"/>
              </w:rPr>
            </w:pPr>
            <w:r>
              <w:rPr>
                <w:rFonts w:ascii="宋体" w:hAnsi="宋体" w:cs="宋体" w:eastAsia="宋体" w:hint="default"/>
                <w:sz w:val="18"/>
                <w:szCs w:val="18"/>
              </w:rPr>
              <w:t>技有限公司</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994" w:type="dxa"/>
            <w:tcBorders>
              <w:top w:val="single" w:sz="10" w:space="0" w:color="000000"/>
              <w:left w:val="single" w:sz="4" w:space="0" w:color="000000"/>
              <w:bottom w:val="single" w:sz="4" w:space="0" w:color="000000"/>
              <w:right w:val="single" w:sz="4" w:space="0" w:color="000000"/>
            </w:tcBorders>
          </w:tcPr>
          <w:p>
            <w:pPr/>
          </w:p>
        </w:tc>
        <w:tc>
          <w:tcPr>
            <w:tcW w:w="70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left="359" w:right="0"/>
              <w:jc w:val="left"/>
              <w:rPr>
                <w:rFonts w:ascii="Times New Roman" w:hAnsi="Times New Roman" w:cs="Times New Roman" w:eastAsia="Times New Roman" w:hint="default"/>
                <w:sz w:val="18"/>
                <w:szCs w:val="18"/>
              </w:rPr>
            </w:pPr>
            <w:r>
              <w:rPr>
                <w:rFonts w:ascii="Times New Roman"/>
                <w:sz w:val="18"/>
              </w:rPr>
              <w:t>0.00</w:t>
            </w:r>
          </w:p>
        </w:tc>
        <w:tc>
          <w:tcPr>
            <w:tcW w:w="566" w:type="dxa"/>
            <w:tcBorders>
              <w:top w:val="single" w:sz="10" w:space="0" w:color="000000"/>
              <w:left w:val="single" w:sz="4" w:space="0" w:color="000000"/>
              <w:bottom w:val="single" w:sz="4" w:space="0" w:color="000000"/>
              <w:right w:val="single" w:sz="4" w:space="0" w:color="000000"/>
            </w:tcBorders>
          </w:tcPr>
          <w:p>
            <w:pPr/>
          </w:p>
        </w:tc>
        <w:tc>
          <w:tcPr>
            <w:tcW w:w="85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right="19"/>
              <w:jc w:val="right"/>
              <w:rPr>
                <w:rFonts w:ascii="Times New Roman" w:hAnsi="Times New Roman" w:cs="Times New Roman" w:eastAsia="Times New Roman" w:hint="default"/>
                <w:sz w:val="18"/>
                <w:szCs w:val="18"/>
              </w:rPr>
            </w:pPr>
            <w:r>
              <w:rPr>
                <w:rFonts w:ascii="Times New Roman"/>
                <w:sz w:val="18"/>
              </w:rPr>
              <w:t>.80</w:t>
            </w:r>
          </w:p>
        </w:tc>
        <w:tc>
          <w:tcPr>
            <w:tcW w:w="851" w:type="dxa"/>
            <w:tcBorders>
              <w:top w:val="single" w:sz="10" w:space="0" w:color="000000"/>
              <w:left w:val="single" w:sz="4" w:space="0" w:color="000000"/>
              <w:bottom w:val="single" w:sz="4" w:space="0" w:color="000000"/>
              <w:right w:val="single" w:sz="4" w:space="0" w:color="000000"/>
            </w:tcBorders>
          </w:tcPr>
          <w:p>
            <w:pPr/>
          </w:p>
        </w:tc>
        <w:tc>
          <w:tcPr>
            <w:tcW w:w="566" w:type="dxa"/>
            <w:tcBorders>
              <w:top w:val="single" w:sz="10" w:space="0" w:color="000000"/>
              <w:left w:val="single" w:sz="4" w:space="0" w:color="000000"/>
              <w:bottom w:val="single" w:sz="4" w:space="0" w:color="000000"/>
              <w:right w:val="single" w:sz="4" w:space="0" w:color="000000"/>
            </w:tcBorders>
          </w:tcPr>
          <w:p>
            <w:pPr/>
          </w:p>
        </w:tc>
        <w:tc>
          <w:tcPr>
            <w:tcW w:w="1134" w:type="dxa"/>
            <w:tcBorders>
              <w:top w:val="single" w:sz="10" w:space="0" w:color="000000"/>
              <w:left w:val="single" w:sz="4" w:space="0" w:color="000000"/>
              <w:bottom w:val="single" w:sz="4" w:space="0" w:color="000000"/>
              <w:right w:val="single" w:sz="4" w:space="0" w:color="000000"/>
            </w:tcBorders>
          </w:tcPr>
          <w:p>
            <w:pPr/>
          </w:p>
        </w:tc>
        <w:tc>
          <w:tcPr>
            <w:tcW w:w="568" w:type="dxa"/>
            <w:tcBorders>
              <w:top w:val="single" w:sz="10" w:space="0" w:color="000000"/>
              <w:left w:val="single" w:sz="4" w:space="0" w:color="000000"/>
              <w:bottom w:val="single" w:sz="4" w:space="0" w:color="000000"/>
              <w:right w:val="single" w:sz="4" w:space="0" w:color="000000"/>
            </w:tcBorders>
          </w:tcPr>
          <w:p>
            <w:pPr/>
          </w:p>
        </w:tc>
        <w:tc>
          <w:tcPr>
            <w:tcW w:w="605"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left="76" w:right="0"/>
              <w:jc w:val="left"/>
              <w:rPr>
                <w:rFonts w:ascii="Times New Roman" w:hAnsi="Times New Roman" w:cs="Times New Roman" w:eastAsia="Times New Roman" w:hint="default"/>
                <w:sz w:val="18"/>
                <w:szCs w:val="18"/>
              </w:rPr>
            </w:pPr>
            <w:r>
              <w:rPr>
                <w:rFonts w:ascii="Times New Roman"/>
                <w:sz w:val="18"/>
              </w:rPr>
              <w:t>701.20</w:t>
            </w:r>
          </w:p>
        </w:tc>
        <w:tc>
          <w:tcPr>
            <w:tcW w:w="1096" w:type="dxa"/>
            <w:tcBorders>
              <w:top w:val="single" w:sz="10" w:space="0" w:color="000000"/>
              <w:left w:val="single" w:sz="4" w:space="0" w:color="000000"/>
              <w:bottom w:val="single" w:sz="4" w:space="0" w:color="000000"/>
              <w:right w:val="single" w:sz="4" w:space="0" w:color="000000"/>
            </w:tcBorders>
          </w:tcPr>
          <w:p>
            <w:pPr/>
          </w:p>
        </w:tc>
        <w:tc>
          <w:tcPr>
            <w:tcW w:w="500" w:type="dxa"/>
            <w:tcBorders>
              <w:top w:val="single" w:sz="10" w:space="0" w:color="000000"/>
              <w:left w:val="single" w:sz="4" w:space="0" w:color="000000"/>
              <w:bottom w:val="single" w:sz="4" w:space="0" w:color="000000"/>
              <w:right w:val="single" w:sz="4" w:space="0" w:color="000000"/>
            </w:tcBorders>
          </w:tcPr>
          <w:p>
            <w:pPr/>
          </w:p>
        </w:tc>
      </w:tr>
      <w:tr>
        <w:trPr>
          <w:trHeight w:val="1026"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62" w:lineRule="auto" w:before="91"/>
              <w:ind w:left="22" w:right="214"/>
              <w:jc w:val="left"/>
              <w:rPr>
                <w:rFonts w:ascii="Times New Roman" w:hAnsi="Times New Roman" w:cs="Times New Roman" w:eastAsia="Times New Roman" w:hint="default"/>
                <w:sz w:val="18"/>
                <w:szCs w:val="18"/>
              </w:rPr>
            </w:pPr>
            <w:r>
              <w:rPr>
                <w:rFonts w:ascii="Times New Roman"/>
                <w:sz w:val="18"/>
              </w:rPr>
              <w:t>Ultrapower</w:t>
            </w:r>
            <w:r>
              <w:rPr>
                <w:rFonts w:ascii="Times New Roman"/>
                <w:w w:val="99"/>
                <w:sz w:val="18"/>
              </w:rPr>
              <w:t> </w:t>
            </w:r>
            <w:r>
              <w:rPr>
                <w:rFonts w:ascii="Times New Roman"/>
                <w:sz w:val="18"/>
              </w:rPr>
              <w:t>360 Pte.</w:t>
            </w:r>
            <w:r>
              <w:rPr>
                <w:rFonts w:ascii="Times New Roman"/>
                <w:spacing w:val="-1"/>
                <w:sz w:val="18"/>
              </w:rPr>
              <w:t> </w:t>
            </w:r>
            <w:r>
              <w:rPr>
                <w:rFonts w:ascii="Times New Roman"/>
                <w:sz w:val="18"/>
              </w:rPr>
              <w:t>Ltd</w:t>
            </w:r>
          </w:p>
          <w:p>
            <w:pPr>
              <w:pStyle w:val="TableParagraph"/>
              <w:spacing w:line="214" w:lineRule="exact"/>
              <w:ind w:left="22"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994"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-1,096,695</w:t>
            </w:r>
            <w:r>
              <w:rPr>
                <w:rFonts w:ascii="Times New Roman"/>
                <w:sz w:val="18"/>
              </w:rPr>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.55</w:t>
            </w:r>
          </w:p>
        </w:tc>
        <w:tc>
          <w:tcPr>
            <w:tcW w:w="851"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1,096,6</w:t>
            </w:r>
          </w:p>
          <w:p>
            <w:pPr>
              <w:pStyle w:val="TableParagraph"/>
              <w:spacing w:line="240" w:lineRule="auto" w:before="106"/>
              <w:ind w:left="143" w:right="0"/>
              <w:jc w:val="center"/>
              <w:rPr>
                <w:rFonts w:ascii="Times New Roman" w:hAnsi="Times New Roman" w:cs="Times New Roman" w:eastAsia="Times New Roman" w:hint="default"/>
                <w:sz w:val="18"/>
                <w:szCs w:val="18"/>
              </w:rPr>
            </w:pPr>
            <w:r>
              <w:rPr>
                <w:rFonts w:ascii="Times New Roman"/>
                <w:sz w:val="18"/>
              </w:rPr>
              <w:t>95.55</w:t>
            </w:r>
          </w:p>
        </w:tc>
        <w:tc>
          <w:tcPr>
            <w:tcW w:w="1096" w:type="dxa"/>
            <w:tcBorders>
              <w:top w:val="single" w:sz="4" w:space="0" w:color="000000"/>
              <w:left w:val="single" w:sz="4" w:space="0" w:color="000000"/>
              <w:bottom w:val="single" w:sz="4" w:space="0" w:color="000000"/>
              <w:right w:val="single" w:sz="4" w:space="0" w:color="000000"/>
            </w:tcBorders>
          </w:tcPr>
          <w:p>
            <w:pPr/>
          </w:p>
        </w:tc>
        <w:tc>
          <w:tcPr>
            <w:tcW w:w="5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305,366,447</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.10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33,500,0</w:t>
            </w:r>
          </w:p>
          <w:p>
            <w:pPr>
              <w:pStyle w:val="TableParagraph"/>
              <w:spacing w:line="240" w:lineRule="auto" w:before="106"/>
              <w:ind w:left="269" w:right="0"/>
              <w:jc w:val="left"/>
              <w:rPr>
                <w:rFonts w:ascii="Times New Roman" w:hAnsi="Times New Roman" w:cs="Times New Roman" w:eastAsia="Times New Roman" w:hint="default"/>
                <w:sz w:val="18"/>
                <w:szCs w:val="18"/>
              </w:rPr>
            </w:pPr>
            <w:r>
              <w:rPr>
                <w:rFonts w:ascii="Times New Roman"/>
                <w:sz w:val="18"/>
              </w:rPr>
              <w:t>00.00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-3,594,569</w:t>
            </w:r>
            <w:r>
              <w:rPr>
                <w:rFonts w:ascii="Times New Roman"/>
                <w:sz w:val="18"/>
              </w:rPr>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.41</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157,552.6</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7</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-15,600,000.0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568"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 w:right="0"/>
              <w:jc w:val="left"/>
              <w:rPr>
                <w:rFonts w:ascii="Times New Roman" w:hAnsi="Times New Roman" w:cs="Times New Roman" w:eastAsia="Times New Roman" w:hint="default"/>
                <w:sz w:val="18"/>
                <w:szCs w:val="18"/>
              </w:rPr>
            </w:pPr>
            <w:r>
              <w:rPr>
                <w:rFonts w:ascii="Times New Roman"/>
                <w:sz w:val="18"/>
              </w:rPr>
              <w:t>-5,738,</w:t>
            </w:r>
          </w:p>
          <w:p>
            <w:pPr>
              <w:pStyle w:val="TableParagraph"/>
              <w:spacing w:line="240" w:lineRule="auto" w:before="106"/>
              <w:ind w:left="76" w:right="0"/>
              <w:jc w:val="left"/>
              <w:rPr>
                <w:rFonts w:ascii="Times New Roman" w:hAnsi="Times New Roman" w:cs="Times New Roman" w:eastAsia="Times New Roman" w:hint="default"/>
                <w:sz w:val="18"/>
                <w:szCs w:val="18"/>
              </w:rPr>
            </w:pPr>
            <w:r>
              <w:rPr>
                <w:rFonts w:ascii="Times New Roman"/>
                <w:sz w:val="18"/>
              </w:rPr>
              <w:t>005.65</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314,091,424.7</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1</w:t>
            </w:r>
          </w:p>
        </w:tc>
        <w:tc>
          <w:tcPr>
            <w:tcW w:w="5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305,366,447</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.10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33,500,0</w:t>
            </w:r>
          </w:p>
          <w:p>
            <w:pPr>
              <w:pStyle w:val="TableParagraph"/>
              <w:spacing w:line="240" w:lineRule="auto" w:before="106"/>
              <w:ind w:left="269" w:right="0"/>
              <w:jc w:val="left"/>
              <w:rPr>
                <w:rFonts w:ascii="Times New Roman" w:hAnsi="Times New Roman" w:cs="Times New Roman" w:eastAsia="Times New Roman" w:hint="default"/>
                <w:sz w:val="18"/>
                <w:szCs w:val="18"/>
              </w:rPr>
            </w:pPr>
            <w:r>
              <w:rPr>
                <w:rFonts w:ascii="Times New Roman"/>
                <w:sz w:val="18"/>
              </w:rPr>
              <w:t>00.00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-3,594,569</w:t>
            </w:r>
            <w:r>
              <w:rPr>
                <w:rFonts w:ascii="Times New Roman"/>
                <w:sz w:val="18"/>
              </w:rPr>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.41</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157,552.6</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7</w:t>
            </w:r>
          </w:p>
        </w:tc>
        <w:tc>
          <w:tcPr>
            <w:tcW w:w="566"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-15,600,000.0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568" w:type="dxa"/>
            <w:tcBorders>
              <w:top w:val="single" w:sz="4" w:space="0" w:color="000000"/>
              <w:left w:val="single" w:sz="4" w:space="0" w:color="000000"/>
              <w:bottom w:val="single" w:sz="4" w:space="0" w:color="000000"/>
              <w:right w:val="single" w:sz="4" w:space="0" w:color="000000"/>
            </w:tcBorders>
          </w:tcPr>
          <w:p>
            <w:pP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 w:right="0"/>
              <w:jc w:val="left"/>
              <w:rPr>
                <w:rFonts w:ascii="Times New Roman" w:hAnsi="Times New Roman" w:cs="Times New Roman" w:eastAsia="Times New Roman" w:hint="default"/>
                <w:sz w:val="18"/>
                <w:szCs w:val="18"/>
              </w:rPr>
            </w:pPr>
            <w:r>
              <w:rPr>
                <w:rFonts w:ascii="Times New Roman"/>
                <w:sz w:val="18"/>
              </w:rPr>
              <w:t>-5,738,</w:t>
            </w:r>
          </w:p>
          <w:p>
            <w:pPr>
              <w:pStyle w:val="TableParagraph"/>
              <w:spacing w:line="240" w:lineRule="auto" w:before="106"/>
              <w:ind w:left="76" w:right="0"/>
              <w:jc w:val="left"/>
              <w:rPr>
                <w:rFonts w:ascii="Times New Roman" w:hAnsi="Times New Roman" w:cs="Times New Roman" w:eastAsia="Times New Roman" w:hint="default"/>
                <w:sz w:val="18"/>
                <w:szCs w:val="18"/>
              </w:rPr>
            </w:pPr>
            <w:r>
              <w:rPr>
                <w:rFonts w:ascii="Times New Roman"/>
                <w:sz w:val="18"/>
              </w:rPr>
              <w:t>005.65</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314,091,424.7</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1</w:t>
            </w:r>
          </w:p>
        </w:tc>
        <w:tc>
          <w:tcPr>
            <w:tcW w:w="500"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left="114" w:right="1276"/>
        <w:jc w:val="left"/>
        <w:rPr>
          <w:rFonts w:ascii="Times New Roman" w:hAnsi="Times New Roman" w:cs="Times New Roman" w:eastAsia="Times New Roman" w:hint="default"/>
        </w:rPr>
      </w:pPr>
      <w:r>
        <w:rPr/>
        <w:t>【注</w:t>
      </w:r>
      <w:r>
        <w:rPr>
          <w:spacing w:val="-46"/>
        </w:rPr>
        <w:t> </w:t>
      </w:r>
      <w:r>
        <w:rPr>
          <w:rFonts w:ascii="Times New Roman" w:hAnsi="Times New Roman" w:cs="Times New Roman" w:eastAsia="Times New Roman" w:hint="default"/>
        </w:rPr>
        <w:t>1</w:t>
      </w:r>
      <w:r>
        <w:rPr/>
        <w:t>】详见附注七</w:t>
      </w:r>
      <w:r>
        <w:rPr>
          <w:spacing w:val="-90"/>
        </w:rPr>
        <w:t>、</w:t>
      </w:r>
      <w:r>
        <w:rPr/>
        <w:t>（十一</w:t>
      </w:r>
      <w:r>
        <w:rPr>
          <w:spacing w:val="-90"/>
        </w:rPr>
        <w:t>）</w:t>
      </w:r>
      <w:r>
        <w:rPr/>
        <w:t>、注</w:t>
      </w:r>
      <w:r>
        <w:rPr>
          <w:spacing w:val="-46"/>
        </w:rPr>
        <w:t> </w:t>
      </w:r>
      <w:r>
        <w:rPr>
          <w:rFonts w:ascii="Times New Roman" w:hAnsi="Times New Roman" w:cs="Times New Roman" w:eastAsia="Times New Roman" w:hint="default"/>
        </w:rPr>
        <w:t>6</w:t>
      </w:r>
    </w:p>
    <w:p>
      <w:pPr>
        <w:pStyle w:val="BodyText"/>
        <w:spacing w:line="240" w:lineRule="auto" w:before="103"/>
        <w:ind w:left="114" w:right="1276"/>
        <w:jc w:val="left"/>
        <w:rPr>
          <w:rFonts w:ascii="Times New Roman" w:hAnsi="Times New Roman" w:cs="Times New Roman" w:eastAsia="Times New Roman" w:hint="default"/>
        </w:rPr>
      </w:pPr>
      <w:r>
        <w:rPr/>
        <w:t>【注</w:t>
      </w:r>
      <w:r>
        <w:rPr>
          <w:spacing w:val="-46"/>
        </w:rPr>
        <w:t> </w:t>
      </w:r>
      <w:r>
        <w:rPr>
          <w:rFonts w:ascii="Times New Roman" w:hAnsi="Times New Roman" w:cs="Times New Roman" w:eastAsia="Times New Roman" w:hint="default"/>
        </w:rPr>
        <w:t>2</w:t>
      </w:r>
      <w:r>
        <w:rPr/>
        <w:t>】详见附注七</w:t>
      </w:r>
      <w:r>
        <w:rPr>
          <w:spacing w:val="-90"/>
        </w:rPr>
        <w:t>、</w:t>
      </w:r>
      <w:r>
        <w:rPr/>
        <w:t>（十一</w:t>
      </w:r>
      <w:r>
        <w:rPr>
          <w:spacing w:val="-90"/>
        </w:rPr>
        <w:t>）</w:t>
      </w:r>
      <w:r>
        <w:rPr/>
        <w:t>、注</w:t>
      </w:r>
      <w:r>
        <w:rPr>
          <w:spacing w:val="-46"/>
        </w:rPr>
        <w:t> </w:t>
      </w:r>
      <w:r>
        <w:rPr>
          <w:rFonts w:ascii="Times New Roman" w:hAnsi="Times New Roman" w:cs="Times New Roman" w:eastAsia="Times New Roman" w:hint="default"/>
        </w:rPr>
        <w:t>7</w:t>
      </w:r>
    </w:p>
    <w:p>
      <w:pPr>
        <w:spacing w:line="240" w:lineRule="auto" w:before="0"/>
        <w:rPr>
          <w:rFonts w:ascii="Times New Roman" w:hAnsi="Times New Roman" w:cs="Times New Roman" w:eastAsia="Times New Roman" w:hint="default"/>
          <w:sz w:val="18"/>
          <w:szCs w:val="18"/>
        </w:rPr>
      </w:pPr>
    </w:p>
    <w:p>
      <w:pPr>
        <w:pStyle w:val="Heading3"/>
        <w:spacing w:line="240" w:lineRule="auto" w:before="129"/>
        <w:ind w:left="114" w:right="1276"/>
        <w:jc w:val="left"/>
        <w:rPr>
          <w:b w:val="0"/>
          <w:bCs w:val="0"/>
        </w:rPr>
      </w:pPr>
      <w:bookmarkStart w:name="15、投资性房地产" w:id="263"/>
      <w:bookmarkEnd w:id="263"/>
      <w:r>
        <w:rPr>
          <w:b w:val="0"/>
          <w:bCs w:val="0"/>
        </w:rPr>
      </w:r>
      <w:r>
        <w:rPr>
          <w:rFonts w:ascii="Times New Roman" w:hAnsi="Times New Roman" w:cs="Times New Roman" w:eastAsia="Times New Roman" w:hint="default"/>
        </w:rPr>
        <w:t>15</w:t>
      </w:r>
      <w:r>
        <w:rPr/>
        <w:t>、投资性房地产</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114" w:right="1276"/>
        <w:jc w:val="left"/>
        <w:rPr>
          <w:b w:val="0"/>
          <w:bCs w:val="0"/>
        </w:rPr>
      </w:pPr>
      <w:bookmarkStart w:name="（1）采用成本计量模式的投资性房地产" w:id="264"/>
      <w:bookmarkEnd w:id="264"/>
      <w:r>
        <w:rPr>
          <w:b w:val="0"/>
          <w:bCs w:val="0"/>
        </w:rPr>
      </w:r>
      <w:r>
        <w:rPr/>
        <w:t>（</w:t>
      </w:r>
      <w:r>
        <w:rPr>
          <w:rFonts w:ascii="Times New Roman" w:hAnsi="Times New Roman" w:cs="Times New Roman" w:eastAsia="Times New Roman" w:hint="default"/>
        </w:rPr>
        <w:t>1</w:t>
      </w:r>
      <w:r>
        <w:rPr/>
        <w:t>）采用成本计量模式的投资性房地产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114" w:right="1276"/>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2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25"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188,678,119.29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188,678,119.29</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58,580,015.49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58,580,015.49</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）外购</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9" w:right="0"/>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）存货</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固定资产</w:t>
            </w:r>
          </w:p>
          <w:p>
            <w:pPr>
              <w:pStyle w:val="TableParagraph"/>
              <w:spacing w:line="240" w:lineRule="auto" w:before="63"/>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在建工程转入</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54"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）企业合并增加</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）债务重组</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58,580,015.49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58,580,015.49</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247,258,134.78</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247,258,134.78</w:t>
            </w:r>
          </w:p>
        </w:tc>
      </w:tr>
      <w:tr>
        <w:trPr>
          <w:trHeight w:val="71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66"/>
              <w:jc w:val="left"/>
              <w:rPr>
                <w:rFonts w:ascii="宋体" w:hAnsi="宋体" w:cs="宋体" w:eastAsia="宋体" w:hint="default"/>
                <w:sz w:val="18"/>
                <w:szCs w:val="18"/>
              </w:rPr>
            </w:pPr>
            <w:r>
              <w:rPr>
                <w:rFonts w:ascii="宋体" w:hAnsi="宋体" w:cs="宋体" w:eastAsia="宋体" w:hint="default"/>
                <w:sz w:val="18"/>
                <w:szCs w:val="18"/>
              </w:rPr>
              <w:t>二、累计折旧和累计摊 销</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28,697,551.57</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28,697,551.57</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4,657,377.85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4,657,377.85</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）计提或摊销</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4,657,377.85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4,657,377.85</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400" w:bottom="1160" w:left="1020" w:right="0"/>
        </w:sectPr>
      </w:pPr>
    </w:p>
    <w:p>
      <w:pPr>
        <w:spacing w:line="240" w:lineRule="auto" w:before="6"/>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14" w:hRule="exact"/>
        </w:trPr>
        <w:tc>
          <w:tcPr>
            <w:tcW w:w="191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7" w:type="dxa"/>
            <w:tcBorders>
              <w:top w:val="single" w:sz="10" w:space="0" w:color="000000"/>
              <w:left w:val="single" w:sz="4" w:space="0" w:color="000000"/>
              <w:bottom w:val="single" w:sz="4" w:space="0" w:color="000000"/>
              <w:right w:val="single" w:sz="4" w:space="0" w:color="000000"/>
            </w:tcBorders>
          </w:tcPr>
          <w:p>
            <w:pPr/>
          </w:p>
        </w:tc>
        <w:tc>
          <w:tcPr>
            <w:tcW w:w="1914" w:type="dxa"/>
            <w:tcBorders>
              <w:top w:val="single" w:sz="10" w:space="0" w:color="000000"/>
              <w:left w:val="single" w:sz="4" w:space="0" w:color="000000"/>
              <w:bottom w:val="single" w:sz="4" w:space="0" w:color="000000"/>
              <w:right w:val="single" w:sz="4" w:space="0" w:color="000000"/>
            </w:tcBorders>
          </w:tcPr>
          <w:p>
            <w:pPr/>
          </w:p>
        </w:tc>
        <w:tc>
          <w:tcPr>
            <w:tcW w:w="1914" w:type="dxa"/>
            <w:tcBorders>
              <w:top w:val="single" w:sz="10" w:space="0" w:color="000000"/>
              <w:left w:val="single" w:sz="4" w:space="0" w:color="000000"/>
              <w:bottom w:val="single" w:sz="4" w:space="0" w:color="000000"/>
              <w:right w:val="single" w:sz="4" w:space="0" w:color="000000"/>
            </w:tcBorders>
          </w:tcPr>
          <w:p>
            <w:pPr/>
          </w:p>
        </w:tc>
        <w:tc>
          <w:tcPr>
            <w:tcW w:w="1914" w:type="dxa"/>
            <w:tcBorders>
              <w:top w:val="single" w:sz="10"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33,354,929.42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33,354,929.42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213,903,205.36</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213,903,205.36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159,980,567.72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159,980,567.72</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2）采用公允价值计量模式的投资性房地产" w:id="265"/>
      <w:bookmarkEnd w:id="265"/>
      <w:r>
        <w:rPr>
          <w:b w:val="0"/>
          <w:bCs w:val="0"/>
        </w:rPr>
      </w:r>
      <w:r>
        <w:rPr/>
        <w:t>（</w:t>
      </w:r>
      <w:r>
        <w:rPr>
          <w:rFonts w:ascii="Times New Roman" w:hAnsi="Times New Roman" w:cs="Times New Roman" w:eastAsia="Times New Roman" w:hint="default"/>
        </w:rPr>
        <w:t>2</w:t>
      </w:r>
      <w:r>
        <w:rPr/>
        <w:t>）采用公允价值计量模式的投资性房地产</w:t>
      </w:r>
      <w:r>
        <w:rPr>
          <w:b w:val="0"/>
          <w:bCs w:val="0"/>
        </w:rPr>
      </w:r>
    </w:p>
    <w:p>
      <w:pPr>
        <w:spacing w:line="240" w:lineRule="auto" w:before="9"/>
        <w:rPr>
          <w:rFonts w:ascii="宋体" w:hAnsi="宋体" w:cs="宋体" w:eastAsia="宋体" w:hint="default"/>
          <w:b/>
          <w:bCs/>
          <w:sz w:val="26"/>
          <w:szCs w:val="26"/>
        </w:rPr>
      </w:pPr>
    </w:p>
    <w:p>
      <w:pPr>
        <w:spacing w:before="0"/>
        <w:ind w:left="114" w:right="127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left="114" w:right="1276"/>
        <w:jc w:val="left"/>
        <w:rPr>
          <w:b w:val="0"/>
          <w:bCs w:val="0"/>
        </w:rPr>
      </w:pPr>
      <w:bookmarkStart w:name="（3）未办妥产权证书的投资性房地产情况" w:id="266"/>
      <w:bookmarkEnd w:id="266"/>
      <w:r>
        <w:rPr>
          <w:b w:val="0"/>
          <w:bCs w:val="0"/>
        </w:rPr>
      </w:r>
      <w:r>
        <w:rPr/>
        <w:t>（</w:t>
      </w:r>
      <w:r>
        <w:rPr>
          <w:rFonts w:ascii="Times New Roman" w:hAnsi="Times New Roman" w:cs="Times New Roman" w:eastAsia="Times New Roman" w:hint="default"/>
        </w:rPr>
        <w:t>3</w:t>
      </w:r>
      <w:r>
        <w:rPr/>
        <w:t>）未办妥产权证书的投资性房地产情况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94" w:right="9670"/>
        <w:jc w:val="center"/>
      </w:pPr>
      <w:r>
        <w:rPr/>
        <w:t>无。</w:t>
      </w:r>
    </w:p>
    <w:p>
      <w:pPr>
        <w:spacing w:line="240" w:lineRule="auto" w:before="10"/>
        <w:rPr>
          <w:rFonts w:ascii="宋体" w:hAnsi="宋体" w:cs="宋体" w:eastAsia="宋体" w:hint="default"/>
          <w:sz w:val="26"/>
          <w:szCs w:val="26"/>
        </w:rPr>
      </w:pPr>
    </w:p>
    <w:p>
      <w:pPr>
        <w:pStyle w:val="Heading3"/>
        <w:spacing w:line="240" w:lineRule="auto"/>
        <w:ind w:left="114" w:right="1276"/>
        <w:jc w:val="left"/>
        <w:rPr>
          <w:b w:val="0"/>
          <w:bCs w:val="0"/>
        </w:rPr>
      </w:pPr>
      <w:bookmarkStart w:name="16、固定资产" w:id="267"/>
      <w:bookmarkEnd w:id="267"/>
      <w:r>
        <w:rPr>
          <w:b w:val="0"/>
          <w:bCs w:val="0"/>
        </w:rPr>
      </w:r>
      <w:r>
        <w:rPr>
          <w:rFonts w:ascii="Times New Roman" w:hAnsi="Times New Roman" w:cs="Times New Roman" w:eastAsia="Times New Roman" w:hint="default"/>
        </w:rPr>
        <w:t>16</w:t>
      </w:r>
      <w:r>
        <w:rPr/>
        <w:t>、固定资产</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3171"/>
        <w:gridCol w:w="3200"/>
        <w:gridCol w:w="3188"/>
      </w:tblGrid>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2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408,370,602.31</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423,187,880.87</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408,370,602.31</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423,187,880.87</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1）固定资产情况" w:id="268"/>
      <w:bookmarkEnd w:id="268"/>
      <w:r>
        <w:rPr>
          <w:b w:val="0"/>
          <w:bCs w:val="0"/>
        </w:rPr>
      </w:r>
      <w:r>
        <w:rPr/>
        <w:t>（</w:t>
      </w:r>
      <w:r>
        <w:rPr>
          <w:rFonts w:ascii="Times New Roman" w:hAnsi="Times New Roman" w:cs="Times New Roman" w:eastAsia="Times New Roman" w:hint="default"/>
        </w:rPr>
        <w:t>1</w:t>
      </w:r>
      <w:r>
        <w:rPr/>
        <w:t>）固定资产情况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56"/>
        <w:gridCol w:w="1378"/>
        <w:gridCol w:w="1368"/>
        <w:gridCol w:w="1367"/>
        <w:gridCol w:w="1367"/>
        <w:gridCol w:w="1367"/>
        <w:gridCol w:w="1367"/>
      </w:tblGrid>
      <w:tr>
        <w:trPr>
          <w:trHeight w:val="161" w:hRule="exact"/>
        </w:trPr>
        <w:tc>
          <w:tcPr>
            <w:tcW w:w="1356" w:type="dxa"/>
            <w:tcBorders>
              <w:top w:val="single" w:sz="4" w:space="0" w:color="000000"/>
              <w:left w:val="single" w:sz="4" w:space="0" w:color="000000"/>
              <w:bottom w:val="nil" w:sz="6" w:space="0" w:color="auto"/>
              <w:right w:val="single" w:sz="4" w:space="0" w:color="000000"/>
            </w:tcBorders>
            <w:shd w:val="clear" w:color="auto" w:fill="D2D2D2"/>
          </w:tcPr>
          <w:p>
            <w:pPr/>
          </w:p>
        </w:tc>
        <w:tc>
          <w:tcPr>
            <w:tcW w:w="1378"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587" w:right="91" w:hanging="405"/>
              <w:jc w:val="left"/>
              <w:rPr>
                <w:rFonts w:ascii="宋体" w:hAnsi="宋体" w:cs="宋体" w:eastAsia="宋体" w:hint="default"/>
                <w:sz w:val="18"/>
                <w:szCs w:val="18"/>
              </w:rPr>
            </w:pPr>
            <w:r>
              <w:rPr>
                <w:rFonts w:ascii="宋体" w:hAnsi="宋体" w:cs="宋体" w:eastAsia="宋体" w:hint="default"/>
                <w:sz w:val="18"/>
                <w:szCs w:val="18"/>
              </w:rPr>
              <w:t>办公及电子设 备</w:t>
            </w: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135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7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49"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3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367" w:type="dxa"/>
            <w:vMerge/>
            <w:tcBorders>
              <w:left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37" w:right="0"/>
              <w:jc w:val="left"/>
              <w:rPr>
                <w:rFonts w:ascii="宋体" w:hAnsi="宋体" w:cs="宋体" w:eastAsia="宋体" w:hint="default"/>
                <w:sz w:val="18"/>
                <w:szCs w:val="18"/>
              </w:rPr>
            </w:pPr>
            <w:r>
              <w:rPr>
                <w:rFonts w:ascii="宋体" w:hAnsi="宋体" w:cs="宋体" w:eastAsia="宋体" w:hint="default"/>
                <w:sz w:val="18"/>
                <w:szCs w:val="18"/>
              </w:rPr>
              <w:t>固定资产装修</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161" w:hRule="exact"/>
        </w:trPr>
        <w:tc>
          <w:tcPr>
            <w:tcW w:w="1356" w:type="dxa"/>
            <w:tcBorders>
              <w:top w:val="nil" w:sz="6" w:space="0" w:color="auto"/>
              <w:left w:val="single" w:sz="4" w:space="0" w:color="000000"/>
              <w:bottom w:val="single" w:sz="4" w:space="0" w:color="000000"/>
              <w:right w:val="single" w:sz="4" w:space="0" w:color="000000"/>
            </w:tcBorders>
            <w:shd w:val="clear" w:color="auto" w:fill="D2D2D2"/>
          </w:tcPr>
          <w:p>
            <w:pPr/>
          </w:p>
        </w:tc>
        <w:tc>
          <w:tcPr>
            <w:tcW w:w="137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61"/>
              <w:jc w:val="right"/>
              <w:rPr>
                <w:rFonts w:ascii="宋体" w:hAnsi="宋体" w:cs="宋体" w:eastAsia="宋体" w:hint="default"/>
                <w:sz w:val="18"/>
                <w:szCs w:val="18"/>
              </w:rPr>
            </w:pPr>
            <w:r>
              <w:rPr>
                <w:rFonts w:ascii="宋体" w:hAnsi="宋体" w:cs="宋体" w:eastAsia="宋体" w:hint="default"/>
                <w:sz w:val="18"/>
                <w:szCs w:val="18"/>
              </w:rPr>
              <w:t>一、账面原值：</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432,736,778.78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12,914,631.98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115,865,924.31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12,225,976.31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6,073,559.11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579,816,870.49</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right="105"/>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865,532.67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1,318,748.28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5,067,625.79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1,728,155.36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767,594.23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9,747,656.33</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1020" w:right="0"/>
        </w:sectPr>
      </w:pPr>
    </w:p>
    <w:tbl>
      <w:tblPr>
        <w:tblW w:w="0" w:type="auto"/>
        <w:jc w:val="left"/>
        <w:tblInd w:w="109" w:type="dxa"/>
        <w:tblLayout w:type="fixed"/>
        <w:tblCellMar>
          <w:top w:w="0" w:type="dxa"/>
          <w:left w:w="0" w:type="dxa"/>
          <w:bottom w:w="0" w:type="dxa"/>
          <w:right w:w="0" w:type="dxa"/>
        </w:tblCellMar>
        <w:tblLook w:val="01E0"/>
      </w:tblPr>
      <w:tblGrid>
        <w:gridCol w:w="1356"/>
        <w:gridCol w:w="1378"/>
        <w:gridCol w:w="1368"/>
        <w:gridCol w:w="1367"/>
        <w:gridCol w:w="1367"/>
        <w:gridCol w:w="1367"/>
        <w:gridCol w:w="1367"/>
      </w:tblGrid>
      <w:tr>
        <w:trPr>
          <w:trHeight w:val="374" w:hRule="exact"/>
        </w:trPr>
        <w:tc>
          <w:tcPr>
            <w:tcW w:w="1356"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378" w:type="dxa"/>
            <w:tcBorders>
              <w:top w:val="single" w:sz="10" w:space="0" w:color="000000"/>
              <w:left w:val="single" w:sz="13" w:space="0" w:color="D2D2D2"/>
              <w:bottom w:val="single" w:sz="4" w:space="0" w:color="000000"/>
              <w:right w:val="single" w:sz="4" w:space="0" w:color="000000"/>
            </w:tcBorders>
          </w:tcPr>
          <w:p>
            <w:pPr/>
          </w:p>
        </w:tc>
        <w:tc>
          <w:tcPr>
            <w:tcW w:w="1368" w:type="dxa"/>
            <w:tcBorders>
              <w:top w:val="single" w:sz="10" w:space="0" w:color="000000"/>
              <w:left w:val="single" w:sz="4" w:space="0" w:color="000000"/>
              <w:bottom w:val="single" w:sz="4" w:space="0" w:color="000000"/>
              <w:right w:val="single" w:sz="4" w:space="0" w:color="000000"/>
            </w:tcBorders>
          </w:tcPr>
          <w:p>
            <w:pPr/>
          </w:p>
        </w:tc>
        <w:tc>
          <w:tcPr>
            <w:tcW w:w="1367" w:type="dxa"/>
            <w:tcBorders>
              <w:top w:val="single" w:sz="10" w:space="0" w:color="000000"/>
              <w:left w:val="single" w:sz="4" w:space="0" w:color="000000"/>
              <w:bottom w:val="single" w:sz="4" w:space="0" w:color="000000"/>
              <w:right w:val="single" w:sz="4" w:space="0" w:color="000000"/>
            </w:tcBorders>
          </w:tcPr>
          <w:p>
            <w:pPr/>
          </w:p>
        </w:tc>
        <w:tc>
          <w:tcPr>
            <w:tcW w:w="1367" w:type="dxa"/>
            <w:tcBorders>
              <w:top w:val="single" w:sz="10" w:space="0" w:color="000000"/>
              <w:left w:val="single" w:sz="4" w:space="0" w:color="000000"/>
              <w:bottom w:val="single" w:sz="4" w:space="0" w:color="000000"/>
              <w:right w:val="single" w:sz="4" w:space="0" w:color="000000"/>
            </w:tcBorders>
          </w:tcPr>
          <w:p>
            <w:pPr/>
          </w:p>
        </w:tc>
        <w:tc>
          <w:tcPr>
            <w:tcW w:w="1367" w:type="dxa"/>
            <w:tcBorders>
              <w:top w:val="single" w:sz="10" w:space="0" w:color="000000"/>
              <w:left w:val="single" w:sz="4" w:space="0" w:color="000000"/>
              <w:bottom w:val="single" w:sz="4" w:space="0" w:color="000000"/>
              <w:right w:val="single" w:sz="4" w:space="0" w:color="000000"/>
            </w:tcBorders>
          </w:tcPr>
          <w:p>
            <w:pPr/>
          </w:p>
        </w:tc>
        <w:tc>
          <w:tcPr>
            <w:tcW w:w="1367" w:type="dxa"/>
            <w:tcBorders>
              <w:top w:val="single" w:sz="10"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152"/>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1,295,283.02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5,067,625.79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1,728,155.36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z w:val="18"/>
              </w:rPr>
              <w:t>767,594.23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8,858,658.40</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46"/>
              <w:ind w:left="22" w:right="10"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）在建工</w:t>
            </w:r>
            <w:r>
              <w:rPr>
                <w:rFonts w:ascii="宋体" w:hAnsi="宋体" w:cs="宋体" w:eastAsia="宋体" w:hint="default"/>
                <w:sz w:val="18"/>
                <w:szCs w:val="18"/>
              </w:rPr>
              <w:t> 程转入</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46"/>
              <w:ind w:left="22" w:right="10"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）企业合</w:t>
            </w:r>
            <w:r>
              <w:rPr>
                <w:rFonts w:ascii="宋体" w:hAnsi="宋体" w:cs="宋体" w:eastAsia="宋体" w:hint="default"/>
                <w:sz w:val="18"/>
                <w:szCs w:val="18"/>
              </w:rPr>
              <w:t> 并增加</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382" w:right="0"/>
              <w:jc w:val="left"/>
              <w:rPr>
                <w:rFonts w:ascii="宋体" w:hAnsi="宋体" w:cs="宋体" w:eastAsia="宋体" w:hint="default"/>
                <w:sz w:val="18"/>
                <w:szCs w:val="18"/>
              </w:rPr>
            </w:pP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4</w:t>
            </w:r>
            <w:r>
              <w:rPr>
                <w:rFonts w:ascii="宋体" w:hAnsi="宋体" w:cs="宋体" w:eastAsia="宋体" w:hint="default"/>
                <w:spacing w:val="-7"/>
                <w:sz w:val="18"/>
                <w:szCs w:val="18"/>
              </w:rPr>
              <w:t>）其他转</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入</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865,532.67</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865,532.67</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563" w:right="0"/>
              <w:jc w:val="left"/>
              <w:rPr>
                <w:rFonts w:ascii="宋体" w:hAnsi="宋体" w:cs="宋体" w:eastAsia="宋体" w:hint="default"/>
                <w:sz w:val="18"/>
                <w:szCs w:val="18"/>
              </w:rPr>
            </w:pPr>
            <w:r>
              <w:rPr>
                <w:rFonts w:ascii="宋体" w:hAnsi="宋体" w:cs="宋体" w:eastAsia="宋体" w:hint="default"/>
                <w:spacing w:val="-9"/>
                <w:sz w:val="18"/>
                <w:szCs w:val="18"/>
              </w:rPr>
              <w:t>（</w:t>
            </w:r>
            <w:r>
              <w:rPr>
                <w:rFonts w:ascii="Times New Roman" w:hAnsi="Times New Roman" w:cs="Times New Roman" w:eastAsia="Times New Roman" w:hint="default"/>
                <w:spacing w:val="-9"/>
                <w:sz w:val="18"/>
                <w:szCs w:val="18"/>
              </w:rPr>
              <w:t>5</w:t>
            </w:r>
            <w:r>
              <w:rPr>
                <w:rFonts w:ascii="宋体" w:hAnsi="宋体" w:cs="宋体" w:eastAsia="宋体" w:hint="default"/>
                <w:spacing w:val="-9"/>
                <w:sz w:val="18"/>
                <w:szCs w:val="18"/>
              </w:rPr>
              <w:t>）汇率</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变动</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23,465.26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23,465.26</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46"/>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2,107,672.37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1,245,158.33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544,394.01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3,897,224.71</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6"/>
              <w:ind w:left="22" w:right="10"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691,200.00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1,245,158.33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544,394.01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2,480,752.34</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6"/>
              <w:ind w:left="22" w:right="10" w:firstLine="540"/>
              <w:jc w:val="left"/>
              <w:rPr>
                <w:rFonts w:ascii="宋体" w:hAnsi="宋体" w:cs="宋体" w:eastAsia="宋体" w:hint="default"/>
                <w:sz w:val="18"/>
                <w:szCs w:val="18"/>
              </w:rPr>
            </w:pPr>
            <w:r>
              <w:rPr>
                <w:rFonts w:ascii="宋体" w:hAnsi="宋体" w:cs="宋体" w:eastAsia="宋体" w:hint="default"/>
                <w:spacing w:val="-9"/>
                <w:sz w:val="18"/>
                <w:szCs w:val="18"/>
              </w:rPr>
              <w:t>（</w:t>
            </w:r>
            <w:r>
              <w:rPr>
                <w:rFonts w:ascii="Times New Roman" w:hAnsi="Times New Roman" w:cs="Times New Roman" w:eastAsia="Times New Roman" w:hint="default"/>
                <w:spacing w:val="-9"/>
                <w:sz w:val="18"/>
                <w:szCs w:val="18"/>
              </w:rPr>
              <w:t>2</w:t>
            </w:r>
            <w:r>
              <w:rPr>
                <w:rFonts w:ascii="宋体" w:hAnsi="宋体" w:cs="宋体" w:eastAsia="宋体" w:hint="default"/>
                <w:spacing w:val="-9"/>
                <w:sz w:val="18"/>
                <w:szCs w:val="18"/>
              </w:rPr>
              <w:t>）企业</w:t>
            </w:r>
            <w:r>
              <w:rPr>
                <w:rFonts w:ascii="宋体" w:hAnsi="宋体" w:cs="宋体" w:eastAsia="宋体" w:hint="default"/>
                <w:sz w:val="18"/>
                <w:szCs w:val="18"/>
              </w:rPr>
              <w:t> 合并减少</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1,416,472.37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1,416,472.37</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433,602,311.45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12,125,707.89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119,688,391.77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13,954,131.67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6,296,759.33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1"/>
              <w:jc w:val="right"/>
              <w:rPr>
                <w:rFonts w:ascii="Times New Roman" w:hAnsi="Times New Roman" w:cs="Times New Roman" w:eastAsia="Times New Roman" w:hint="default"/>
                <w:sz w:val="18"/>
                <w:szCs w:val="18"/>
              </w:rPr>
            </w:pPr>
            <w:r>
              <w:rPr>
                <w:rFonts w:ascii="Times New Roman"/>
                <w:spacing w:val="-1"/>
                <w:sz w:val="18"/>
              </w:rPr>
              <w:t>585,667,302.11</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54,338,427.44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9,919,387.10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80,381,104.45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9,380,322.97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2,609,747.66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156,628,989.62</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6"/>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9,378,777.79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1,051,389.29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10,510,391.84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1,445,106.60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1,479,256.54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23,864,922.06</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152"/>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9,378,777.79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1,034,422.67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10,510,391.84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1,445,106.60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1,479,256.54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23,847,955.44</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563" w:right="0"/>
              <w:jc w:val="left"/>
              <w:rPr>
                <w:rFonts w:ascii="宋体" w:hAnsi="宋体" w:cs="宋体" w:eastAsia="宋体" w:hint="default"/>
                <w:sz w:val="18"/>
                <w:szCs w:val="18"/>
              </w:rPr>
            </w:pPr>
            <w:r>
              <w:rPr>
                <w:rFonts w:ascii="宋体" w:hAnsi="宋体" w:cs="宋体" w:eastAsia="宋体" w:hint="default"/>
                <w:spacing w:val="-9"/>
                <w:sz w:val="18"/>
                <w:szCs w:val="18"/>
              </w:rPr>
              <w:t>（</w:t>
            </w:r>
            <w:r>
              <w:rPr>
                <w:rFonts w:ascii="Times New Roman" w:hAnsi="Times New Roman" w:cs="Times New Roman" w:eastAsia="Times New Roman" w:hint="default"/>
                <w:spacing w:val="-9"/>
                <w:sz w:val="18"/>
                <w:szCs w:val="18"/>
              </w:rPr>
              <w:t>2</w:t>
            </w:r>
            <w:r>
              <w:rPr>
                <w:rFonts w:ascii="宋体" w:hAnsi="宋体" w:cs="宋体" w:eastAsia="宋体" w:hint="default"/>
                <w:spacing w:val="-9"/>
                <w:sz w:val="18"/>
                <w:szCs w:val="18"/>
              </w:rPr>
              <w:t>）汇率</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变动</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16,966.62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16,966.62</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6"/>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1,667,910.76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1,074,500.78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454,800.34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3,197,211.88</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6"/>
              <w:ind w:left="22" w:right="10"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590,140.00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1,074,500.78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454,800.34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2,119,441.12</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6"/>
              <w:ind w:left="22" w:right="10" w:firstLine="360"/>
              <w:jc w:val="left"/>
              <w:rPr>
                <w:rFonts w:ascii="宋体" w:hAnsi="宋体" w:cs="宋体" w:eastAsia="宋体" w:hint="default"/>
                <w:sz w:val="18"/>
                <w:szCs w:val="18"/>
              </w:rPr>
            </w:pP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2</w:t>
            </w:r>
            <w:r>
              <w:rPr>
                <w:rFonts w:ascii="宋体" w:hAnsi="宋体" w:cs="宋体" w:eastAsia="宋体" w:hint="default"/>
                <w:spacing w:val="-7"/>
                <w:sz w:val="18"/>
                <w:szCs w:val="18"/>
              </w:rPr>
              <w:t>）企业合</w:t>
            </w:r>
            <w:r>
              <w:rPr>
                <w:rFonts w:ascii="宋体" w:hAnsi="宋体" w:cs="宋体" w:eastAsia="宋体" w:hint="default"/>
                <w:sz w:val="18"/>
                <w:szCs w:val="18"/>
              </w:rPr>
              <w:t> 并减少</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1,077,770.76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1,077,770.76</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63,717,205.23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9,302,865.63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89,816,995.51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10,825,429.57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3,634,203.86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177,296,699.80</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6"/>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152"/>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7"/>
              <w:ind w:right="105"/>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440" w:bottom="1160" w:left="1020" w:right="0"/>
        </w:sectPr>
      </w:pPr>
    </w:p>
    <w:p>
      <w:pPr>
        <w:spacing w:line="240" w:lineRule="auto" w:before="6"/>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1356"/>
        <w:gridCol w:w="1378"/>
        <w:gridCol w:w="1368"/>
        <w:gridCol w:w="1367"/>
        <w:gridCol w:w="1367"/>
        <w:gridCol w:w="1367"/>
        <w:gridCol w:w="1367"/>
      </w:tblGrid>
      <w:tr>
        <w:trPr>
          <w:trHeight w:val="374" w:hRule="exact"/>
        </w:trPr>
        <w:tc>
          <w:tcPr>
            <w:tcW w:w="1356"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378" w:type="dxa"/>
            <w:tcBorders>
              <w:top w:val="single" w:sz="10" w:space="0" w:color="000000"/>
              <w:left w:val="single" w:sz="13" w:space="0" w:color="D2D2D2"/>
              <w:bottom w:val="single" w:sz="4" w:space="0" w:color="000000"/>
              <w:right w:val="single" w:sz="4" w:space="0" w:color="000000"/>
            </w:tcBorders>
          </w:tcPr>
          <w:p>
            <w:pPr/>
          </w:p>
        </w:tc>
        <w:tc>
          <w:tcPr>
            <w:tcW w:w="1368" w:type="dxa"/>
            <w:tcBorders>
              <w:top w:val="single" w:sz="10" w:space="0" w:color="000000"/>
              <w:left w:val="single" w:sz="4" w:space="0" w:color="000000"/>
              <w:bottom w:val="single" w:sz="4" w:space="0" w:color="000000"/>
              <w:right w:val="single" w:sz="4" w:space="0" w:color="000000"/>
            </w:tcBorders>
          </w:tcPr>
          <w:p>
            <w:pPr/>
          </w:p>
        </w:tc>
        <w:tc>
          <w:tcPr>
            <w:tcW w:w="1367" w:type="dxa"/>
            <w:tcBorders>
              <w:top w:val="single" w:sz="10" w:space="0" w:color="000000"/>
              <w:left w:val="single" w:sz="4" w:space="0" w:color="000000"/>
              <w:bottom w:val="single" w:sz="4" w:space="0" w:color="000000"/>
              <w:right w:val="single" w:sz="4" w:space="0" w:color="000000"/>
            </w:tcBorders>
          </w:tcPr>
          <w:p>
            <w:pPr/>
          </w:p>
        </w:tc>
        <w:tc>
          <w:tcPr>
            <w:tcW w:w="1367" w:type="dxa"/>
            <w:tcBorders>
              <w:top w:val="single" w:sz="10" w:space="0" w:color="000000"/>
              <w:left w:val="single" w:sz="4" w:space="0" w:color="000000"/>
              <w:bottom w:val="single" w:sz="4" w:space="0" w:color="000000"/>
              <w:right w:val="single" w:sz="4" w:space="0" w:color="000000"/>
            </w:tcBorders>
          </w:tcPr>
          <w:p>
            <w:pPr/>
          </w:p>
        </w:tc>
        <w:tc>
          <w:tcPr>
            <w:tcW w:w="1367" w:type="dxa"/>
            <w:tcBorders>
              <w:top w:val="single" w:sz="10" w:space="0" w:color="000000"/>
              <w:left w:val="single" w:sz="4" w:space="0" w:color="000000"/>
              <w:bottom w:val="single" w:sz="4" w:space="0" w:color="000000"/>
              <w:right w:val="single" w:sz="4" w:space="0" w:color="000000"/>
            </w:tcBorders>
          </w:tcPr>
          <w:p>
            <w:pPr/>
          </w:p>
        </w:tc>
        <w:tc>
          <w:tcPr>
            <w:tcW w:w="1367" w:type="dxa"/>
            <w:tcBorders>
              <w:top w:val="single" w:sz="10"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 值</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369,885,106.22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2,822,842.26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29,871,396.26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3,128,702.10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2,662,555.47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408,370,602.31</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 值</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378,398,351.34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2,995,244.88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35,484,819.86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2,845,653.34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3,463,811.45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423,187,880.87</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2）未办妥产权证书的固定资产情况" w:id="269"/>
      <w:bookmarkEnd w:id="269"/>
      <w:r>
        <w:rPr>
          <w:b w:val="0"/>
          <w:bCs w:val="0"/>
        </w:rPr>
      </w:r>
      <w:r>
        <w:rPr/>
        <w:t>（</w:t>
      </w:r>
      <w:r>
        <w:rPr>
          <w:rFonts w:ascii="Times New Roman" w:hAnsi="Times New Roman" w:cs="Times New Roman" w:eastAsia="Times New Roman" w:hint="default"/>
        </w:rPr>
        <w:t>2</w:t>
      </w:r>
      <w:r>
        <w:rPr/>
        <w:t>）未办妥产权证书的固定资产情况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844"/>
        <w:gridCol w:w="1985"/>
        <w:gridCol w:w="5741"/>
      </w:tblGrid>
      <w:tr>
        <w:trPr>
          <w:trHeight w:val="402" w:hRule="exact"/>
        </w:trPr>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37"/>
              <w:jc w:val="right"/>
              <w:rPr>
                <w:rFonts w:ascii="宋体" w:hAnsi="宋体" w:cs="宋体" w:eastAsia="宋体" w:hint="default"/>
                <w:sz w:val="18"/>
                <w:szCs w:val="18"/>
              </w:rPr>
            </w:pPr>
            <w:r>
              <w:rPr>
                <w:rFonts w:ascii="宋体" w:hAnsi="宋体" w:cs="宋体" w:eastAsia="宋体" w:hint="default"/>
                <w:sz w:val="18"/>
                <w:szCs w:val="18"/>
              </w:rPr>
              <w:t>项目</w:t>
            </w:r>
          </w:p>
        </w:tc>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2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57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未办妥产权证书的原因</w:t>
            </w:r>
          </w:p>
        </w:tc>
      </w:tr>
      <w:tr>
        <w:trPr>
          <w:trHeight w:val="402"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729"/>
              <w:jc w:val="right"/>
              <w:rPr>
                <w:rFonts w:ascii="宋体" w:hAnsi="宋体" w:cs="宋体" w:eastAsia="宋体" w:hint="default"/>
                <w:sz w:val="18"/>
                <w:szCs w:val="18"/>
              </w:rPr>
            </w:pPr>
            <w:r>
              <w:rPr>
                <w:rFonts w:ascii="宋体" w:hAnsi="宋体" w:cs="宋体" w:eastAsia="宋体" w:hint="default"/>
                <w:sz w:val="18"/>
                <w:szCs w:val="18"/>
              </w:rPr>
              <w:t>房屋及建筑物</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6" w:right="0"/>
              <w:jc w:val="left"/>
              <w:rPr>
                <w:rFonts w:ascii="Times New Roman" w:hAnsi="Times New Roman" w:cs="Times New Roman" w:eastAsia="Times New Roman" w:hint="default"/>
                <w:sz w:val="18"/>
                <w:szCs w:val="18"/>
              </w:rPr>
            </w:pPr>
            <w:r>
              <w:rPr>
                <w:rFonts w:ascii="Times New Roman"/>
                <w:sz w:val="18"/>
              </w:rPr>
              <w:t>87,273,990.15</w:t>
            </w:r>
          </w:p>
        </w:tc>
        <w:tc>
          <w:tcPr>
            <w:tcW w:w="5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5"/>
              <w:jc w:val="center"/>
              <w:rPr>
                <w:rFonts w:ascii="宋体" w:hAnsi="宋体" w:cs="宋体" w:eastAsia="宋体" w:hint="default"/>
                <w:sz w:val="18"/>
                <w:szCs w:val="18"/>
              </w:rPr>
            </w:pPr>
            <w:r>
              <w:rPr>
                <w:rFonts w:ascii="宋体" w:hAnsi="宋体" w:cs="宋体" w:eastAsia="宋体" w:hint="default"/>
                <w:sz w:val="18"/>
                <w:szCs w:val="18"/>
              </w:rPr>
              <w:t>重庆农信茶园新媒软件园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年办理完竣工验收，权证尚未办理完毕。</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p>
      <w:pPr>
        <w:pStyle w:val="Heading3"/>
        <w:spacing w:line="240" w:lineRule="auto" w:before="35"/>
        <w:ind w:left="114" w:right="1276"/>
        <w:jc w:val="left"/>
        <w:rPr>
          <w:b w:val="0"/>
          <w:bCs w:val="0"/>
        </w:rPr>
      </w:pPr>
      <w:bookmarkStart w:name="17、在建工程" w:id="270"/>
      <w:bookmarkEnd w:id="270"/>
      <w:r>
        <w:rPr>
          <w:b w:val="0"/>
          <w:bCs w:val="0"/>
        </w:rPr>
      </w:r>
      <w:r>
        <w:rPr>
          <w:rFonts w:ascii="Times New Roman" w:hAnsi="Times New Roman" w:cs="Times New Roman" w:eastAsia="Times New Roman" w:hint="default"/>
        </w:rPr>
        <w:t>17</w:t>
      </w:r>
      <w:r>
        <w:rPr/>
        <w:t>、在建工程</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884"/>
        <w:gridCol w:w="3827"/>
        <w:gridCol w:w="3858"/>
      </w:tblGrid>
      <w:tr>
        <w:trPr>
          <w:trHeight w:val="402" w:hRule="exact"/>
        </w:trPr>
        <w:tc>
          <w:tcPr>
            <w:tcW w:w="18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8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82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137,556.35</w:t>
            </w:r>
          </w:p>
        </w:tc>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120,021.25</w:t>
            </w:r>
          </w:p>
        </w:tc>
      </w:tr>
      <w:tr>
        <w:trPr>
          <w:trHeight w:val="402" w:hRule="exact"/>
        </w:trPr>
        <w:tc>
          <w:tcPr>
            <w:tcW w:w="18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82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137,556.35</w:t>
            </w:r>
          </w:p>
        </w:tc>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120,021.25</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1）在建工程情况" w:id="271"/>
      <w:bookmarkEnd w:id="271"/>
      <w:r>
        <w:rPr>
          <w:b w:val="0"/>
          <w:bCs w:val="0"/>
        </w:rPr>
      </w:r>
      <w:r>
        <w:rPr/>
        <w:t>（</w:t>
      </w:r>
      <w:r>
        <w:rPr>
          <w:rFonts w:ascii="Times New Roman" w:hAnsi="Times New Roman" w:cs="Times New Roman" w:eastAsia="Times New Roman" w:hint="default"/>
        </w:rPr>
        <w:t>1</w:t>
      </w:r>
      <w:r>
        <w:rPr/>
        <w:t>）在建工程情况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702"/>
        <w:gridCol w:w="1276"/>
        <w:gridCol w:w="1126"/>
        <w:gridCol w:w="1367"/>
        <w:gridCol w:w="1368"/>
        <w:gridCol w:w="1367"/>
        <w:gridCol w:w="1367"/>
      </w:tblGrid>
      <w:tr>
        <w:trPr>
          <w:trHeight w:val="402" w:hRule="exact"/>
        </w:trPr>
        <w:tc>
          <w:tcPr>
            <w:tcW w:w="17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76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7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2"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未来科学城综合管廊</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137,556.35</w:t>
            </w:r>
          </w:p>
        </w:tc>
        <w:tc>
          <w:tcPr>
            <w:tcW w:w="1126"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137,556.35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120,021.25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120,021.25</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137,556.35</w:t>
            </w:r>
          </w:p>
        </w:tc>
        <w:tc>
          <w:tcPr>
            <w:tcW w:w="1126"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137,556.35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120,021.25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120,021.25</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18、生产性生物资产" w:id="272"/>
      <w:bookmarkEnd w:id="272"/>
      <w:r>
        <w:rPr>
          <w:b w:val="0"/>
          <w:bCs w:val="0"/>
        </w:rPr>
      </w:r>
      <w:r>
        <w:rPr>
          <w:rFonts w:ascii="Times New Roman" w:hAnsi="Times New Roman" w:cs="Times New Roman" w:eastAsia="Times New Roman" w:hint="default"/>
        </w:rPr>
        <w:t>18</w:t>
      </w:r>
      <w:r>
        <w:rPr/>
        <w:t>、生产性生物资产</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4" w:right="1276"/>
        <w:jc w:val="left"/>
        <w:rPr>
          <w:b w:val="0"/>
          <w:bCs w:val="0"/>
        </w:rPr>
      </w:pPr>
      <w:bookmarkStart w:name="（1）采用成本计量模式的生产性生物资产" w:id="273"/>
      <w:bookmarkEnd w:id="273"/>
      <w:r>
        <w:rPr>
          <w:b w:val="0"/>
          <w:bCs w:val="0"/>
        </w:rPr>
      </w:r>
      <w:r>
        <w:rPr/>
        <w:t>（</w:t>
      </w:r>
      <w:r>
        <w:rPr>
          <w:rFonts w:ascii="Times New Roman" w:hAnsi="Times New Roman" w:cs="Times New Roman" w:eastAsia="Times New Roman" w:hint="default"/>
        </w:rPr>
        <w:t>1</w:t>
      </w:r>
      <w:r>
        <w:rPr/>
        <w:t>）采用成本计量模式的生产性生物资产</w:t>
      </w:r>
      <w:r>
        <w:rPr>
          <w:b w:val="0"/>
          <w:bCs w:val="0"/>
        </w:rPr>
      </w:r>
    </w:p>
    <w:p>
      <w:pPr>
        <w:spacing w:line="240" w:lineRule="auto" w:before="8"/>
        <w:rPr>
          <w:rFonts w:ascii="宋体" w:hAnsi="宋体" w:cs="宋体" w:eastAsia="宋体" w:hint="default"/>
          <w:b/>
          <w:bCs/>
          <w:sz w:val="26"/>
          <w:szCs w:val="26"/>
        </w:rPr>
      </w:pPr>
    </w:p>
    <w:p>
      <w:pPr>
        <w:spacing w:before="0"/>
        <w:ind w:left="114" w:right="127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51" w:footer="979" w:top="1400" w:bottom="1160" w:left="1020" w:right="0"/>
        </w:sectPr>
      </w:pPr>
    </w:p>
    <w:p>
      <w:pPr>
        <w:spacing w:line="240" w:lineRule="auto" w:before="11"/>
        <w:rPr>
          <w:rFonts w:ascii="宋体" w:hAnsi="宋体" w:cs="宋体" w:eastAsia="宋体" w:hint="default"/>
          <w:b/>
          <w:bCs/>
          <w:sz w:val="2"/>
          <w:szCs w:val="2"/>
        </w:rPr>
      </w:pPr>
    </w:p>
    <w:p>
      <w:pPr>
        <w:spacing w:line="20" w:lineRule="exact"/>
        <w:ind w:left="17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left="214" w:right="1753"/>
        <w:jc w:val="left"/>
        <w:rPr>
          <w:b w:val="0"/>
          <w:bCs w:val="0"/>
        </w:rPr>
      </w:pPr>
      <w:bookmarkStart w:name="（2）采用公允价值计量模式的生产性生物资产" w:id="274"/>
      <w:bookmarkEnd w:id="274"/>
      <w:r>
        <w:rPr>
          <w:b w:val="0"/>
          <w:bCs w:val="0"/>
        </w:rPr>
      </w:r>
      <w:r>
        <w:rPr/>
        <w:t>（</w:t>
      </w:r>
      <w:r>
        <w:rPr>
          <w:rFonts w:ascii="Times New Roman" w:hAnsi="Times New Roman" w:cs="Times New Roman" w:eastAsia="Times New Roman" w:hint="default"/>
        </w:rPr>
        <w:t>2</w:t>
      </w:r>
      <w:r>
        <w:rPr/>
        <w:t>）采用公允价值计量模式的生产性生物资产</w:t>
      </w:r>
      <w:r>
        <w:rPr>
          <w:b w:val="0"/>
          <w:bCs w:val="0"/>
        </w:rPr>
      </w:r>
    </w:p>
    <w:p>
      <w:pPr>
        <w:spacing w:line="240" w:lineRule="auto" w:before="8"/>
        <w:rPr>
          <w:rFonts w:ascii="宋体" w:hAnsi="宋体" w:cs="宋体" w:eastAsia="宋体" w:hint="default"/>
          <w:b/>
          <w:bCs/>
          <w:sz w:val="26"/>
          <w:szCs w:val="26"/>
        </w:rPr>
      </w:pPr>
    </w:p>
    <w:p>
      <w:pPr>
        <w:spacing w:before="0"/>
        <w:ind w:left="214" w:right="17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3"/>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1"/>
        <w:rPr>
          <w:rFonts w:ascii="宋体" w:hAnsi="宋体" w:cs="宋体" w:eastAsia="宋体" w:hint="default"/>
          <w:b/>
          <w:bCs/>
          <w:sz w:val="25"/>
          <w:szCs w:val="25"/>
        </w:rPr>
      </w:pPr>
    </w:p>
    <w:p>
      <w:pPr>
        <w:pStyle w:val="Heading3"/>
        <w:spacing w:line="240" w:lineRule="auto"/>
        <w:ind w:left="214" w:right="1753"/>
        <w:jc w:val="left"/>
        <w:rPr>
          <w:b w:val="0"/>
          <w:bCs w:val="0"/>
        </w:rPr>
      </w:pPr>
      <w:bookmarkStart w:name="19、油气资产" w:id="275"/>
      <w:bookmarkEnd w:id="275"/>
      <w:r>
        <w:rPr>
          <w:b w:val="0"/>
          <w:bCs w:val="0"/>
        </w:rPr>
      </w:r>
      <w:r>
        <w:rPr>
          <w:rFonts w:ascii="Times New Roman" w:hAnsi="Times New Roman" w:cs="Times New Roman" w:eastAsia="Times New Roman" w:hint="default"/>
        </w:rPr>
        <w:t>19</w:t>
      </w:r>
      <w:r>
        <w:rPr/>
        <w:t>、油气资产</w:t>
      </w:r>
      <w:r>
        <w:rPr>
          <w:b w:val="0"/>
          <w:bCs w:val="0"/>
        </w:rPr>
      </w:r>
    </w:p>
    <w:p>
      <w:pPr>
        <w:spacing w:line="240" w:lineRule="auto" w:before="8"/>
        <w:rPr>
          <w:rFonts w:ascii="宋体" w:hAnsi="宋体" w:cs="宋体" w:eastAsia="宋体" w:hint="default"/>
          <w:b/>
          <w:bCs/>
          <w:sz w:val="26"/>
          <w:szCs w:val="26"/>
        </w:rPr>
      </w:pPr>
    </w:p>
    <w:p>
      <w:pPr>
        <w:spacing w:before="0"/>
        <w:ind w:left="214" w:right="175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0"/>
        <w:rPr>
          <w:rFonts w:ascii="宋体" w:hAnsi="宋体" w:cs="宋体" w:eastAsia="宋体" w:hint="default"/>
          <w:b/>
          <w:bCs/>
          <w:sz w:val="25"/>
          <w:szCs w:val="25"/>
        </w:rPr>
      </w:pPr>
    </w:p>
    <w:p>
      <w:pPr>
        <w:pStyle w:val="Heading3"/>
        <w:spacing w:line="240" w:lineRule="auto"/>
        <w:ind w:left="214" w:right="1753"/>
        <w:jc w:val="left"/>
        <w:rPr>
          <w:b w:val="0"/>
          <w:bCs w:val="0"/>
        </w:rPr>
      </w:pPr>
      <w:bookmarkStart w:name="20、无形资产" w:id="276"/>
      <w:bookmarkEnd w:id="276"/>
      <w:r>
        <w:rPr>
          <w:b w:val="0"/>
          <w:bCs w:val="0"/>
        </w:rPr>
      </w:r>
      <w:r>
        <w:rPr>
          <w:rFonts w:ascii="Times New Roman" w:hAnsi="Times New Roman" w:cs="Times New Roman" w:eastAsia="Times New Roman" w:hint="default"/>
        </w:rPr>
        <w:t>20</w:t>
      </w:r>
      <w:r>
        <w:rPr/>
        <w:t>、无形资产</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214" w:right="1753"/>
        <w:jc w:val="left"/>
        <w:rPr>
          <w:b w:val="0"/>
          <w:bCs w:val="0"/>
        </w:rPr>
      </w:pPr>
      <w:bookmarkStart w:name="（1）无形资产情况" w:id="277"/>
      <w:bookmarkEnd w:id="277"/>
      <w:r>
        <w:rPr>
          <w:b w:val="0"/>
          <w:bCs w:val="0"/>
        </w:rPr>
      </w:r>
      <w:r>
        <w:rPr/>
        <w:t>（</w:t>
      </w:r>
      <w:r>
        <w:rPr>
          <w:rFonts w:ascii="Times New Roman" w:hAnsi="Times New Roman" w:cs="Times New Roman" w:eastAsia="Times New Roman" w:hint="default"/>
        </w:rPr>
        <w:t>1</w:t>
      </w:r>
      <w:r>
        <w:rPr/>
        <w:t>）无形资产情况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01" w:type="dxa"/>
        <w:tblLayout w:type="fixed"/>
        <w:tblCellMar>
          <w:top w:w="0" w:type="dxa"/>
          <w:left w:w="0" w:type="dxa"/>
          <w:bottom w:w="0" w:type="dxa"/>
          <w:right w:w="0" w:type="dxa"/>
        </w:tblCellMar>
        <w:tblLook w:val="01E0"/>
      </w:tblPr>
      <w:tblGrid>
        <w:gridCol w:w="1188"/>
        <w:gridCol w:w="1162"/>
        <w:gridCol w:w="1160"/>
        <w:gridCol w:w="1384"/>
        <w:gridCol w:w="1162"/>
        <w:gridCol w:w="1252"/>
        <w:gridCol w:w="1253"/>
        <w:gridCol w:w="1409"/>
      </w:tblGrid>
      <w:tr>
        <w:trPr>
          <w:trHeight w:val="439"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软件</w:t>
            </w:r>
          </w:p>
        </w:tc>
        <w:tc>
          <w:tcPr>
            <w:tcW w:w="11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非专利技术</w:t>
            </w:r>
          </w:p>
        </w:tc>
        <w:tc>
          <w:tcPr>
            <w:tcW w:w="13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147"/>
              <w:jc w:val="right"/>
              <w:rPr>
                <w:rFonts w:ascii="宋体" w:hAnsi="宋体" w:cs="宋体" w:eastAsia="宋体" w:hint="default"/>
                <w:sz w:val="18"/>
                <w:szCs w:val="18"/>
              </w:rPr>
            </w:pPr>
            <w:r>
              <w:rPr>
                <w:rFonts w:ascii="宋体" w:hAnsi="宋体" w:cs="宋体" w:eastAsia="宋体" w:hint="default"/>
                <w:sz w:val="18"/>
                <w:szCs w:val="18"/>
              </w:rPr>
              <w:t>自主研发软件</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26" w:right="0"/>
              <w:jc w:val="left"/>
              <w:rPr>
                <w:rFonts w:ascii="宋体" w:hAnsi="宋体" w:cs="宋体" w:eastAsia="宋体" w:hint="default"/>
                <w:sz w:val="18"/>
                <w:szCs w:val="18"/>
              </w:rPr>
            </w:pPr>
            <w:r>
              <w:rPr>
                <w:rFonts w:ascii="宋体" w:hAnsi="宋体" w:cs="宋体" w:eastAsia="宋体" w:hint="default"/>
                <w:sz w:val="18"/>
                <w:szCs w:val="18"/>
              </w:rPr>
              <w:t>许可使用权</w:t>
            </w:r>
          </w:p>
        </w:tc>
        <w:tc>
          <w:tcPr>
            <w:tcW w:w="1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70"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2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软件著作权</w:t>
            </w:r>
          </w:p>
        </w:tc>
        <w:tc>
          <w:tcPr>
            <w:tcW w:w="14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324"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．账面原值</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32"/>
              <w:ind w:left="103" w:right="101"/>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）年初余</w:t>
            </w:r>
            <w:r>
              <w:rPr>
                <w:rFonts w:ascii="宋体" w:hAnsi="宋体" w:cs="宋体" w:eastAsia="宋体" w:hint="default"/>
                <w:sz w:val="18"/>
                <w:szCs w:val="18"/>
              </w:rPr>
              <w:t> 额</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9,431,750.23</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2,899,000.00</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446,495,317.30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04" w:right="0"/>
              <w:jc w:val="left"/>
              <w:rPr>
                <w:rFonts w:ascii="Times New Roman" w:hAnsi="Times New Roman" w:cs="Times New Roman" w:eastAsia="Times New Roman" w:hint="default"/>
                <w:sz w:val="18"/>
                <w:szCs w:val="18"/>
              </w:rPr>
            </w:pPr>
            <w:r>
              <w:rPr>
                <w:rFonts w:ascii="Times New Roman"/>
                <w:sz w:val="18"/>
              </w:rPr>
              <w:t>3,639,145.31</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21,629,941.45</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46,398,300.00</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530,493,454.29</w:t>
            </w: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32"/>
              <w:ind w:left="103" w:right="101"/>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）本期增</w:t>
            </w:r>
            <w:r>
              <w:rPr>
                <w:rFonts w:ascii="宋体" w:hAnsi="宋体" w:cs="宋体" w:eastAsia="宋体" w:hint="default"/>
                <w:sz w:val="18"/>
                <w:szCs w:val="18"/>
              </w:rPr>
              <w:t> 加金额</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1,892,129.28</w:t>
            </w: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149,994,119.24</w:t>
            </w: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151,886,248.52</w:t>
            </w: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9"/>
              <w:ind w:left="55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购</w:t>
            </w:r>
          </w:p>
          <w:p>
            <w:pPr>
              <w:pStyle w:val="TableParagraph"/>
              <w:spacing w:line="228" w:lineRule="exact"/>
              <w:ind w:left="103" w:right="0"/>
              <w:jc w:val="left"/>
              <w:rPr>
                <w:rFonts w:ascii="宋体" w:hAnsi="宋体" w:cs="宋体" w:eastAsia="宋体" w:hint="default"/>
                <w:sz w:val="18"/>
                <w:szCs w:val="18"/>
              </w:rPr>
            </w:pPr>
            <w:r>
              <w:rPr>
                <w:rFonts w:ascii="宋体" w:hAnsi="宋体" w:cs="宋体" w:eastAsia="宋体" w:hint="default"/>
                <w:sz w:val="18"/>
                <w:szCs w:val="18"/>
              </w:rPr>
              <w:t>置</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1,757,108.86</w:t>
            </w: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1,757,108.86</w:t>
            </w: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32"/>
              <w:ind w:left="103" w:right="263" w:firstLine="45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内 部研发</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149,994,119.24</w:t>
            </w: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149,994,119.24</w:t>
            </w: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32"/>
              <w:ind w:left="103" w:right="263" w:firstLine="45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汇 率变动</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135,020.42</w:t>
            </w: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135,020.42</w:t>
            </w: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32"/>
              <w:ind w:left="103" w:right="101"/>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）本期减</w:t>
            </w:r>
            <w:r>
              <w:rPr>
                <w:rFonts w:ascii="宋体" w:hAnsi="宋体" w:cs="宋体" w:eastAsia="宋体" w:hint="default"/>
                <w:sz w:val="18"/>
                <w:szCs w:val="18"/>
              </w:rPr>
              <w:t> 少金额</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1,773,142.47</w:t>
            </w: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1,773,142.47</w:t>
            </w: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before="10"/>
              <w:ind w:left="55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处</w:t>
            </w:r>
          </w:p>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置</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5"/>
              <w:ind w:left="103" w:right="173" w:firstLine="45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企 业退出合并</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1,773,142.47</w:t>
            </w: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1,773,142.47</w:t>
            </w: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33"/>
              <w:ind w:left="103" w:right="101"/>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）期末余</w:t>
            </w:r>
            <w:r>
              <w:rPr>
                <w:rFonts w:ascii="宋体" w:hAnsi="宋体" w:cs="宋体" w:eastAsia="宋体" w:hint="default"/>
                <w:sz w:val="18"/>
                <w:szCs w:val="18"/>
              </w:rPr>
              <w:t> 额</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9,550,737.04</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2,899,000.00</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596,489,436.54</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4" w:right="0"/>
              <w:jc w:val="left"/>
              <w:rPr>
                <w:rFonts w:ascii="Times New Roman" w:hAnsi="Times New Roman" w:cs="Times New Roman" w:eastAsia="Times New Roman" w:hint="default"/>
                <w:sz w:val="18"/>
                <w:szCs w:val="18"/>
              </w:rPr>
            </w:pPr>
            <w:r>
              <w:rPr>
                <w:rFonts w:ascii="Times New Roman"/>
                <w:sz w:val="18"/>
              </w:rPr>
              <w:t>3,639,145.31</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21,629,941.45</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46,398,300.00</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680,606,560.34</w:t>
            </w:r>
          </w:p>
        </w:tc>
      </w:tr>
      <w:tr>
        <w:trPr>
          <w:trHeight w:val="324"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．累计摊销</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32"/>
              <w:ind w:left="103" w:right="101"/>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）年初余</w:t>
            </w:r>
            <w:r>
              <w:rPr>
                <w:rFonts w:ascii="宋体" w:hAnsi="宋体" w:cs="宋体" w:eastAsia="宋体" w:hint="default"/>
                <w:sz w:val="18"/>
                <w:szCs w:val="18"/>
              </w:rPr>
              <w:t> 额</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7,232,997.06</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2,899,000.00</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99,112,622.96</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4" w:right="0"/>
              <w:jc w:val="left"/>
              <w:rPr>
                <w:rFonts w:ascii="Times New Roman" w:hAnsi="Times New Roman" w:cs="Times New Roman" w:eastAsia="Times New Roman" w:hint="default"/>
                <w:sz w:val="18"/>
                <w:szCs w:val="18"/>
              </w:rPr>
            </w:pPr>
            <w:r>
              <w:rPr>
                <w:rFonts w:ascii="Times New Roman"/>
                <w:sz w:val="18"/>
              </w:rPr>
              <w:t>3,639,145.31</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2,682,181.20</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37,148,300.00</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152,714,246.53</w:t>
            </w: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32"/>
              <w:ind w:left="103" w:right="101"/>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）本期增</w:t>
            </w:r>
            <w:r>
              <w:rPr>
                <w:rFonts w:ascii="宋体" w:hAnsi="宋体" w:cs="宋体" w:eastAsia="宋体" w:hint="default"/>
                <w:sz w:val="18"/>
                <w:szCs w:val="18"/>
              </w:rPr>
              <w:t> 加金额</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1,591,949.08</w:t>
            </w: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50,843,483.64</w:t>
            </w: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433,051.80</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90" w:right="0"/>
              <w:jc w:val="center"/>
              <w:rPr>
                <w:rFonts w:ascii="Times New Roman" w:hAnsi="Times New Roman" w:cs="Times New Roman" w:eastAsia="Times New Roman" w:hint="default"/>
                <w:sz w:val="18"/>
                <w:szCs w:val="18"/>
              </w:rPr>
            </w:pPr>
            <w:r>
              <w:rPr>
                <w:rFonts w:ascii="Times New Roman"/>
                <w:sz w:val="18"/>
              </w:rPr>
              <w:t>3,000,000.00</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55,868,484.52</w:t>
            </w: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9"/>
              <w:ind w:left="55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计</w:t>
            </w:r>
          </w:p>
          <w:p>
            <w:pPr>
              <w:pStyle w:val="TableParagraph"/>
              <w:spacing w:line="228" w:lineRule="exact"/>
              <w:ind w:left="103" w:right="0"/>
              <w:jc w:val="left"/>
              <w:rPr>
                <w:rFonts w:ascii="宋体" w:hAnsi="宋体" w:cs="宋体" w:eastAsia="宋体" w:hint="default"/>
                <w:sz w:val="18"/>
                <w:szCs w:val="18"/>
              </w:rPr>
            </w:pPr>
            <w:r>
              <w:rPr>
                <w:rFonts w:ascii="宋体" w:hAnsi="宋体" w:cs="宋体" w:eastAsia="宋体" w:hint="default"/>
                <w:sz w:val="18"/>
                <w:szCs w:val="18"/>
              </w:rPr>
              <w:t>提</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1,456,928.70</w:t>
            </w: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50,843,483.64</w:t>
            </w: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433,051.80</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90" w:right="0"/>
              <w:jc w:val="center"/>
              <w:rPr>
                <w:rFonts w:ascii="Times New Roman" w:hAnsi="Times New Roman" w:cs="Times New Roman" w:eastAsia="Times New Roman" w:hint="default"/>
                <w:sz w:val="18"/>
                <w:szCs w:val="18"/>
              </w:rPr>
            </w:pPr>
            <w:r>
              <w:rPr>
                <w:rFonts w:ascii="Times New Roman"/>
                <w:sz w:val="18"/>
              </w:rPr>
              <w:t>3,000,000.00</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55,733,464.14</w:t>
            </w: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32"/>
              <w:ind w:left="103" w:right="263" w:firstLine="45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汇 率变动</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135,020.38</w:t>
            </w: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135,020.38</w:t>
            </w: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35"/>
              <w:ind w:left="103" w:right="101"/>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）本期减</w:t>
            </w:r>
            <w:r>
              <w:rPr>
                <w:rFonts w:ascii="宋体" w:hAnsi="宋体" w:cs="宋体" w:eastAsia="宋体" w:hint="default"/>
                <w:sz w:val="18"/>
                <w:szCs w:val="18"/>
              </w:rPr>
              <w:t> 少金额</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368,843.58</w:t>
            </w: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368,843.58</w:t>
            </w: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before="10"/>
              <w:ind w:left="55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处</w:t>
            </w:r>
          </w:p>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置</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
        </w:tc>
      </w:tr>
      <w:tr>
        <w:trPr>
          <w:trHeight w:val="558"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33"/>
              <w:ind w:left="103" w:right="173" w:firstLine="45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企 业退出合并</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368,843.58</w:t>
            </w: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368,843.58</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920" w:right="0"/>
        </w:sectPr>
      </w:pPr>
    </w:p>
    <w:p>
      <w:pPr>
        <w:spacing w:line="240" w:lineRule="auto" w:before="11"/>
        <w:rPr>
          <w:rFonts w:ascii="宋体" w:hAnsi="宋体" w:cs="宋体" w:eastAsia="宋体" w:hint="default"/>
          <w:b/>
          <w:bCs/>
          <w:sz w:val="2"/>
          <w:szCs w:val="2"/>
        </w:rPr>
      </w:pPr>
    </w:p>
    <w:tbl>
      <w:tblPr>
        <w:tblW w:w="0" w:type="auto"/>
        <w:jc w:val="left"/>
        <w:tblInd w:w="101" w:type="dxa"/>
        <w:tblLayout w:type="fixed"/>
        <w:tblCellMar>
          <w:top w:w="0" w:type="dxa"/>
          <w:left w:w="0" w:type="dxa"/>
          <w:bottom w:w="0" w:type="dxa"/>
          <w:right w:w="0" w:type="dxa"/>
        </w:tblCellMar>
        <w:tblLook w:val="01E0"/>
      </w:tblPr>
      <w:tblGrid>
        <w:gridCol w:w="1188"/>
        <w:gridCol w:w="1162"/>
        <w:gridCol w:w="1160"/>
        <w:gridCol w:w="1384"/>
        <w:gridCol w:w="1162"/>
        <w:gridCol w:w="1252"/>
        <w:gridCol w:w="1253"/>
        <w:gridCol w:w="1409"/>
      </w:tblGrid>
      <w:tr>
        <w:trPr>
          <w:trHeight w:val="447" w:hRule="exact"/>
        </w:trPr>
        <w:tc>
          <w:tcPr>
            <w:tcW w:w="1188"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6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软件</w:t>
            </w:r>
          </w:p>
        </w:tc>
        <w:tc>
          <w:tcPr>
            <w:tcW w:w="1160"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非专利技术</w:t>
            </w:r>
          </w:p>
        </w:tc>
        <w:tc>
          <w:tcPr>
            <w:tcW w:w="1384"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47"/>
              <w:jc w:val="right"/>
              <w:rPr>
                <w:rFonts w:ascii="宋体" w:hAnsi="宋体" w:cs="宋体" w:eastAsia="宋体" w:hint="default"/>
                <w:sz w:val="18"/>
                <w:szCs w:val="18"/>
              </w:rPr>
            </w:pPr>
            <w:r>
              <w:rPr>
                <w:rFonts w:ascii="宋体" w:hAnsi="宋体" w:cs="宋体" w:eastAsia="宋体" w:hint="default"/>
                <w:sz w:val="18"/>
                <w:szCs w:val="18"/>
              </w:rPr>
              <w:t>自主研发软件</w:t>
            </w:r>
          </w:p>
        </w:tc>
        <w:tc>
          <w:tcPr>
            <w:tcW w:w="116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26" w:right="0"/>
              <w:jc w:val="left"/>
              <w:rPr>
                <w:rFonts w:ascii="宋体" w:hAnsi="宋体" w:cs="宋体" w:eastAsia="宋体" w:hint="default"/>
                <w:sz w:val="18"/>
                <w:szCs w:val="18"/>
              </w:rPr>
            </w:pPr>
            <w:r>
              <w:rPr>
                <w:rFonts w:ascii="宋体" w:hAnsi="宋体" w:cs="宋体" w:eastAsia="宋体" w:hint="default"/>
                <w:sz w:val="18"/>
                <w:szCs w:val="18"/>
              </w:rPr>
              <w:t>许可使用权</w:t>
            </w:r>
          </w:p>
        </w:tc>
        <w:tc>
          <w:tcPr>
            <w:tcW w:w="125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土地使用权</w:t>
            </w:r>
          </w:p>
        </w:tc>
        <w:tc>
          <w:tcPr>
            <w:tcW w:w="1253"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软件著作权</w:t>
            </w:r>
          </w:p>
        </w:tc>
        <w:tc>
          <w:tcPr>
            <w:tcW w:w="140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32"/>
              <w:ind w:left="103" w:right="101"/>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）期末余</w:t>
            </w:r>
            <w:r>
              <w:rPr>
                <w:rFonts w:ascii="宋体" w:hAnsi="宋体" w:cs="宋体" w:eastAsia="宋体" w:hint="default"/>
                <w:sz w:val="18"/>
                <w:szCs w:val="18"/>
              </w:rPr>
              <w:t> 额</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8,456,102.56</w:t>
            </w:r>
          </w:p>
        </w:tc>
        <w:tc>
          <w:tcPr>
            <w:tcW w:w="1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2,899,000.00</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149,956,106.60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04" w:right="0"/>
              <w:jc w:val="left"/>
              <w:rPr>
                <w:rFonts w:ascii="Times New Roman" w:hAnsi="Times New Roman" w:cs="Times New Roman" w:eastAsia="Times New Roman" w:hint="default"/>
                <w:sz w:val="18"/>
                <w:szCs w:val="18"/>
              </w:rPr>
            </w:pPr>
            <w:r>
              <w:rPr>
                <w:rFonts w:ascii="Times New Roman"/>
                <w:sz w:val="18"/>
              </w:rPr>
              <w:t>3,639,145.31</w:t>
            </w: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97" w:right="0"/>
              <w:jc w:val="center"/>
              <w:rPr>
                <w:rFonts w:ascii="Times New Roman" w:hAnsi="Times New Roman" w:cs="Times New Roman" w:eastAsia="Times New Roman" w:hint="default"/>
                <w:sz w:val="18"/>
                <w:szCs w:val="18"/>
              </w:rPr>
            </w:pPr>
            <w:r>
              <w:rPr>
                <w:rFonts w:ascii="Times New Roman"/>
                <w:sz w:val="18"/>
              </w:rPr>
              <w:t>3,115,233.00</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40,148,300.00</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208,213,887.47</w:t>
            </w:r>
          </w:p>
        </w:tc>
      </w:tr>
      <w:tr>
        <w:trPr>
          <w:trHeight w:val="324"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．减值准备</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33"/>
              <w:ind w:left="103" w:right="101"/>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）年初余</w:t>
            </w:r>
            <w:r>
              <w:rPr>
                <w:rFonts w:ascii="宋体" w:hAnsi="宋体" w:cs="宋体" w:eastAsia="宋体" w:hint="default"/>
                <w:sz w:val="18"/>
                <w:szCs w:val="18"/>
              </w:rPr>
              <w:t> 额</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9,466,134.34</w:t>
            </w: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9,466,134.34</w:t>
            </w: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32"/>
              <w:ind w:left="103" w:right="101"/>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）本期增</w:t>
            </w:r>
            <w:r>
              <w:rPr>
                <w:rFonts w:ascii="宋体" w:hAnsi="宋体" w:cs="宋体" w:eastAsia="宋体" w:hint="default"/>
                <w:sz w:val="18"/>
                <w:szCs w:val="18"/>
              </w:rPr>
              <w:t> 加金额</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9"/>
              <w:ind w:left="55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计</w:t>
            </w:r>
          </w:p>
          <w:p>
            <w:pPr>
              <w:pStyle w:val="TableParagraph"/>
              <w:spacing w:line="228" w:lineRule="exact"/>
              <w:ind w:left="103" w:right="0"/>
              <w:jc w:val="left"/>
              <w:rPr>
                <w:rFonts w:ascii="宋体" w:hAnsi="宋体" w:cs="宋体" w:eastAsia="宋体" w:hint="default"/>
                <w:sz w:val="18"/>
                <w:szCs w:val="18"/>
              </w:rPr>
            </w:pPr>
            <w:r>
              <w:rPr>
                <w:rFonts w:ascii="宋体" w:hAnsi="宋体" w:cs="宋体" w:eastAsia="宋体" w:hint="default"/>
                <w:sz w:val="18"/>
                <w:szCs w:val="18"/>
              </w:rPr>
              <w:t>提</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32"/>
              <w:ind w:left="103" w:right="101"/>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）本期减</w:t>
            </w:r>
            <w:r>
              <w:rPr>
                <w:rFonts w:ascii="宋体" w:hAnsi="宋体" w:cs="宋体" w:eastAsia="宋体" w:hint="default"/>
                <w:sz w:val="18"/>
                <w:szCs w:val="18"/>
              </w:rPr>
              <w:t> 少金额</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9"/>
              <w:ind w:left="55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处</w:t>
            </w:r>
          </w:p>
          <w:p>
            <w:pPr>
              <w:pStyle w:val="TableParagraph"/>
              <w:spacing w:line="228" w:lineRule="exact"/>
              <w:ind w:left="103" w:right="0"/>
              <w:jc w:val="left"/>
              <w:rPr>
                <w:rFonts w:ascii="宋体" w:hAnsi="宋体" w:cs="宋体" w:eastAsia="宋体" w:hint="default"/>
                <w:sz w:val="18"/>
                <w:szCs w:val="18"/>
              </w:rPr>
            </w:pPr>
            <w:r>
              <w:rPr>
                <w:rFonts w:ascii="宋体" w:hAnsi="宋体" w:cs="宋体" w:eastAsia="宋体" w:hint="default"/>
                <w:sz w:val="18"/>
                <w:szCs w:val="18"/>
              </w:rPr>
              <w:t>置</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32"/>
              <w:ind w:left="103" w:right="101"/>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）期末余</w:t>
            </w:r>
            <w:r>
              <w:rPr>
                <w:rFonts w:ascii="宋体" w:hAnsi="宋体" w:cs="宋体" w:eastAsia="宋体" w:hint="default"/>
                <w:sz w:val="18"/>
                <w:szCs w:val="18"/>
              </w:rPr>
              <w:t> 额</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9,466,134.34</w:t>
            </w: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9,466,134.34</w:t>
            </w:r>
          </w:p>
        </w:tc>
      </w:tr>
      <w:tr>
        <w:trPr>
          <w:trHeight w:val="323"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．账面价值</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409" w:type="dxa"/>
            <w:tcBorders>
              <w:top w:val="single" w:sz="4" w:space="0" w:color="000000"/>
              <w:left w:val="single" w:sz="4" w:space="0" w:color="000000"/>
              <w:bottom w:val="single" w:sz="4" w:space="0" w:color="000000"/>
              <w:right w:val="single" w:sz="4" w:space="0" w:color="000000"/>
            </w:tcBorders>
          </w:tcPr>
          <w:p>
            <w:pPr/>
          </w:p>
        </w:tc>
      </w:tr>
      <w:tr>
        <w:trPr>
          <w:trHeight w:val="558"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33"/>
              <w:ind w:left="103" w:right="101"/>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）期末账</w:t>
            </w:r>
            <w:r>
              <w:rPr>
                <w:rFonts w:ascii="宋体" w:hAnsi="宋体" w:cs="宋体" w:eastAsia="宋体" w:hint="default"/>
                <w:sz w:val="18"/>
                <w:szCs w:val="18"/>
              </w:rPr>
              <w:t> 面价值</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1,094,634.48</w:t>
            </w: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437,067,195.60</w:t>
            </w: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18,514,708.45</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90" w:right="0"/>
              <w:jc w:val="center"/>
              <w:rPr>
                <w:rFonts w:ascii="Times New Roman" w:hAnsi="Times New Roman" w:cs="Times New Roman" w:eastAsia="Times New Roman" w:hint="default"/>
                <w:sz w:val="18"/>
                <w:szCs w:val="18"/>
              </w:rPr>
            </w:pPr>
            <w:r>
              <w:rPr>
                <w:rFonts w:ascii="Times New Roman"/>
                <w:sz w:val="18"/>
              </w:rPr>
              <w:t>6,250,000.00</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462,926,538.53</w:t>
            </w:r>
          </w:p>
        </w:tc>
      </w:tr>
      <w:tr>
        <w:trPr>
          <w:trHeight w:val="557" w:hRule="exact"/>
        </w:trPr>
        <w:tc>
          <w:tcPr>
            <w:tcW w:w="1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32"/>
              <w:ind w:left="103" w:right="101"/>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）年初账</w:t>
            </w:r>
            <w:r>
              <w:rPr>
                <w:rFonts w:ascii="宋体" w:hAnsi="宋体" w:cs="宋体" w:eastAsia="宋体" w:hint="default"/>
                <w:sz w:val="18"/>
                <w:szCs w:val="18"/>
              </w:rPr>
              <w:t> 面价值</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2,198,753.17</w:t>
            </w:r>
          </w:p>
        </w:tc>
        <w:tc>
          <w:tcPr>
            <w:tcW w:w="1160"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337,916,560.00</w:t>
            </w:r>
          </w:p>
        </w:tc>
        <w:tc>
          <w:tcPr>
            <w:tcW w:w="1162" w:type="dxa"/>
            <w:tcBorders>
              <w:top w:val="single" w:sz="4" w:space="0" w:color="000000"/>
              <w:left w:val="single" w:sz="4" w:space="0" w:color="000000"/>
              <w:bottom w:val="single" w:sz="4" w:space="0" w:color="000000"/>
              <w:right w:val="single" w:sz="4" w:space="0" w:color="000000"/>
            </w:tcBorders>
          </w:tcPr>
          <w:p>
            <w:pPr/>
          </w:p>
        </w:tc>
        <w:tc>
          <w:tcPr>
            <w:tcW w:w="1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18,947,760.25</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90" w:right="0"/>
              <w:jc w:val="center"/>
              <w:rPr>
                <w:rFonts w:ascii="Times New Roman" w:hAnsi="Times New Roman" w:cs="Times New Roman" w:eastAsia="Times New Roman" w:hint="default"/>
                <w:sz w:val="18"/>
                <w:szCs w:val="18"/>
              </w:rPr>
            </w:pPr>
            <w:r>
              <w:rPr>
                <w:rFonts w:ascii="Times New Roman"/>
                <w:sz w:val="18"/>
              </w:rPr>
              <w:t>9,250,000.00</w:t>
            </w:r>
          </w:p>
        </w:tc>
        <w:tc>
          <w:tcPr>
            <w:tcW w:w="1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368,313,073.42</w:t>
            </w:r>
          </w:p>
        </w:tc>
      </w:tr>
    </w:tbl>
    <w:p>
      <w:pPr>
        <w:pStyle w:val="BodyText"/>
        <w:spacing w:line="240" w:lineRule="auto" w:before="51"/>
        <w:ind w:left="214" w:right="1753"/>
        <w:jc w:val="left"/>
      </w:pPr>
      <w:r>
        <w:rPr/>
        <w:t>期末无形资产中通过公司内部研发形成的无形资产占无形资产余额的比例</w:t>
      </w:r>
      <w:r>
        <w:rPr>
          <w:spacing w:val="-46"/>
        </w:rPr>
        <w:t> </w:t>
      </w:r>
      <w:r>
        <w:rPr>
          <w:rFonts w:ascii="Times New Roman" w:hAnsi="Times New Roman" w:cs="Times New Roman" w:eastAsia="Times New Roman" w:hint="default"/>
        </w:rPr>
        <w:t>87.64%</w:t>
      </w:r>
      <w:r>
        <w:rPr/>
        <w:t>。</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6"/>
          <w:szCs w:val="16"/>
        </w:rPr>
      </w:pPr>
    </w:p>
    <w:p>
      <w:pPr>
        <w:pStyle w:val="BodyText"/>
        <w:spacing w:line="338" w:lineRule="auto"/>
        <w:ind w:left="214" w:right="1753"/>
        <w:jc w:val="left"/>
      </w:pPr>
      <w:r>
        <w:rPr/>
        <w:t>公司是否需遵守《深圳证券交易所创业板行业信息披露指引第</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上市公司从事互联网游戏业务》的披露要求 是</w:t>
      </w:r>
    </w:p>
    <w:p>
      <w:pPr>
        <w:pStyle w:val="BodyText"/>
        <w:spacing w:line="240" w:lineRule="auto" w:before="43"/>
        <w:ind w:left="214" w:right="1753"/>
        <w:jc w:val="left"/>
      </w:pPr>
      <w:r>
        <w:rPr/>
        <w:t>前五名游戏情况</w:t>
      </w:r>
    </w:p>
    <w:p>
      <w:pPr>
        <w:spacing w:line="240" w:lineRule="auto" w:before="13"/>
        <w:rPr>
          <w:rFonts w:ascii="宋体" w:hAnsi="宋体" w:cs="宋体" w:eastAsia="宋体" w:hint="default"/>
          <w:sz w:val="7"/>
          <w:szCs w:val="7"/>
        </w:rPr>
      </w:pPr>
    </w:p>
    <w:tbl>
      <w:tblPr>
        <w:tblW w:w="0" w:type="auto"/>
        <w:jc w:val="left"/>
        <w:tblInd w:w="197" w:type="dxa"/>
        <w:tblLayout w:type="fixed"/>
        <w:tblCellMar>
          <w:top w:w="0" w:type="dxa"/>
          <w:left w:w="0" w:type="dxa"/>
          <w:bottom w:w="0" w:type="dxa"/>
          <w:right w:w="0" w:type="dxa"/>
        </w:tblCellMar>
        <w:tblLook w:val="01E0"/>
      </w:tblPr>
      <w:tblGrid>
        <w:gridCol w:w="3254"/>
        <w:gridCol w:w="3252"/>
        <w:gridCol w:w="3153"/>
      </w:tblGrid>
      <w:tr>
        <w:trPr>
          <w:trHeight w:val="394" w:hRule="exact"/>
        </w:trPr>
        <w:tc>
          <w:tcPr>
            <w:tcW w:w="3254"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游戏名称</w:t>
            </w:r>
          </w:p>
        </w:tc>
        <w:tc>
          <w:tcPr>
            <w:tcW w:w="325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53"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44"/>
              <w:ind w:left="684" w:right="0"/>
              <w:jc w:val="left"/>
              <w:rPr>
                <w:rFonts w:ascii="宋体" w:hAnsi="宋体" w:cs="宋体" w:eastAsia="宋体" w:hint="default"/>
                <w:sz w:val="18"/>
                <w:szCs w:val="18"/>
              </w:rPr>
            </w:pPr>
            <w:r>
              <w:rPr>
                <w:rFonts w:ascii="宋体" w:hAnsi="宋体" w:cs="宋体" w:eastAsia="宋体" w:hint="default"/>
                <w:sz w:val="18"/>
                <w:szCs w:val="18"/>
              </w:rPr>
              <w:t>占无形资产比重（</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94" w:hRule="exact"/>
        </w:trPr>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left"/>
              <w:rPr>
                <w:rFonts w:ascii="宋体" w:hAnsi="宋体" w:cs="宋体" w:eastAsia="宋体" w:hint="default"/>
                <w:sz w:val="18"/>
                <w:szCs w:val="18"/>
              </w:rPr>
            </w:pPr>
            <w:r>
              <w:rPr>
                <w:rFonts w:ascii="宋体" w:hAnsi="宋体" w:cs="宋体" w:eastAsia="宋体" w:hint="default"/>
                <w:sz w:val="18"/>
                <w:szCs w:val="18"/>
              </w:rPr>
              <w:t>泰坦王座</w:t>
            </w:r>
          </w:p>
        </w:tc>
        <w:tc>
          <w:tcPr>
            <w:tcW w:w="3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1"/>
              <w:jc w:val="right"/>
              <w:rPr>
                <w:rFonts w:ascii="Times New Roman" w:hAnsi="Times New Roman" w:cs="Times New Roman" w:eastAsia="Times New Roman" w:hint="default"/>
                <w:sz w:val="18"/>
                <w:szCs w:val="18"/>
              </w:rPr>
            </w:pPr>
            <w:r>
              <w:rPr>
                <w:rFonts w:ascii="Times New Roman"/>
                <w:spacing w:val="-1"/>
                <w:sz w:val="18"/>
              </w:rPr>
              <w:t>23,229,416.32</w:t>
            </w:r>
          </w:p>
        </w:tc>
        <w:tc>
          <w:tcPr>
            <w:tcW w:w="31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1"/>
              <w:jc w:val="right"/>
              <w:rPr>
                <w:rFonts w:ascii="Times New Roman" w:hAnsi="Times New Roman" w:cs="Times New Roman" w:eastAsia="Times New Roman" w:hint="default"/>
                <w:sz w:val="18"/>
                <w:szCs w:val="18"/>
              </w:rPr>
            </w:pPr>
            <w:r>
              <w:rPr>
                <w:rFonts w:ascii="Times New Roman"/>
                <w:sz w:val="18"/>
              </w:rPr>
              <w:t>5.02</w:t>
            </w:r>
          </w:p>
        </w:tc>
      </w:tr>
      <w:tr>
        <w:trPr>
          <w:trHeight w:val="394" w:hRule="exact"/>
        </w:trPr>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Z</w:t>
            </w:r>
            <w:r>
              <w:rPr>
                <w:rFonts w:ascii="宋体" w:hAnsi="宋体" w:cs="宋体" w:eastAsia="宋体" w:hint="default"/>
                <w:sz w:val="18"/>
                <w:szCs w:val="18"/>
              </w:rPr>
              <w:t>纪元</w:t>
            </w:r>
          </w:p>
        </w:tc>
        <w:tc>
          <w:tcPr>
            <w:tcW w:w="3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1"/>
              <w:jc w:val="right"/>
              <w:rPr>
                <w:rFonts w:ascii="Times New Roman" w:hAnsi="Times New Roman" w:cs="Times New Roman" w:eastAsia="Times New Roman" w:hint="default"/>
                <w:sz w:val="18"/>
                <w:szCs w:val="18"/>
              </w:rPr>
            </w:pPr>
            <w:r>
              <w:rPr>
                <w:rFonts w:ascii="Times New Roman"/>
                <w:spacing w:val="-1"/>
                <w:sz w:val="18"/>
              </w:rPr>
              <w:t>16,319,525.56</w:t>
            </w:r>
          </w:p>
        </w:tc>
        <w:tc>
          <w:tcPr>
            <w:tcW w:w="31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1"/>
              <w:jc w:val="right"/>
              <w:rPr>
                <w:rFonts w:ascii="Times New Roman" w:hAnsi="Times New Roman" w:cs="Times New Roman" w:eastAsia="Times New Roman" w:hint="default"/>
                <w:sz w:val="18"/>
                <w:szCs w:val="18"/>
              </w:rPr>
            </w:pPr>
            <w:r>
              <w:rPr>
                <w:rFonts w:ascii="Times New Roman"/>
                <w:sz w:val="18"/>
              </w:rPr>
              <w:t>3.53</w:t>
            </w:r>
          </w:p>
        </w:tc>
      </w:tr>
      <w:tr>
        <w:trPr>
          <w:trHeight w:val="395" w:hRule="exact"/>
        </w:trPr>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left"/>
              <w:rPr>
                <w:rFonts w:ascii="宋体" w:hAnsi="宋体" w:cs="宋体" w:eastAsia="宋体" w:hint="default"/>
                <w:sz w:val="18"/>
                <w:szCs w:val="18"/>
              </w:rPr>
            </w:pPr>
            <w:r>
              <w:rPr>
                <w:rFonts w:ascii="宋体" w:hAnsi="宋体" w:cs="宋体" w:eastAsia="宋体" w:hint="default"/>
                <w:sz w:val="18"/>
                <w:szCs w:val="18"/>
              </w:rPr>
              <w:t>战火与秩序</w:t>
            </w:r>
          </w:p>
        </w:tc>
        <w:tc>
          <w:tcPr>
            <w:tcW w:w="3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1"/>
              <w:jc w:val="right"/>
              <w:rPr>
                <w:rFonts w:ascii="Times New Roman" w:hAnsi="Times New Roman" w:cs="Times New Roman" w:eastAsia="Times New Roman" w:hint="default"/>
                <w:sz w:val="18"/>
                <w:szCs w:val="18"/>
              </w:rPr>
            </w:pPr>
            <w:r>
              <w:rPr>
                <w:rFonts w:ascii="Times New Roman"/>
                <w:spacing w:val="-1"/>
                <w:sz w:val="18"/>
              </w:rPr>
              <w:t>2,134,171.94</w:t>
            </w:r>
          </w:p>
        </w:tc>
        <w:tc>
          <w:tcPr>
            <w:tcW w:w="31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1"/>
              <w:jc w:val="right"/>
              <w:rPr>
                <w:rFonts w:ascii="Times New Roman" w:hAnsi="Times New Roman" w:cs="Times New Roman" w:eastAsia="Times New Roman" w:hint="default"/>
                <w:sz w:val="18"/>
                <w:szCs w:val="18"/>
              </w:rPr>
            </w:pPr>
            <w:r>
              <w:rPr>
                <w:rFonts w:ascii="Times New Roman"/>
                <w:sz w:val="18"/>
              </w:rPr>
              <w:t>0.46</w:t>
            </w:r>
          </w:p>
        </w:tc>
      </w:tr>
      <w:tr>
        <w:trPr>
          <w:trHeight w:val="394" w:hRule="exact"/>
        </w:trPr>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2"/>
              <w:ind w:right="1"/>
              <w:jc w:val="right"/>
              <w:rPr>
                <w:rFonts w:ascii="Times New Roman" w:hAnsi="Times New Roman" w:cs="Times New Roman" w:eastAsia="Times New Roman" w:hint="default"/>
                <w:sz w:val="18"/>
                <w:szCs w:val="18"/>
              </w:rPr>
            </w:pPr>
            <w:r>
              <w:rPr>
                <w:rFonts w:ascii="Times New Roman"/>
                <w:spacing w:val="-1"/>
                <w:sz w:val="18"/>
              </w:rPr>
              <w:t>41,683,113.82</w:t>
            </w:r>
          </w:p>
        </w:tc>
        <w:tc>
          <w:tcPr>
            <w:tcW w:w="31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2"/>
              <w:ind w:right="1"/>
              <w:jc w:val="right"/>
              <w:rPr>
                <w:rFonts w:ascii="Times New Roman" w:hAnsi="Times New Roman" w:cs="Times New Roman" w:eastAsia="Times New Roman" w:hint="default"/>
                <w:sz w:val="18"/>
                <w:szCs w:val="18"/>
              </w:rPr>
            </w:pPr>
            <w:r>
              <w:rPr>
                <w:rFonts w:ascii="Times New Roman"/>
                <w:sz w:val="18"/>
              </w:rPr>
              <w:t>9.01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pStyle w:val="Heading3"/>
        <w:spacing w:line="240" w:lineRule="auto" w:before="35"/>
        <w:ind w:left="214" w:right="1753"/>
        <w:jc w:val="left"/>
        <w:rPr>
          <w:b w:val="0"/>
          <w:bCs w:val="0"/>
        </w:rPr>
      </w:pPr>
      <w:bookmarkStart w:name="21、开发支出" w:id="278"/>
      <w:bookmarkEnd w:id="278"/>
      <w:r>
        <w:rPr>
          <w:b w:val="0"/>
          <w:bCs w:val="0"/>
        </w:rPr>
      </w:r>
      <w:r>
        <w:rPr>
          <w:rFonts w:ascii="Times New Roman" w:hAnsi="Times New Roman" w:cs="Times New Roman" w:eastAsia="Times New Roman" w:hint="default"/>
        </w:rPr>
        <w:t>21</w:t>
      </w:r>
      <w:r>
        <w:rPr/>
        <w:t>、开发支出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01" w:type="dxa"/>
        <w:tblLayout w:type="fixed"/>
        <w:tblCellMar>
          <w:top w:w="0" w:type="dxa"/>
          <w:left w:w="0" w:type="dxa"/>
          <w:bottom w:w="0" w:type="dxa"/>
          <w:right w:w="0" w:type="dxa"/>
        </w:tblCellMar>
        <w:tblLook w:val="01E0"/>
      </w:tblPr>
      <w:tblGrid>
        <w:gridCol w:w="1527"/>
        <w:gridCol w:w="1278"/>
        <w:gridCol w:w="1416"/>
        <w:gridCol w:w="1561"/>
        <w:gridCol w:w="1272"/>
        <w:gridCol w:w="994"/>
        <w:gridCol w:w="991"/>
        <w:gridCol w:w="816"/>
      </w:tblGrid>
      <w:tr>
        <w:trPr>
          <w:trHeight w:val="358" w:hRule="exact"/>
        </w:trPr>
        <w:tc>
          <w:tcPr>
            <w:tcW w:w="152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7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63"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35"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27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269"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994" w:type="dxa"/>
            <w:vMerge w:val="restart"/>
            <w:tcBorders>
              <w:top w:val="single" w:sz="4" w:space="0" w:color="000000"/>
              <w:left w:val="single" w:sz="4" w:space="0" w:color="000000"/>
              <w:right w:val="single" w:sz="4" w:space="0" w:color="000000"/>
            </w:tcBorders>
            <w:shd w:val="clear" w:color="auto" w:fill="D2D2D2"/>
          </w:tcPr>
          <w:p>
            <w:pPr>
              <w:pStyle w:val="TableParagraph"/>
              <w:spacing w:line="276" w:lineRule="auto" w:before="55"/>
              <w:ind w:left="222" w:right="131" w:hanging="90"/>
              <w:jc w:val="left"/>
              <w:rPr>
                <w:rFonts w:ascii="宋体" w:hAnsi="宋体" w:cs="宋体" w:eastAsia="宋体" w:hint="default"/>
                <w:sz w:val="18"/>
                <w:szCs w:val="18"/>
              </w:rPr>
            </w:pPr>
            <w:r>
              <w:rPr>
                <w:rFonts w:ascii="宋体" w:hAnsi="宋体" w:cs="宋体" w:eastAsia="宋体" w:hint="default"/>
                <w:sz w:val="18"/>
                <w:szCs w:val="18"/>
              </w:rPr>
              <w:t>资本化开 始时点</w:t>
            </w:r>
          </w:p>
        </w:tc>
        <w:tc>
          <w:tcPr>
            <w:tcW w:w="991" w:type="dxa"/>
            <w:vMerge w:val="restart"/>
            <w:tcBorders>
              <w:top w:val="single" w:sz="4" w:space="0" w:color="000000"/>
              <w:left w:val="single" w:sz="4" w:space="0" w:color="000000"/>
              <w:right w:val="single" w:sz="4" w:space="0" w:color="000000"/>
            </w:tcBorders>
            <w:shd w:val="clear" w:color="auto" w:fill="D2D2D2"/>
          </w:tcPr>
          <w:p>
            <w:pPr>
              <w:pStyle w:val="TableParagraph"/>
              <w:spacing w:line="276" w:lineRule="auto" w:before="55"/>
              <w:ind w:left="220" w:right="128" w:hanging="90"/>
              <w:jc w:val="left"/>
              <w:rPr>
                <w:rFonts w:ascii="宋体" w:hAnsi="宋体" w:cs="宋体" w:eastAsia="宋体" w:hint="default"/>
                <w:sz w:val="18"/>
                <w:szCs w:val="18"/>
              </w:rPr>
            </w:pPr>
            <w:r>
              <w:rPr>
                <w:rFonts w:ascii="宋体" w:hAnsi="宋体" w:cs="宋体" w:eastAsia="宋体" w:hint="default"/>
                <w:sz w:val="18"/>
                <w:szCs w:val="18"/>
              </w:rPr>
              <w:t>资本化具 体依据</w:t>
            </w:r>
          </w:p>
        </w:tc>
        <w:tc>
          <w:tcPr>
            <w:tcW w:w="816" w:type="dxa"/>
            <w:vMerge w:val="restart"/>
            <w:tcBorders>
              <w:top w:val="single" w:sz="4" w:space="0" w:color="000000"/>
              <w:left w:val="single" w:sz="4" w:space="0" w:color="000000"/>
              <w:right w:val="single" w:sz="4" w:space="0" w:color="000000"/>
            </w:tcBorders>
            <w:shd w:val="clear" w:color="auto" w:fill="D2D2D2"/>
          </w:tcPr>
          <w:p>
            <w:pPr>
              <w:pStyle w:val="TableParagraph"/>
              <w:spacing w:line="276" w:lineRule="auto" w:before="55"/>
              <w:ind w:left="133" w:right="131"/>
              <w:jc w:val="left"/>
              <w:rPr>
                <w:rFonts w:ascii="宋体" w:hAnsi="宋体" w:cs="宋体" w:eastAsia="宋体" w:hint="default"/>
                <w:sz w:val="18"/>
                <w:szCs w:val="18"/>
              </w:rPr>
            </w:pPr>
            <w:r>
              <w:rPr>
                <w:rFonts w:ascii="宋体" w:hAnsi="宋体" w:cs="宋体" w:eastAsia="宋体" w:hint="default"/>
                <w:sz w:val="18"/>
                <w:szCs w:val="18"/>
              </w:rPr>
              <w:t>期末研 发进度</w:t>
            </w:r>
          </w:p>
        </w:tc>
      </w:tr>
      <w:tr>
        <w:trPr>
          <w:trHeight w:val="358" w:hRule="exact"/>
        </w:trPr>
        <w:tc>
          <w:tcPr>
            <w:tcW w:w="1527" w:type="dxa"/>
            <w:vMerge/>
            <w:tcBorders>
              <w:left w:val="single" w:sz="4" w:space="0" w:color="000000"/>
              <w:bottom w:val="single" w:sz="4" w:space="0" w:color="000000"/>
              <w:right w:val="single" w:sz="4" w:space="0" w:color="000000"/>
            </w:tcBorders>
            <w:shd w:val="clear" w:color="auto" w:fill="D2D2D2"/>
          </w:tcPr>
          <w:p>
            <w:pPr/>
          </w:p>
        </w:tc>
        <w:tc>
          <w:tcPr>
            <w:tcW w:w="1278" w:type="dxa"/>
            <w:vMerge/>
            <w:tcBorders>
              <w:left w:val="single" w:sz="4" w:space="0" w:color="000000"/>
              <w:bottom w:val="single" w:sz="4" w:space="0" w:color="000000"/>
              <w:right w:val="single" w:sz="4" w:space="0" w:color="000000"/>
            </w:tcBorders>
            <w:shd w:val="clear" w:color="auto" w:fill="D2D2D2"/>
          </w:tcPr>
          <w:p>
            <w:pP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63" w:right="0"/>
              <w:jc w:val="left"/>
              <w:rPr>
                <w:rFonts w:ascii="宋体" w:hAnsi="宋体" w:cs="宋体" w:eastAsia="宋体" w:hint="default"/>
                <w:sz w:val="18"/>
                <w:szCs w:val="18"/>
              </w:rPr>
            </w:pPr>
            <w:r>
              <w:rPr>
                <w:rFonts w:ascii="宋体" w:hAnsi="宋体" w:cs="宋体" w:eastAsia="宋体" w:hint="default"/>
                <w:sz w:val="18"/>
                <w:szCs w:val="18"/>
              </w:rPr>
              <w:t>内部开发支出</w:t>
            </w:r>
          </w:p>
        </w:tc>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44"/>
              <w:jc w:val="right"/>
              <w:rPr>
                <w:rFonts w:ascii="宋体" w:hAnsi="宋体" w:cs="宋体" w:eastAsia="宋体" w:hint="default"/>
                <w:sz w:val="18"/>
                <w:szCs w:val="18"/>
              </w:rPr>
            </w:pPr>
            <w:r>
              <w:rPr>
                <w:rFonts w:ascii="宋体" w:hAnsi="宋体" w:cs="宋体" w:eastAsia="宋体" w:hint="default"/>
                <w:sz w:val="18"/>
                <w:szCs w:val="18"/>
              </w:rPr>
              <w:t>确认为无形资产</w:t>
            </w:r>
          </w:p>
        </w:tc>
        <w:tc>
          <w:tcPr>
            <w:tcW w:w="1272" w:type="dxa"/>
            <w:vMerge/>
            <w:tcBorders>
              <w:left w:val="single" w:sz="4" w:space="0" w:color="000000"/>
              <w:bottom w:val="single" w:sz="4" w:space="0" w:color="000000"/>
              <w:right w:val="single" w:sz="4" w:space="0" w:color="000000"/>
            </w:tcBorders>
            <w:shd w:val="clear" w:color="auto" w:fill="D2D2D2"/>
          </w:tcPr>
          <w:p>
            <w:pPr/>
          </w:p>
        </w:tc>
        <w:tc>
          <w:tcPr>
            <w:tcW w:w="994" w:type="dxa"/>
            <w:vMerge/>
            <w:tcBorders>
              <w:left w:val="single" w:sz="4" w:space="0" w:color="000000"/>
              <w:bottom w:val="single" w:sz="4" w:space="0" w:color="000000"/>
              <w:right w:val="single" w:sz="4" w:space="0" w:color="000000"/>
            </w:tcBorders>
            <w:shd w:val="clear" w:color="auto" w:fill="D2D2D2"/>
          </w:tcPr>
          <w:p>
            <w:pPr/>
          </w:p>
        </w:tc>
        <w:tc>
          <w:tcPr>
            <w:tcW w:w="991" w:type="dxa"/>
            <w:vMerge/>
            <w:tcBorders>
              <w:left w:val="single" w:sz="4" w:space="0" w:color="000000"/>
              <w:bottom w:val="single" w:sz="4" w:space="0" w:color="000000"/>
              <w:right w:val="single" w:sz="4" w:space="0" w:color="000000"/>
            </w:tcBorders>
            <w:shd w:val="clear" w:color="auto" w:fill="D2D2D2"/>
          </w:tcPr>
          <w:p>
            <w:pPr/>
          </w:p>
        </w:tc>
        <w:tc>
          <w:tcPr>
            <w:tcW w:w="816" w:type="dxa"/>
            <w:vMerge/>
            <w:tcBorders>
              <w:left w:val="single" w:sz="4" w:space="0" w:color="000000"/>
              <w:bottom w:val="single" w:sz="4" w:space="0" w:color="000000"/>
              <w:right w:val="single" w:sz="4" w:space="0" w:color="000000"/>
            </w:tcBorders>
            <w:shd w:val="clear" w:color="auto" w:fill="D2D2D2"/>
          </w:tcPr>
          <w:p>
            <w:pPr/>
          </w:p>
        </w:tc>
      </w:tr>
      <w:tr>
        <w:trPr>
          <w:trHeight w:val="627" w:hRule="exact"/>
        </w:trPr>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
              <w:ind w:left="103" w:right="153"/>
              <w:jc w:val="left"/>
              <w:rPr>
                <w:rFonts w:ascii="宋体" w:hAnsi="宋体" w:cs="宋体" w:eastAsia="宋体" w:hint="default"/>
                <w:sz w:val="18"/>
                <w:szCs w:val="18"/>
              </w:rPr>
            </w:pPr>
            <w:r>
              <w:rPr>
                <w:rFonts w:ascii="宋体" w:hAnsi="宋体" w:cs="宋体" w:eastAsia="宋体" w:hint="default"/>
                <w:sz w:val="18"/>
                <w:szCs w:val="18"/>
              </w:rPr>
              <w:t>企业融合通信中 间件平台</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7,203,721.65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2,705,251.16</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9,908,972.81</w:t>
            </w:r>
          </w:p>
        </w:tc>
        <w:tc>
          <w:tcPr>
            <w:tcW w:w="127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p>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月</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
              <w:ind w:left="103" w:right="156"/>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
              <w:ind w:left="103" w:right="161"/>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628" w:hRule="exact"/>
        </w:trPr>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59" w:lineRule="auto" w:before="11"/>
              <w:ind w:left="103" w:right="205"/>
              <w:jc w:val="left"/>
              <w:rPr>
                <w:rFonts w:ascii="宋体" w:hAnsi="宋体" w:cs="宋体" w:eastAsia="宋体" w:hint="default"/>
                <w:sz w:val="18"/>
                <w:szCs w:val="18"/>
              </w:rPr>
            </w:pPr>
            <w:r>
              <w:rPr>
                <w:rFonts w:ascii="Times New Roman" w:hAnsi="Times New Roman" w:cs="Times New Roman" w:eastAsia="Times New Roman" w:hint="default"/>
                <w:sz w:val="18"/>
                <w:szCs w:val="18"/>
              </w:rPr>
              <w:t>Odyssey </w:t>
            </w:r>
            <w:r>
              <w:rPr>
                <w:rFonts w:ascii="宋体" w:hAnsi="宋体" w:cs="宋体" w:eastAsia="宋体" w:hint="default"/>
                <w:sz w:val="18"/>
                <w:szCs w:val="18"/>
              </w:rPr>
              <w:t>手游项 目</w:t>
            </w:r>
          </w:p>
        </w:tc>
        <w:tc>
          <w:tcPr>
            <w:tcW w:w="127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7,485,371.07</w:t>
            </w:r>
          </w:p>
        </w:tc>
        <w:tc>
          <w:tcPr>
            <w:tcW w:w="1561"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214" w:right="0"/>
              <w:jc w:val="left"/>
              <w:rPr>
                <w:rFonts w:ascii="Times New Roman" w:hAnsi="Times New Roman" w:cs="Times New Roman" w:eastAsia="Times New Roman" w:hint="default"/>
                <w:sz w:val="18"/>
                <w:szCs w:val="18"/>
              </w:rPr>
            </w:pPr>
            <w:r>
              <w:rPr>
                <w:rFonts w:ascii="Times New Roman"/>
                <w:sz w:val="18"/>
              </w:rPr>
              <w:t>7,485,371.07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p>
          <w:p>
            <w:pPr>
              <w:pStyle w:val="TableParagraph"/>
              <w:spacing w:line="240" w:lineRule="auto" w:before="19"/>
              <w:ind w:right="0"/>
              <w:jc w:val="center"/>
              <w:rPr>
                <w:rFonts w:ascii="宋体" w:hAnsi="宋体" w:cs="宋体" w:eastAsia="宋体" w:hint="default"/>
                <w:sz w:val="18"/>
                <w:szCs w:val="18"/>
              </w:rPr>
            </w:pPr>
            <w:r>
              <w:rPr>
                <w:rFonts w:ascii="宋体" w:hAnsi="宋体" w:cs="宋体" w:eastAsia="宋体" w:hint="default"/>
                <w:sz w:val="18"/>
                <w:szCs w:val="18"/>
              </w:rPr>
              <w:t>月</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1"/>
              <w:ind w:left="103" w:right="156"/>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1"/>
              <w:ind w:left="103" w:right="161"/>
              <w:jc w:val="left"/>
              <w:rPr>
                <w:rFonts w:ascii="宋体" w:hAnsi="宋体" w:cs="宋体" w:eastAsia="宋体" w:hint="default"/>
                <w:sz w:val="18"/>
                <w:szCs w:val="18"/>
              </w:rPr>
            </w:pPr>
            <w:r>
              <w:rPr>
                <w:rFonts w:ascii="宋体" w:hAnsi="宋体" w:cs="宋体" w:eastAsia="宋体" w:hint="default"/>
                <w:sz w:val="18"/>
                <w:szCs w:val="18"/>
              </w:rPr>
              <w:t>正在研 发中</w:t>
            </w:r>
          </w:p>
        </w:tc>
      </w:tr>
      <w:tr>
        <w:trPr>
          <w:trHeight w:val="359" w:hRule="exact"/>
        </w:trPr>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Z</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纪元手游项目</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2,714,507.59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14,167,760.23</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16,882,267.82</w:t>
            </w:r>
          </w:p>
        </w:tc>
        <w:tc>
          <w:tcPr>
            <w:tcW w:w="127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79"/>
                <w:sz w:val="18"/>
                <w:szCs w:val="18"/>
              </w:rPr>
              <w:t> </w:t>
            </w:r>
            <w:r>
              <w:rPr>
                <w:rFonts w:ascii="Times New Roman" w:hAnsi="Times New Roman" w:cs="Times New Roman" w:eastAsia="Times New Roman" w:hint="default"/>
                <w:sz w:val="18"/>
                <w:szCs w:val="18"/>
              </w:rPr>
              <w:t>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立项及审</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18"/>
                <w:szCs w:val="18"/>
              </w:rPr>
            </w:pPr>
            <w:r>
              <w:rPr>
                <w:rFonts w:ascii="宋体" w:hAnsi="宋体" w:cs="宋体" w:eastAsia="宋体" w:hint="default"/>
                <w:sz w:val="18"/>
                <w:szCs w:val="18"/>
              </w:rPr>
              <w:t>已经结</w:t>
            </w:r>
          </w:p>
        </w:tc>
      </w:tr>
    </w:tbl>
    <w:p>
      <w:pPr>
        <w:spacing w:after="0" w:line="240" w:lineRule="auto"/>
        <w:jc w:val="left"/>
        <w:rPr>
          <w:rFonts w:ascii="宋体" w:hAnsi="宋体" w:cs="宋体" w:eastAsia="宋体" w:hint="default"/>
          <w:sz w:val="18"/>
          <w:szCs w:val="18"/>
        </w:rPr>
        <w:sectPr>
          <w:pgSz w:w="11910" w:h="16840"/>
          <w:pgMar w:header="851" w:footer="979" w:top="1400" w:bottom="1160" w:left="920" w:right="0"/>
        </w:sectPr>
      </w:pPr>
    </w:p>
    <w:p>
      <w:pPr>
        <w:spacing w:line="240" w:lineRule="auto" w:before="11"/>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1527"/>
        <w:gridCol w:w="1278"/>
        <w:gridCol w:w="1416"/>
        <w:gridCol w:w="1561"/>
        <w:gridCol w:w="1272"/>
        <w:gridCol w:w="994"/>
        <w:gridCol w:w="991"/>
        <w:gridCol w:w="816"/>
      </w:tblGrid>
      <w:tr>
        <w:trPr>
          <w:trHeight w:val="365" w:hRule="exact"/>
        </w:trPr>
        <w:tc>
          <w:tcPr>
            <w:tcW w:w="1527" w:type="dxa"/>
            <w:vMerge w:val="restart"/>
            <w:tcBorders>
              <w:top w:val="single" w:sz="10"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78" w:type="dxa"/>
            <w:vMerge w:val="restart"/>
            <w:tcBorders>
              <w:top w:val="single" w:sz="10"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16"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63"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61"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35"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272" w:type="dxa"/>
            <w:vMerge w:val="restart"/>
            <w:tcBorders>
              <w:top w:val="single" w:sz="10"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269"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994" w:type="dxa"/>
            <w:vMerge w:val="restart"/>
            <w:tcBorders>
              <w:top w:val="single" w:sz="10" w:space="0" w:color="000000"/>
              <w:left w:val="single" w:sz="4" w:space="0" w:color="000000"/>
              <w:right w:val="single" w:sz="4" w:space="0" w:color="000000"/>
            </w:tcBorders>
            <w:shd w:val="clear" w:color="auto" w:fill="D2D2D2"/>
          </w:tcPr>
          <w:p>
            <w:pPr>
              <w:pStyle w:val="TableParagraph"/>
              <w:spacing w:line="273" w:lineRule="auto" w:before="55"/>
              <w:ind w:left="222" w:right="131" w:hanging="90"/>
              <w:jc w:val="left"/>
              <w:rPr>
                <w:rFonts w:ascii="宋体" w:hAnsi="宋体" w:cs="宋体" w:eastAsia="宋体" w:hint="default"/>
                <w:sz w:val="18"/>
                <w:szCs w:val="18"/>
              </w:rPr>
            </w:pPr>
            <w:r>
              <w:rPr>
                <w:rFonts w:ascii="宋体" w:hAnsi="宋体" w:cs="宋体" w:eastAsia="宋体" w:hint="default"/>
                <w:sz w:val="18"/>
                <w:szCs w:val="18"/>
              </w:rPr>
              <w:t>资本化开 始时点</w:t>
            </w:r>
          </w:p>
        </w:tc>
        <w:tc>
          <w:tcPr>
            <w:tcW w:w="991" w:type="dxa"/>
            <w:vMerge w:val="restart"/>
            <w:tcBorders>
              <w:top w:val="single" w:sz="10" w:space="0" w:color="000000"/>
              <w:left w:val="single" w:sz="4" w:space="0" w:color="000000"/>
              <w:right w:val="single" w:sz="4" w:space="0" w:color="000000"/>
            </w:tcBorders>
            <w:shd w:val="clear" w:color="auto" w:fill="D2D2D2"/>
          </w:tcPr>
          <w:p>
            <w:pPr>
              <w:pStyle w:val="TableParagraph"/>
              <w:spacing w:line="273" w:lineRule="auto" w:before="55"/>
              <w:ind w:left="220" w:right="128" w:hanging="90"/>
              <w:jc w:val="left"/>
              <w:rPr>
                <w:rFonts w:ascii="宋体" w:hAnsi="宋体" w:cs="宋体" w:eastAsia="宋体" w:hint="default"/>
                <w:sz w:val="18"/>
                <w:szCs w:val="18"/>
              </w:rPr>
            </w:pPr>
            <w:r>
              <w:rPr>
                <w:rFonts w:ascii="宋体" w:hAnsi="宋体" w:cs="宋体" w:eastAsia="宋体" w:hint="default"/>
                <w:sz w:val="18"/>
                <w:szCs w:val="18"/>
              </w:rPr>
              <w:t>资本化具 体依据</w:t>
            </w:r>
          </w:p>
        </w:tc>
        <w:tc>
          <w:tcPr>
            <w:tcW w:w="816" w:type="dxa"/>
            <w:vMerge w:val="restart"/>
            <w:tcBorders>
              <w:top w:val="single" w:sz="10" w:space="0" w:color="000000"/>
              <w:left w:val="single" w:sz="4" w:space="0" w:color="000000"/>
              <w:right w:val="single" w:sz="4" w:space="0" w:color="000000"/>
            </w:tcBorders>
            <w:shd w:val="clear" w:color="auto" w:fill="D2D2D2"/>
          </w:tcPr>
          <w:p>
            <w:pPr>
              <w:pStyle w:val="TableParagraph"/>
              <w:spacing w:line="273" w:lineRule="auto" w:before="55"/>
              <w:ind w:left="133" w:right="131"/>
              <w:jc w:val="left"/>
              <w:rPr>
                <w:rFonts w:ascii="宋体" w:hAnsi="宋体" w:cs="宋体" w:eastAsia="宋体" w:hint="default"/>
                <w:sz w:val="18"/>
                <w:szCs w:val="18"/>
              </w:rPr>
            </w:pPr>
            <w:r>
              <w:rPr>
                <w:rFonts w:ascii="宋体" w:hAnsi="宋体" w:cs="宋体" w:eastAsia="宋体" w:hint="default"/>
                <w:sz w:val="18"/>
                <w:szCs w:val="18"/>
              </w:rPr>
              <w:t>期末研 发进度</w:t>
            </w:r>
          </w:p>
        </w:tc>
      </w:tr>
      <w:tr>
        <w:trPr>
          <w:trHeight w:val="359" w:hRule="exact"/>
        </w:trPr>
        <w:tc>
          <w:tcPr>
            <w:tcW w:w="1527" w:type="dxa"/>
            <w:vMerge/>
            <w:tcBorders>
              <w:left w:val="single" w:sz="4" w:space="0" w:color="000000"/>
              <w:bottom w:val="single" w:sz="4" w:space="0" w:color="000000"/>
              <w:right w:val="single" w:sz="4" w:space="0" w:color="000000"/>
            </w:tcBorders>
            <w:shd w:val="clear" w:color="auto" w:fill="D2D2D2"/>
          </w:tcPr>
          <w:p>
            <w:pPr/>
          </w:p>
        </w:tc>
        <w:tc>
          <w:tcPr>
            <w:tcW w:w="1278" w:type="dxa"/>
            <w:vMerge/>
            <w:tcBorders>
              <w:left w:val="single" w:sz="4" w:space="0" w:color="000000"/>
              <w:bottom w:val="single" w:sz="4" w:space="0" w:color="000000"/>
              <w:right w:val="single" w:sz="4" w:space="0" w:color="000000"/>
            </w:tcBorders>
            <w:shd w:val="clear" w:color="auto" w:fill="D2D2D2"/>
          </w:tcPr>
          <w:p>
            <w:pP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63" w:right="0"/>
              <w:jc w:val="left"/>
              <w:rPr>
                <w:rFonts w:ascii="宋体" w:hAnsi="宋体" w:cs="宋体" w:eastAsia="宋体" w:hint="default"/>
                <w:sz w:val="18"/>
                <w:szCs w:val="18"/>
              </w:rPr>
            </w:pPr>
            <w:r>
              <w:rPr>
                <w:rFonts w:ascii="宋体" w:hAnsi="宋体" w:cs="宋体" w:eastAsia="宋体" w:hint="default"/>
                <w:sz w:val="18"/>
                <w:szCs w:val="18"/>
              </w:rPr>
              <w:t>内部开发支出</w:t>
            </w:r>
          </w:p>
        </w:tc>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144"/>
              <w:jc w:val="right"/>
              <w:rPr>
                <w:rFonts w:ascii="宋体" w:hAnsi="宋体" w:cs="宋体" w:eastAsia="宋体" w:hint="default"/>
                <w:sz w:val="18"/>
                <w:szCs w:val="18"/>
              </w:rPr>
            </w:pPr>
            <w:r>
              <w:rPr>
                <w:rFonts w:ascii="宋体" w:hAnsi="宋体" w:cs="宋体" w:eastAsia="宋体" w:hint="default"/>
                <w:sz w:val="18"/>
                <w:szCs w:val="18"/>
              </w:rPr>
              <w:t>确认为无形资产</w:t>
            </w:r>
          </w:p>
        </w:tc>
        <w:tc>
          <w:tcPr>
            <w:tcW w:w="1272" w:type="dxa"/>
            <w:vMerge/>
            <w:tcBorders>
              <w:left w:val="single" w:sz="4" w:space="0" w:color="000000"/>
              <w:bottom w:val="single" w:sz="4" w:space="0" w:color="000000"/>
              <w:right w:val="single" w:sz="4" w:space="0" w:color="000000"/>
            </w:tcBorders>
            <w:shd w:val="clear" w:color="auto" w:fill="D2D2D2"/>
          </w:tcPr>
          <w:p>
            <w:pPr/>
          </w:p>
        </w:tc>
        <w:tc>
          <w:tcPr>
            <w:tcW w:w="994" w:type="dxa"/>
            <w:vMerge/>
            <w:tcBorders>
              <w:left w:val="single" w:sz="4" w:space="0" w:color="000000"/>
              <w:bottom w:val="single" w:sz="4" w:space="0" w:color="000000"/>
              <w:right w:val="single" w:sz="4" w:space="0" w:color="000000"/>
            </w:tcBorders>
            <w:shd w:val="clear" w:color="auto" w:fill="D2D2D2"/>
          </w:tcPr>
          <w:p>
            <w:pPr/>
          </w:p>
        </w:tc>
        <w:tc>
          <w:tcPr>
            <w:tcW w:w="991" w:type="dxa"/>
            <w:vMerge/>
            <w:tcBorders>
              <w:left w:val="single" w:sz="4" w:space="0" w:color="000000"/>
              <w:bottom w:val="single" w:sz="4" w:space="0" w:color="000000"/>
              <w:right w:val="single" w:sz="4" w:space="0" w:color="000000"/>
            </w:tcBorders>
            <w:shd w:val="clear" w:color="auto" w:fill="D2D2D2"/>
          </w:tcPr>
          <w:p>
            <w:pPr/>
          </w:p>
        </w:tc>
        <w:tc>
          <w:tcPr>
            <w:tcW w:w="816" w:type="dxa"/>
            <w:vMerge/>
            <w:tcBorders>
              <w:left w:val="single" w:sz="4" w:space="0" w:color="000000"/>
              <w:bottom w:val="single" w:sz="4" w:space="0" w:color="000000"/>
              <w:right w:val="single" w:sz="4" w:space="0" w:color="000000"/>
            </w:tcBorders>
            <w:shd w:val="clear" w:color="auto" w:fill="D2D2D2"/>
          </w:tcPr>
          <w:p>
            <w:pPr/>
          </w:p>
        </w:tc>
      </w:tr>
      <w:tr>
        <w:trPr>
          <w:trHeight w:val="318" w:hRule="exact"/>
        </w:trPr>
        <w:tc>
          <w:tcPr>
            <w:tcW w:w="1527" w:type="dxa"/>
            <w:tcBorders>
              <w:top w:val="single" w:sz="4" w:space="0" w:color="000000"/>
              <w:left w:val="single" w:sz="4" w:space="0" w:color="000000"/>
              <w:bottom w:val="single" w:sz="4" w:space="0" w:color="000000"/>
              <w:right w:val="single" w:sz="4" w:space="0" w:color="000000"/>
            </w:tcBorders>
          </w:tcPr>
          <w:p>
            <w:pPr/>
          </w:p>
        </w:tc>
        <w:tc>
          <w:tcPr>
            <w:tcW w:w="127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月</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批文件</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项</w:t>
            </w:r>
          </w:p>
        </w:tc>
      </w:tr>
      <w:tr>
        <w:trPr>
          <w:trHeight w:val="627" w:hRule="exact"/>
        </w:trPr>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
              <w:ind w:left="103" w:right="153"/>
              <w:jc w:val="left"/>
              <w:rPr>
                <w:rFonts w:ascii="宋体" w:hAnsi="宋体" w:cs="宋体" w:eastAsia="宋体" w:hint="default"/>
                <w:sz w:val="18"/>
                <w:szCs w:val="18"/>
              </w:rPr>
            </w:pPr>
            <w:r>
              <w:rPr>
                <w:rFonts w:ascii="宋体" w:hAnsi="宋体" w:cs="宋体" w:eastAsia="宋体" w:hint="default"/>
                <w:sz w:val="18"/>
                <w:szCs w:val="18"/>
              </w:rPr>
              <w:t>泰坦王座手游项 目</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18,011,060.59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7,799,402.01</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25,810,462.60</w:t>
            </w:r>
          </w:p>
        </w:tc>
        <w:tc>
          <w:tcPr>
            <w:tcW w:w="127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p>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月</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
              <w:ind w:left="103" w:right="156"/>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
              <w:ind w:left="103" w:right="161"/>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628" w:hRule="exact"/>
        </w:trPr>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AI</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安全云平台</w:t>
            </w:r>
          </w:p>
        </w:tc>
        <w:tc>
          <w:tcPr>
            <w:tcW w:w="127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3,441,818.42</w:t>
            </w:r>
          </w:p>
        </w:tc>
        <w:tc>
          <w:tcPr>
            <w:tcW w:w="1561"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3,441,818.42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p>
          <w:p>
            <w:pPr>
              <w:pStyle w:val="TableParagraph"/>
              <w:spacing w:line="240" w:lineRule="auto" w:before="19"/>
              <w:ind w:right="0"/>
              <w:jc w:val="center"/>
              <w:rPr>
                <w:rFonts w:ascii="宋体" w:hAnsi="宋体" w:cs="宋体" w:eastAsia="宋体" w:hint="default"/>
                <w:sz w:val="18"/>
                <w:szCs w:val="18"/>
              </w:rPr>
            </w:pPr>
            <w:r>
              <w:rPr>
                <w:rFonts w:ascii="宋体" w:hAnsi="宋体" w:cs="宋体" w:eastAsia="宋体" w:hint="default"/>
                <w:sz w:val="18"/>
                <w:szCs w:val="18"/>
              </w:rPr>
              <w:t>月</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1"/>
              <w:ind w:left="103" w:right="156"/>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1"/>
              <w:ind w:left="103" w:right="161"/>
              <w:jc w:val="left"/>
              <w:rPr>
                <w:rFonts w:ascii="宋体" w:hAnsi="宋体" w:cs="宋体" w:eastAsia="宋体" w:hint="default"/>
                <w:sz w:val="18"/>
                <w:szCs w:val="18"/>
              </w:rPr>
            </w:pPr>
            <w:r>
              <w:rPr>
                <w:rFonts w:ascii="宋体" w:hAnsi="宋体" w:cs="宋体" w:eastAsia="宋体" w:hint="default"/>
                <w:sz w:val="18"/>
                <w:szCs w:val="18"/>
              </w:rPr>
              <w:t>正在研 发中</w:t>
            </w:r>
          </w:p>
        </w:tc>
      </w:tr>
      <w:tr>
        <w:trPr>
          <w:trHeight w:val="626" w:hRule="exact"/>
        </w:trPr>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
              <w:ind w:left="103" w:right="153"/>
              <w:jc w:val="left"/>
              <w:rPr>
                <w:rFonts w:ascii="宋体" w:hAnsi="宋体" w:cs="宋体" w:eastAsia="宋体" w:hint="default"/>
                <w:sz w:val="18"/>
                <w:szCs w:val="18"/>
              </w:rPr>
            </w:pPr>
            <w:r>
              <w:rPr>
                <w:rFonts w:ascii="宋体" w:hAnsi="宋体" w:cs="宋体" w:eastAsia="宋体" w:hint="default"/>
                <w:sz w:val="18"/>
                <w:szCs w:val="18"/>
              </w:rPr>
              <w:t>神州泰岳自动化 持续交付平台</w:t>
            </w:r>
          </w:p>
        </w:tc>
        <w:tc>
          <w:tcPr>
            <w:tcW w:w="127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8,900,145.66</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8,900,145.66</w:t>
            </w:r>
          </w:p>
        </w:tc>
        <w:tc>
          <w:tcPr>
            <w:tcW w:w="127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p>
          <w:p>
            <w:pPr>
              <w:pStyle w:val="TableParagraph"/>
              <w:spacing w:line="240" w:lineRule="auto" w:before="19"/>
              <w:ind w:right="0"/>
              <w:jc w:val="center"/>
              <w:rPr>
                <w:rFonts w:ascii="宋体" w:hAnsi="宋体" w:cs="宋体" w:eastAsia="宋体" w:hint="default"/>
                <w:sz w:val="18"/>
                <w:szCs w:val="18"/>
              </w:rPr>
            </w:pPr>
            <w:r>
              <w:rPr>
                <w:rFonts w:ascii="宋体" w:hAnsi="宋体" w:cs="宋体" w:eastAsia="宋体" w:hint="default"/>
                <w:sz w:val="18"/>
                <w:szCs w:val="18"/>
              </w:rPr>
              <w:t>月</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
              <w:ind w:left="103" w:right="156"/>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
              <w:ind w:left="103" w:right="161"/>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628" w:hRule="exact"/>
        </w:trPr>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1"/>
              <w:ind w:left="103" w:right="153"/>
              <w:jc w:val="left"/>
              <w:rPr>
                <w:rFonts w:ascii="宋体" w:hAnsi="宋体" w:cs="宋体" w:eastAsia="宋体" w:hint="default"/>
                <w:sz w:val="18"/>
                <w:szCs w:val="18"/>
              </w:rPr>
            </w:pPr>
            <w:r>
              <w:rPr>
                <w:rFonts w:ascii="宋体" w:hAnsi="宋体" w:cs="宋体" w:eastAsia="宋体" w:hint="default"/>
                <w:sz w:val="18"/>
                <w:szCs w:val="18"/>
              </w:rPr>
              <w:t>应用性能管理系 统</w:t>
            </w:r>
          </w:p>
        </w:tc>
        <w:tc>
          <w:tcPr>
            <w:tcW w:w="127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10,282,964.17</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10,282,964.17</w:t>
            </w:r>
          </w:p>
        </w:tc>
        <w:tc>
          <w:tcPr>
            <w:tcW w:w="127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p>
          <w:p>
            <w:pPr>
              <w:pStyle w:val="TableParagraph"/>
              <w:spacing w:line="240" w:lineRule="auto" w:before="19"/>
              <w:ind w:right="0"/>
              <w:jc w:val="center"/>
              <w:rPr>
                <w:rFonts w:ascii="宋体" w:hAnsi="宋体" w:cs="宋体" w:eastAsia="宋体" w:hint="default"/>
                <w:sz w:val="18"/>
                <w:szCs w:val="18"/>
              </w:rPr>
            </w:pPr>
            <w:r>
              <w:rPr>
                <w:rFonts w:ascii="宋体" w:hAnsi="宋体" w:cs="宋体" w:eastAsia="宋体" w:hint="default"/>
                <w:sz w:val="18"/>
                <w:szCs w:val="18"/>
              </w:rPr>
              <w:t>月</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1"/>
              <w:ind w:left="103" w:right="156"/>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1"/>
              <w:ind w:left="103" w:right="161"/>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626" w:hRule="exact"/>
        </w:trPr>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
              <w:ind w:left="103" w:right="153"/>
              <w:jc w:val="left"/>
              <w:rPr>
                <w:rFonts w:ascii="宋体" w:hAnsi="宋体" w:cs="宋体" w:eastAsia="宋体" w:hint="default"/>
                <w:sz w:val="18"/>
                <w:szCs w:val="18"/>
              </w:rPr>
            </w:pPr>
            <w:r>
              <w:rPr>
                <w:rFonts w:ascii="宋体" w:hAnsi="宋体" w:cs="宋体" w:eastAsia="宋体" w:hint="default"/>
                <w:sz w:val="18"/>
                <w:szCs w:val="18"/>
              </w:rPr>
              <w:t>智慧语义开放创 新平台</w:t>
            </w:r>
          </w:p>
        </w:tc>
        <w:tc>
          <w:tcPr>
            <w:tcW w:w="127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16,418,211.98</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16,418,211.98</w:t>
            </w:r>
          </w:p>
        </w:tc>
        <w:tc>
          <w:tcPr>
            <w:tcW w:w="127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p>
          <w:p>
            <w:pPr>
              <w:pStyle w:val="TableParagraph"/>
              <w:spacing w:line="240" w:lineRule="auto" w:before="19"/>
              <w:ind w:right="0"/>
              <w:jc w:val="center"/>
              <w:rPr>
                <w:rFonts w:ascii="宋体" w:hAnsi="宋体" w:cs="宋体" w:eastAsia="宋体" w:hint="default"/>
                <w:sz w:val="18"/>
                <w:szCs w:val="18"/>
              </w:rPr>
            </w:pPr>
            <w:r>
              <w:rPr>
                <w:rFonts w:ascii="宋体" w:hAnsi="宋体" w:cs="宋体" w:eastAsia="宋体" w:hint="default"/>
                <w:sz w:val="18"/>
                <w:szCs w:val="18"/>
              </w:rPr>
              <w:t>月</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
              <w:ind w:left="103" w:right="156"/>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
              <w:ind w:left="103" w:right="161"/>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628" w:hRule="exact"/>
        </w:trPr>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5"/>
              <w:ind w:left="103" w:right="0"/>
              <w:jc w:val="left"/>
              <w:rPr>
                <w:rFonts w:ascii="宋体" w:hAnsi="宋体" w:cs="宋体" w:eastAsia="宋体" w:hint="default"/>
                <w:sz w:val="18"/>
                <w:szCs w:val="18"/>
              </w:rPr>
            </w:pPr>
            <w:r>
              <w:rPr>
                <w:rFonts w:ascii="宋体" w:hAnsi="宋体" w:cs="宋体" w:eastAsia="宋体" w:hint="default"/>
                <w:sz w:val="18"/>
                <w:szCs w:val="18"/>
              </w:rPr>
              <w:t>智享云平台</w:t>
            </w:r>
          </w:p>
        </w:tc>
        <w:tc>
          <w:tcPr>
            <w:tcW w:w="127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12,493,012.91</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12,493,012.91</w:t>
            </w:r>
          </w:p>
        </w:tc>
        <w:tc>
          <w:tcPr>
            <w:tcW w:w="127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p>
          <w:p>
            <w:pPr>
              <w:pStyle w:val="TableParagraph"/>
              <w:spacing w:line="240" w:lineRule="auto" w:before="19"/>
              <w:ind w:right="0"/>
              <w:jc w:val="center"/>
              <w:rPr>
                <w:rFonts w:ascii="宋体" w:hAnsi="宋体" w:cs="宋体" w:eastAsia="宋体" w:hint="default"/>
                <w:sz w:val="18"/>
                <w:szCs w:val="18"/>
              </w:rPr>
            </w:pPr>
            <w:r>
              <w:rPr>
                <w:rFonts w:ascii="宋体" w:hAnsi="宋体" w:cs="宋体" w:eastAsia="宋体" w:hint="default"/>
                <w:sz w:val="18"/>
                <w:szCs w:val="18"/>
              </w:rPr>
              <w:t>月</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
              <w:ind w:left="103" w:right="156"/>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
              <w:ind w:left="103" w:right="161"/>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626" w:hRule="exact"/>
        </w:trPr>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
              <w:ind w:left="103" w:right="153"/>
              <w:jc w:val="left"/>
              <w:rPr>
                <w:rFonts w:ascii="宋体" w:hAnsi="宋体" w:cs="宋体" w:eastAsia="宋体" w:hint="default"/>
                <w:sz w:val="18"/>
                <w:szCs w:val="18"/>
              </w:rPr>
            </w:pPr>
            <w:r>
              <w:rPr>
                <w:rFonts w:ascii="宋体" w:hAnsi="宋体" w:cs="宋体" w:eastAsia="宋体" w:hint="default"/>
                <w:sz w:val="18"/>
                <w:szCs w:val="18"/>
              </w:rPr>
              <w:t>智脑侦查研判系 统</w:t>
            </w:r>
          </w:p>
        </w:tc>
        <w:tc>
          <w:tcPr>
            <w:tcW w:w="127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16,620,932.57</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16,620,932.57</w:t>
            </w:r>
          </w:p>
        </w:tc>
        <w:tc>
          <w:tcPr>
            <w:tcW w:w="127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p>
          <w:p>
            <w:pPr>
              <w:pStyle w:val="TableParagraph"/>
              <w:spacing w:line="240" w:lineRule="auto" w:before="19"/>
              <w:ind w:right="0"/>
              <w:jc w:val="center"/>
              <w:rPr>
                <w:rFonts w:ascii="宋体" w:hAnsi="宋体" w:cs="宋体" w:eastAsia="宋体" w:hint="default"/>
                <w:sz w:val="18"/>
                <w:szCs w:val="18"/>
              </w:rPr>
            </w:pPr>
            <w:r>
              <w:rPr>
                <w:rFonts w:ascii="宋体" w:hAnsi="宋体" w:cs="宋体" w:eastAsia="宋体" w:hint="default"/>
                <w:sz w:val="18"/>
                <w:szCs w:val="18"/>
              </w:rPr>
              <w:t>月</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
              <w:ind w:left="103" w:right="156"/>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
              <w:ind w:left="103" w:right="161"/>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626" w:hRule="exact"/>
        </w:trPr>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
              <w:ind w:left="103" w:right="153"/>
              <w:jc w:val="left"/>
              <w:rPr>
                <w:rFonts w:ascii="宋体" w:hAnsi="宋体" w:cs="宋体" w:eastAsia="宋体" w:hint="default"/>
                <w:sz w:val="18"/>
                <w:szCs w:val="18"/>
              </w:rPr>
            </w:pPr>
            <w:r>
              <w:rPr>
                <w:rFonts w:ascii="宋体" w:hAnsi="宋体" w:cs="宋体" w:eastAsia="宋体" w:hint="default"/>
                <w:sz w:val="18"/>
                <w:szCs w:val="18"/>
              </w:rPr>
              <w:t>智慧墙入侵检测 系统</w:t>
            </w:r>
          </w:p>
        </w:tc>
        <w:tc>
          <w:tcPr>
            <w:tcW w:w="127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5,151,461.63</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5,151,461.63</w:t>
            </w:r>
          </w:p>
        </w:tc>
        <w:tc>
          <w:tcPr>
            <w:tcW w:w="127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p>
          <w:p>
            <w:pPr>
              <w:pStyle w:val="TableParagraph"/>
              <w:spacing w:line="240" w:lineRule="auto" w:before="19"/>
              <w:ind w:right="0"/>
              <w:jc w:val="center"/>
              <w:rPr>
                <w:rFonts w:ascii="宋体" w:hAnsi="宋体" w:cs="宋体" w:eastAsia="宋体" w:hint="default"/>
                <w:sz w:val="18"/>
                <w:szCs w:val="18"/>
              </w:rPr>
            </w:pPr>
            <w:r>
              <w:rPr>
                <w:rFonts w:ascii="宋体" w:hAnsi="宋体" w:cs="宋体" w:eastAsia="宋体" w:hint="default"/>
                <w:sz w:val="18"/>
                <w:szCs w:val="18"/>
              </w:rPr>
              <w:t>月</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
              <w:ind w:left="103" w:right="156"/>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
              <w:ind w:left="103" w:right="161"/>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628" w:hRule="exact"/>
        </w:trPr>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1"/>
              <w:ind w:left="103" w:right="153"/>
              <w:jc w:val="left"/>
              <w:rPr>
                <w:rFonts w:ascii="宋体" w:hAnsi="宋体" w:cs="宋体" w:eastAsia="宋体" w:hint="default"/>
                <w:sz w:val="18"/>
                <w:szCs w:val="18"/>
              </w:rPr>
            </w:pPr>
            <w:r>
              <w:rPr>
                <w:rFonts w:ascii="宋体" w:hAnsi="宋体" w:cs="宋体" w:eastAsia="宋体" w:hint="default"/>
                <w:sz w:val="18"/>
                <w:szCs w:val="18"/>
              </w:rPr>
              <w:t>城市管廊安防通 信一体化系统</w:t>
            </w:r>
          </w:p>
        </w:tc>
        <w:tc>
          <w:tcPr>
            <w:tcW w:w="127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5,124,842.35</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5,124,842.35</w:t>
            </w:r>
          </w:p>
        </w:tc>
        <w:tc>
          <w:tcPr>
            <w:tcW w:w="127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p>
          <w:p>
            <w:pPr>
              <w:pStyle w:val="TableParagraph"/>
              <w:spacing w:line="240" w:lineRule="auto" w:before="19"/>
              <w:ind w:right="0"/>
              <w:jc w:val="center"/>
              <w:rPr>
                <w:rFonts w:ascii="宋体" w:hAnsi="宋体" w:cs="宋体" w:eastAsia="宋体" w:hint="default"/>
                <w:sz w:val="18"/>
                <w:szCs w:val="18"/>
              </w:rPr>
            </w:pPr>
            <w:r>
              <w:rPr>
                <w:rFonts w:ascii="宋体" w:hAnsi="宋体" w:cs="宋体" w:eastAsia="宋体" w:hint="default"/>
                <w:sz w:val="18"/>
                <w:szCs w:val="18"/>
              </w:rPr>
              <w:t>月</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1"/>
              <w:ind w:left="103" w:right="156"/>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1"/>
              <w:ind w:left="103" w:right="161"/>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627" w:hRule="exact"/>
        </w:trPr>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59" w:lineRule="auto" w:before="10"/>
              <w:ind w:left="103" w:right="185"/>
              <w:jc w:val="left"/>
              <w:rPr>
                <w:rFonts w:ascii="宋体" w:hAnsi="宋体" w:cs="宋体" w:eastAsia="宋体" w:hint="default"/>
                <w:sz w:val="18"/>
                <w:szCs w:val="18"/>
              </w:rPr>
            </w:pPr>
            <w:r>
              <w:rPr>
                <w:rFonts w:ascii="Times New Roman" w:hAnsi="Times New Roman" w:cs="Times New Roman" w:eastAsia="Times New Roman" w:hint="default"/>
                <w:sz w:val="18"/>
                <w:szCs w:val="18"/>
              </w:rPr>
              <w:t>Nu-WiFi</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无线通 信系统</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7,779,524.14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10,526,389.31</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18,305,913.45</w:t>
            </w:r>
          </w:p>
        </w:tc>
        <w:tc>
          <w:tcPr>
            <w:tcW w:w="127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p>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月</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
              <w:ind w:left="103" w:right="156"/>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0"/>
              <w:ind w:left="103" w:right="161"/>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628" w:hRule="exact"/>
        </w:trPr>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1"/>
              <w:ind w:left="103" w:right="153"/>
              <w:jc w:val="left"/>
              <w:rPr>
                <w:rFonts w:ascii="宋体" w:hAnsi="宋体" w:cs="宋体" w:eastAsia="宋体" w:hint="default"/>
                <w:sz w:val="18"/>
                <w:szCs w:val="18"/>
              </w:rPr>
            </w:pPr>
            <w:r>
              <w:rPr>
                <w:rFonts w:ascii="宋体" w:hAnsi="宋体" w:cs="宋体" w:eastAsia="宋体" w:hint="default"/>
                <w:sz w:val="18"/>
                <w:szCs w:val="18"/>
              </w:rPr>
              <w:t>智能警务合成作 战平台</w:t>
            </w:r>
          </w:p>
        </w:tc>
        <w:tc>
          <w:tcPr>
            <w:tcW w:w="1278"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4,094,931.29</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4,094,931.29</w:t>
            </w:r>
          </w:p>
        </w:tc>
        <w:tc>
          <w:tcPr>
            <w:tcW w:w="1272"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p>
          <w:p>
            <w:pPr>
              <w:pStyle w:val="TableParagraph"/>
              <w:spacing w:line="240" w:lineRule="auto" w:before="19"/>
              <w:ind w:right="0"/>
              <w:jc w:val="center"/>
              <w:rPr>
                <w:rFonts w:ascii="宋体" w:hAnsi="宋体" w:cs="宋体" w:eastAsia="宋体" w:hint="default"/>
                <w:sz w:val="18"/>
                <w:szCs w:val="18"/>
              </w:rPr>
            </w:pPr>
            <w:r>
              <w:rPr>
                <w:rFonts w:ascii="宋体" w:hAnsi="宋体" w:cs="宋体" w:eastAsia="宋体" w:hint="default"/>
                <w:sz w:val="18"/>
                <w:szCs w:val="18"/>
              </w:rPr>
              <w:t>月</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1"/>
              <w:ind w:left="103" w:right="156"/>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1"/>
              <w:ind w:left="103" w:right="161"/>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359" w:hRule="exact"/>
        </w:trPr>
        <w:tc>
          <w:tcPr>
            <w:tcW w:w="15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35,708,813.97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78" w:right="0"/>
              <w:jc w:val="left"/>
              <w:rPr>
                <w:rFonts w:ascii="Times New Roman" w:hAnsi="Times New Roman" w:cs="Times New Roman" w:eastAsia="Times New Roman" w:hint="default"/>
                <w:sz w:val="18"/>
                <w:szCs w:val="18"/>
              </w:rPr>
            </w:pPr>
            <w:r>
              <w:rPr>
                <w:rFonts w:ascii="Times New Roman"/>
                <w:sz w:val="18"/>
              </w:rPr>
              <w:t>125,212,494.76</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149,994,119.24</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pacing w:val="-1"/>
                <w:sz w:val="18"/>
              </w:rPr>
              <w:t>10,927,189.49</w:t>
            </w:r>
          </w:p>
        </w:tc>
        <w:tc>
          <w:tcPr>
            <w:tcW w:w="99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81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5"/>
          <w:szCs w:val="25"/>
        </w:rPr>
      </w:pPr>
    </w:p>
    <w:p>
      <w:pPr>
        <w:pStyle w:val="Heading3"/>
        <w:spacing w:line="240" w:lineRule="auto" w:before="35"/>
        <w:ind w:left="214" w:right="1753"/>
        <w:jc w:val="left"/>
        <w:rPr>
          <w:b w:val="0"/>
          <w:bCs w:val="0"/>
        </w:rPr>
      </w:pPr>
      <w:bookmarkStart w:name="22、商誉" w:id="279"/>
      <w:bookmarkEnd w:id="279"/>
      <w:r>
        <w:rPr>
          <w:b w:val="0"/>
          <w:bCs w:val="0"/>
        </w:rPr>
      </w:r>
      <w:r>
        <w:rPr>
          <w:rFonts w:ascii="Times New Roman" w:hAnsi="Times New Roman" w:cs="Times New Roman" w:eastAsia="Times New Roman" w:hint="default"/>
        </w:rPr>
        <w:t>22</w:t>
      </w:r>
      <w:r>
        <w:rPr/>
        <w:t>、商誉</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214" w:right="1753"/>
        <w:jc w:val="left"/>
        <w:rPr>
          <w:b w:val="0"/>
          <w:bCs w:val="0"/>
        </w:rPr>
      </w:pPr>
      <w:bookmarkStart w:name="（1）商誉账面原值" w:id="280"/>
      <w:bookmarkEnd w:id="280"/>
      <w:r>
        <w:rPr>
          <w:b w:val="0"/>
          <w:bCs w:val="0"/>
        </w:rPr>
      </w:r>
      <w:r>
        <w:rPr/>
        <w:t>（</w:t>
      </w:r>
      <w:r>
        <w:rPr>
          <w:rFonts w:ascii="Times New Roman" w:hAnsi="Times New Roman" w:cs="Times New Roman" w:eastAsia="Times New Roman" w:hint="default"/>
        </w:rPr>
        <w:t>1</w:t>
      </w:r>
      <w:r>
        <w:rPr/>
        <w:t>）商誉账面原值</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92" w:type="dxa"/>
        <w:tblLayout w:type="fixed"/>
        <w:tblCellMar>
          <w:top w:w="0" w:type="dxa"/>
          <w:left w:w="0" w:type="dxa"/>
          <w:bottom w:w="0" w:type="dxa"/>
          <w:right w:w="0" w:type="dxa"/>
        </w:tblCellMar>
        <w:tblLook w:val="01E0"/>
      </w:tblPr>
      <w:tblGrid>
        <w:gridCol w:w="5070"/>
        <w:gridCol w:w="1328"/>
        <w:gridCol w:w="1132"/>
        <w:gridCol w:w="838"/>
        <w:gridCol w:w="1316"/>
      </w:tblGrid>
      <w:tr>
        <w:trPr>
          <w:trHeight w:val="403" w:hRule="exact"/>
        </w:trPr>
        <w:tc>
          <w:tcPr>
            <w:tcW w:w="5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79" w:right="0"/>
              <w:jc w:val="left"/>
              <w:rPr>
                <w:rFonts w:ascii="宋体" w:hAnsi="宋体" w:cs="宋体" w:eastAsia="宋体" w:hint="default"/>
                <w:sz w:val="18"/>
                <w:szCs w:val="18"/>
              </w:rPr>
            </w:pPr>
            <w:r>
              <w:rPr>
                <w:rFonts w:ascii="宋体" w:hAnsi="宋体" w:cs="宋体" w:eastAsia="宋体" w:hint="default"/>
                <w:sz w:val="18"/>
                <w:szCs w:val="18"/>
              </w:rPr>
              <w:t>被投资单位名称或形成商誉的事项</w:t>
            </w:r>
          </w:p>
        </w:tc>
        <w:tc>
          <w:tcPr>
            <w:tcW w:w="1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1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00"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9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5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游戏资产组</w:t>
            </w:r>
            <w:r>
              <w:rPr>
                <w:rFonts w:ascii="Times New Roman" w:hAnsi="Times New Roman" w:cs="Times New Roman" w:eastAsia="Times New Roman" w:hint="default"/>
                <w:sz w:val="18"/>
                <w:szCs w:val="18"/>
              </w:rPr>
              <w:t>—</w:t>
            </w:r>
            <w:r>
              <w:rPr>
                <w:rFonts w:ascii="宋体" w:hAnsi="宋体" w:cs="宋体" w:eastAsia="宋体" w:hint="default"/>
                <w:sz w:val="18"/>
                <w:szCs w:val="18"/>
              </w:rPr>
              <w:t>天津壳木软件有限责任公司</w:t>
            </w:r>
          </w:p>
        </w:tc>
        <w:tc>
          <w:tcPr>
            <w:tcW w:w="13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1,085,618,741.77</w:t>
            </w:r>
          </w:p>
        </w:tc>
        <w:tc>
          <w:tcPr>
            <w:tcW w:w="1132" w:type="dxa"/>
            <w:tcBorders>
              <w:top w:val="single" w:sz="4" w:space="0" w:color="000000"/>
              <w:left w:val="single" w:sz="4" w:space="0" w:color="000000"/>
              <w:bottom w:val="single" w:sz="4" w:space="0" w:color="000000"/>
              <w:right w:val="single" w:sz="4" w:space="0" w:color="000000"/>
            </w:tcBorders>
          </w:tcPr>
          <w:p>
            <w:pPr/>
          </w:p>
        </w:tc>
        <w:tc>
          <w:tcPr>
            <w:tcW w:w="83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1,085,618,741.77</w:t>
            </w:r>
          </w:p>
        </w:tc>
      </w:tr>
      <w:tr>
        <w:trPr>
          <w:trHeight w:val="402" w:hRule="exact"/>
        </w:trPr>
        <w:tc>
          <w:tcPr>
            <w:tcW w:w="5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游戏资产组</w:t>
            </w:r>
            <w:r>
              <w:rPr>
                <w:rFonts w:ascii="Times New Roman" w:hAnsi="Times New Roman" w:cs="Times New Roman" w:eastAsia="Times New Roman" w:hint="default"/>
                <w:sz w:val="18"/>
                <w:szCs w:val="18"/>
              </w:rPr>
              <w:t>—</w:t>
            </w:r>
            <w:r>
              <w:rPr>
                <w:rFonts w:ascii="宋体" w:hAnsi="宋体" w:cs="宋体" w:eastAsia="宋体" w:hint="default"/>
                <w:sz w:val="18"/>
                <w:szCs w:val="18"/>
              </w:rPr>
              <w:t>天津安纳西科技有限公司</w:t>
            </w:r>
          </w:p>
        </w:tc>
        <w:tc>
          <w:tcPr>
            <w:tcW w:w="13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72,341,201.72</w:t>
            </w:r>
          </w:p>
        </w:tc>
        <w:tc>
          <w:tcPr>
            <w:tcW w:w="1132" w:type="dxa"/>
            <w:tcBorders>
              <w:top w:val="single" w:sz="4" w:space="0" w:color="000000"/>
              <w:left w:val="single" w:sz="4" w:space="0" w:color="000000"/>
              <w:bottom w:val="single" w:sz="4" w:space="0" w:color="000000"/>
              <w:right w:val="single" w:sz="4" w:space="0" w:color="000000"/>
            </w:tcBorders>
          </w:tcPr>
          <w:p>
            <w:pPr/>
          </w:p>
        </w:tc>
        <w:tc>
          <w:tcPr>
            <w:tcW w:w="83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72,341,201.72</w:t>
            </w:r>
          </w:p>
        </w:tc>
      </w:tr>
      <w:tr>
        <w:trPr>
          <w:trHeight w:val="402" w:hRule="exact"/>
        </w:trPr>
        <w:tc>
          <w:tcPr>
            <w:tcW w:w="5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AI-ICT</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解决方案资产组</w:t>
            </w:r>
            <w:r>
              <w:rPr>
                <w:rFonts w:ascii="Times New Roman" w:hAnsi="Times New Roman" w:cs="Times New Roman" w:eastAsia="Times New Roman" w:hint="default"/>
                <w:sz w:val="18"/>
                <w:szCs w:val="18"/>
              </w:rPr>
              <w:t>—</w:t>
            </w:r>
            <w:r>
              <w:rPr>
                <w:rFonts w:ascii="宋体" w:hAnsi="宋体" w:cs="宋体" w:eastAsia="宋体" w:hint="default"/>
                <w:sz w:val="18"/>
                <w:szCs w:val="18"/>
              </w:rPr>
              <w:t>中科鼎富</w:t>
            </w:r>
            <w:r>
              <w:rPr>
                <w:rFonts w:ascii="Times New Roman" w:hAnsi="Times New Roman" w:cs="Times New Roman" w:eastAsia="Times New Roman" w:hint="default"/>
                <w:sz w:val="18"/>
                <w:szCs w:val="18"/>
              </w:rPr>
              <w:t>(</w:t>
            </w:r>
            <w:r>
              <w:rPr>
                <w:rFonts w:ascii="宋体" w:hAnsi="宋体" w:cs="宋体" w:eastAsia="宋体" w:hint="default"/>
                <w:sz w:val="18"/>
                <w:szCs w:val="18"/>
              </w:rPr>
              <w:t>北京</w:t>
            </w:r>
            <w:r>
              <w:rPr>
                <w:rFonts w:ascii="Times New Roman" w:hAnsi="Times New Roman" w:cs="Times New Roman" w:eastAsia="Times New Roman" w:hint="default"/>
                <w:sz w:val="18"/>
                <w:szCs w:val="18"/>
              </w:rPr>
              <w:t>)</w:t>
            </w:r>
            <w:r>
              <w:rPr>
                <w:rFonts w:ascii="宋体" w:hAnsi="宋体" w:cs="宋体" w:eastAsia="宋体" w:hint="default"/>
                <w:sz w:val="18"/>
                <w:szCs w:val="18"/>
              </w:rPr>
              <w:t>科技发展有限公司</w:t>
            </w:r>
          </w:p>
        </w:tc>
        <w:tc>
          <w:tcPr>
            <w:tcW w:w="13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573,575,297.78</w:t>
            </w:r>
          </w:p>
        </w:tc>
        <w:tc>
          <w:tcPr>
            <w:tcW w:w="1132" w:type="dxa"/>
            <w:tcBorders>
              <w:top w:val="single" w:sz="4" w:space="0" w:color="000000"/>
              <w:left w:val="single" w:sz="4" w:space="0" w:color="000000"/>
              <w:bottom w:val="single" w:sz="4" w:space="0" w:color="000000"/>
              <w:right w:val="single" w:sz="4" w:space="0" w:color="000000"/>
            </w:tcBorders>
          </w:tcPr>
          <w:p>
            <w:pPr/>
          </w:p>
        </w:tc>
        <w:tc>
          <w:tcPr>
            <w:tcW w:w="83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573,575,297.78</w:t>
            </w:r>
          </w:p>
        </w:tc>
      </w:tr>
      <w:tr>
        <w:trPr>
          <w:trHeight w:val="402" w:hRule="exact"/>
        </w:trPr>
        <w:tc>
          <w:tcPr>
            <w:tcW w:w="5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AI-ICT</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解决方案资产组</w:t>
            </w:r>
            <w:r>
              <w:rPr>
                <w:rFonts w:ascii="Times New Roman" w:hAnsi="Times New Roman" w:cs="Times New Roman" w:eastAsia="Times New Roman" w:hint="default"/>
                <w:sz w:val="18"/>
                <w:szCs w:val="18"/>
              </w:rPr>
              <w:t>—</w:t>
            </w:r>
            <w:r>
              <w:rPr>
                <w:rFonts w:ascii="宋体" w:hAnsi="宋体" w:cs="宋体" w:eastAsia="宋体" w:hint="default"/>
                <w:sz w:val="18"/>
                <w:szCs w:val="18"/>
              </w:rPr>
              <w:t>北京神州泰岳系统集成有限公司</w:t>
            </w:r>
          </w:p>
        </w:tc>
        <w:tc>
          <w:tcPr>
            <w:tcW w:w="13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33,470,814.63</w:t>
            </w:r>
          </w:p>
        </w:tc>
        <w:tc>
          <w:tcPr>
            <w:tcW w:w="1132" w:type="dxa"/>
            <w:tcBorders>
              <w:top w:val="single" w:sz="4" w:space="0" w:color="000000"/>
              <w:left w:val="single" w:sz="4" w:space="0" w:color="000000"/>
              <w:bottom w:val="single" w:sz="4" w:space="0" w:color="000000"/>
              <w:right w:val="single" w:sz="4" w:space="0" w:color="000000"/>
            </w:tcBorders>
          </w:tcPr>
          <w:p>
            <w:pPr/>
          </w:p>
        </w:tc>
        <w:tc>
          <w:tcPr>
            <w:tcW w:w="83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33,470,814.63</w:t>
            </w:r>
          </w:p>
        </w:tc>
      </w:tr>
      <w:tr>
        <w:trPr>
          <w:trHeight w:val="402" w:hRule="exact"/>
        </w:trPr>
        <w:tc>
          <w:tcPr>
            <w:tcW w:w="5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拨测业务资产组</w:t>
            </w:r>
            <w:r>
              <w:rPr>
                <w:rFonts w:ascii="Times New Roman" w:hAnsi="Times New Roman" w:cs="Times New Roman" w:eastAsia="Times New Roman" w:hint="default"/>
                <w:sz w:val="18"/>
                <w:szCs w:val="18"/>
              </w:rPr>
              <w:t>—</w:t>
            </w:r>
            <w:r>
              <w:rPr>
                <w:rFonts w:ascii="宋体" w:hAnsi="宋体" w:cs="宋体" w:eastAsia="宋体" w:hint="default"/>
                <w:sz w:val="18"/>
                <w:szCs w:val="18"/>
              </w:rPr>
              <w:t>宁波普天通信技术有限公司</w:t>
            </w:r>
          </w:p>
        </w:tc>
        <w:tc>
          <w:tcPr>
            <w:tcW w:w="13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206,137,154.75</w:t>
            </w:r>
          </w:p>
        </w:tc>
        <w:tc>
          <w:tcPr>
            <w:tcW w:w="1132" w:type="dxa"/>
            <w:tcBorders>
              <w:top w:val="single" w:sz="4" w:space="0" w:color="000000"/>
              <w:left w:val="single" w:sz="4" w:space="0" w:color="000000"/>
              <w:bottom w:val="single" w:sz="4" w:space="0" w:color="000000"/>
              <w:right w:val="single" w:sz="4" w:space="0" w:color="000000"/>
            </w:tcBorders>
          </w:tcPr>
          <w:p>
            <w:pPr/>
          </w:p>
        </w:tc>
        <w:tc>
          <w:tcPr>
            <w:tcW w:w="83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206,137,154.75</w:t>
            </w:r>
          </w:p>
        </w:tc>
      </w:tr>
      <w:tr>
        <w:trPr>
          <w:trHeight w:val="402" w:hRule="exact"/>
        </w:trPr>
        <w:tc>
          <w:tcPr>
            <w:tcW w:w="5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海外业务平台资产组</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Bridge Minds Consulting Pte</w:t>
            </w:r>
            <w:r>
              <w:rPr>
                <w:rFonts w:ascii="Times New Roman" w:hAnsi="Times New Roman" w:cs="Times New Roman" w:eastAsia="Times New Roman" w:hint="default"/>
                <w:spacing w:val="-2"/>
                <w:sz w:val="18"/>
                <w:szCs w:val="18"/>
              </w:rPr>
              <w:t> </w:t>
            </w:r>
            <w:r>
              <w:rPr>
                <w:rFonts w:ascii="Times New Roman" w:hAnsi="Times New Roman" w:cs="Times New Roman" w:eastAsia="Times New Roman" w:hint="default"/>
                <w:sz w:val="18"/>
                <w:szCs w:val="18"/>
              </w:rPr>
              <w:t>Ltd</w:t>
            </w:r>
          </w:p>
        </w:tc>
        <w:tc>
          <w:tcPr>
            <w:tcW w:w="13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46,913,784.54</w:t>
            </w:r>
          </w:p>
        </w:tc>
        <w:tc>
          <w:tcPr>
            <w:tcW w:w="1132" w:type="dxa"/>
            <w:tcBorders>
              <w:top w:val="single" w:sz="4" w:space="0" w:color="000000"/>
              <w:left w:val="single" w:sz="4" w:space="0" w:color="000000"/>
              <w:bottom w:val="single" w:sz="4" w:space="0" w:color="000000"/>
              <w:right w:val="single" w:sz="4" w:space="0" w:color="000000"/>
            </w:tcBorders>
          </w:tcPr>
          <w:p>
            <w:pPr/>
          </w:p>
        </w:tc>
        <w:tc>
          <w:tcPr>
            <w:tcW w:w="83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46,913,784.54</w:t>
            </w:r>
          </w:p>
        </w:tc>
      </w:tr>
      <w:tr>
        <w:trPr>
          <w:trHeight w:val="403" w:hRule="exact"/>
        </w:trPr>
        <w:tc>
          <w:tcPr>
            <w:tcW w:w="5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互联网运营资产组</w:t>
            </w:r>
            <w:r>
              <w:rPr>
                <w:rFonts w:ascii="Times New Roman" w:hAnsi="Times New Roman" w:cs="Times New Roman" w:eastAsia="Times New Roman" w:hint="default"/>
                <w:sz w:val="18"/>
                <w:szCs w:val="18"/>
              </w:rPr>
              <w:t>—</w:t>
            </w:r>
            <w:r>
              <w:rPr>
                <w:rFonts w:ascii="宋体" w:hAnsi="宋体" w:cs="宋体" w:eastAsia="宋体" w:hint="default"/>
                <w:sz w:val="18"/>
                <w:szCs w:val="18"/>
              </w:rPr>
              <w:t>北京广通神州网络技术有限公司</w:t>
            </w:r>
          </w:p>
        </w:tc>
        <w:tc>
          <w:tcPr>
            <w:tcW w:w="13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45,572,687.69</w:t>
            </w:r>
          </w:p>
        </w:tc>
        <w:tc>
          <w:tcPr>
            <w:tcW w:w="1132" w:type="dxa"/>
            <w:tcBorders>
              <w:top w:val="single" w:sz="4" w:space="0" w:color="000000"/>
              <w:left w:val="single" w:sz="4" w:space="0" w:color="000000"/>
              <w:bottom w:val="single" w:sz="4" w:space="0" w:color="000000"/>
              <w:right w:val="single" w:sz="4" w:space="0" w:color="000000"/>
            </w:tcBorders>
          </w:tcPr>
          <w:p>
            <w:pPr/>
          </w:p>
        </w:tc>
        <w:tc>
          <w:tcPr>
            <w:tcW w:w="83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45,572,687.69</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920" w:right="0"/>
        </w:sectPr>
      </w:pPr>
    </w:p>
    <w:p>
      <w:pPr>
        <w:spacing w:line="240" w:lineRule="auto" w:before="6"/>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5092"/>
        <w:gridCol w:w="1316"/>
        <w:gridCol w:w="1132"/>
        <w:gridCol w:w="838"/>
        <w:gridCol w:w="1316"/>
      </w:tblGrid>
      <w:tr>
        <w:trPr>
          <w:trHeight w:val="415" w:hRule="exact"/>
        </w:trPr>
        <w:tc>
          <w:tcPr>
            <w:tcW w:w="509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数据挖掘资产组</w:t>
            </w:r>
            <w:r>
              <w:rPr>
                <w:rFonts w:ascii="Times New Roman" w:hAnsi="Times New Roman" w:cs="Times New Roman" w:eastAsia="Times New Roman" w:hint="default"/>
                <w:sz w:val="18"/>
                <w:szCs w:val="18"/>
              </w:rPr>
              <w:t>—</w:t>
            </w:r>
            <w:r>
              <w:rPr>
                <w:rFonts w:ascii="宋体" w:hAnsi="宋体" w:cs="宋体" w:eastAsia="宋体" w:hint="default"/>
                <w:sz w:val="18"/>
                <w:szCs w:val="18"/>
              </w:rPr>
              <w:t>北京神州泰岳智能数据技术有限公司</w:t>
            </w:r>
          </w:p>
        </w:tc>
        <w:tc>
          <w:tcPr>
            <w:tcW w:w="131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Times New Roman" w:hAnsi="Times New Roman" w:cs="Times New Roman" w:eastAsia="Times New Roman" w:hint="default"/>
                <w:sz w:val="18"/>
                <w:szCs w:val="18"/>
              </w:rPr>
            </w:pPr>
            <w:r>
              <w:rPr>
                <w:rFonts w:ascii="Times New Roman"/>
                <w:spacing w:val="-1"/>
                <w:sz w:val="18"/>
              </w:rPr>
              <w:t>33,027,608.12</w:t>
            </w:r>
          </w:p>
        </w:tc>
        <w:tc>
          <w:tcPr>
            <w:tcW w:w="1132" w:type="dxa"/>
            <w:tcBorders>
              <w:top w:val="single" w:sz="10" w:space="0" w:color="000000"/>
              <w:left w:val="single" w:sz="4" w:space="0" w:color="000000"/>
              <w:bottom w:val="single" w:sz="4" w:space="0" w:color="000000"/>
              <w:right w:val="single" w:sz="4" w:space="0" w:color="000000"/>
            </w:tcBorders>
          </w:tcPr>
          <w:p>
            <w:pPr/>
          </w:p>
        </w:tc>
        <w:tc>
          <w:tcPr>
            <w:tcW w:w="838" w:type="dxa"/>
            <w:tcBorders>
              <w:top w:val="single" w:sz="10" w:space="0" w:color="000000"/>
              <w:left w:val="single" w:sz="4" w:space="0" w:color="000000"/>
              <w:bottom w:val="single" w:sz="4" w:space="0" w:color="000000"/>
              <w:right w:val="single" w:sz="4" w:space="0" w:color="000000"/>
            </w:tcBorders>
          </w:tcPr>
          <w:p>
            <w:pPr/>
          </w:p>
        </w:tc>
        <w:tc>
          <w:tcPr>
            <w:tcW w:w="131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0"/>
              <w:jc w:val="right"/>
              <w:rPr>
                <w:rFonts w:ascii="Times New Roman" w:hAnsi="Times New Roman" w:cs="Times New Roman" w:eastAsia="Times New Roman" w:hint="default"/>
                <w:sz w:val="18"/>
                <w:szCs w:val="18"/>
              </w:rPr>
            </w:pPr>
            <w:r>
              <w:rPr>
                <w:rFonts w:ascii="Times New Roman"/>
                <w:spacing w:val="-1"/>
                <w:sz w:val="18"/>
              </w:rPr>
              <w:t>33,027,608.12</w:t>
            </w:r>
          </w:p>
        </w:tc>
      </w:tr>
      <w:tr>
        <w:trPr>
          <w:trHeight w:val="402" w:hRule="exact"/>
        </w:trPr>
        <w:tc>
          <w:tcPr>
            <w:tcW w:w="50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物联网资产组</w:t>
            </w:r>
            <w:r>
              <w:rPr>
                <w:rFonts w:ascii="Times New Roman" w:hAnsi="Times New Roman" w:cs="Times New Roman" w:eastAsia="Times New Roman" w:hint="default"/>
                <w:sz w:val="18"/>
                <w:szCs w:val="18"/>
              </w:rPr>
              <w:t>—</w:t>
            </w:r>
            <w:r>
              <w:rPr>
                <w:rFonts w:ascii="宋体" w:hAnsi="宋体" w:cs="宋体" w:eastAsia="宋体" w:hint="default"/>
                <w:sz w:val="18"/>
                <w:szCs w:val="18"/>
              </w:rPr>
              <w:t>奇点新源国际技术开发（北京）有限公司</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13,156,878.95</w:t>
            </w:r>
          </w:p>
        </w:tc>
        <w:tc>
          <w:tcPr>
            <w:tcW w:w="1132" w:type="dxa"/>
            <w:tcBorders>
              <w:top w:val="single" w:sz="4" w:space="0" w:color="000000"/>
              <w:left w:val="single" w:sz="4" w:space="0" w:color="000000"/>
              <w:bottom w:val="single" w:sz="4" w:space="0" w:color="000000"/>
              <w:right w:val="single" w:sz="4" w:space="0" w:color="000000"/>
            </w:tcBorders>
          </w:tcPr>
          <w:p>
            <w:pPr/>
          </w:p>
        </w:tc>
        <w:tc>
          <w:tcPr>
            <w:tcW w:w="83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13,156,878.95</w:t>
            </w:r>
          </w:p>
        </w:tc>
      </w:tr>
      <w:tr>
        <w:trPr>
          <w:trHeight w:val="402" w:hRule="exact"/>
        </w:trPr>
        <w:tc>
          <w:tcPr>
            <w:tcW w:w="50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自动化设备资产组</w:t>
            </w:r>
            <w:r>
              <w:rPr>
                <w:rFonts w:ascii="Times New Roman" w:hAnsi="Times New Roman" w:cs="Times New Roman" w:eastAsia="Times New Roman" w:hint="default"/>
                <w:sz w:val="18"/>
                <w:szCs w:val="18"/>
              </w:rPr>
              <w:t>—</w:t>
            </w:r>
            <w:r>
              <w:rPr>
                <w:rFonts w:ascii="宋体" w:hAnsi="宋体" w:cs="宋体" w:eastAsia="宋体" w:hint="default"/>
                <w:sz w:val="18"/>
                <w:szCs w:val="18"/>
              </w:rPr>
              <w:t>宁波高新区捷远科技有限公司</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2,154,884.91</w:t>
            </w:r>
          </w:p>
        </w:tc>
        <w:tc>
          <w:tcPr>
            <w:tcW w:w="1132" w:type="dxa"/>
            <w:tcBorders>
              <w:top w:val="single" w:sz="4" w:space="0" w:color="000000"/>
              <w:left w:val="single" w:sz="4" w:space="0" w:color="000000"/>
              <w:bottom w:val="single" w:sz="4" w:space="0" w:color="000000"/>
              <w:right w:val="single" w:sz="4" w:space="0" w:color="000000"/>
            </w:tcBorders>
          </w:tcPr>
          <w:p>
            <w:pPr/>
          </w:p>
        </w:tc>
        <w:tc>
          <w:tcPr>
            <w:tcW w:w="83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2,154,884.91</w:t>
            </w:r>
          </w:p>
        </w:tc>
      </w:tr>
      <w:tr>
        <w:trPr>
          <w:trHeight w:val="403" w:hRule="exact"/>
        </w:trPr>
        <w:tc>
          <w:tcPr>
            <w:tcW w:w="50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2"/>
                <w:sz w:val="18"/>
              </w:rPr>
              <w:t>2,111,969,054.86</w:t>
            </w:r>
          </w:p>
        </w:tc>
        <w:tc>
          <w:tcPr>
            <w:tcW w:w="1132" w:type="dxa"/>
            <w:tcBorders>
              <w:top w:val="single" w:sz="4" w:space="0" w:color="000000"/>
              <w:left w:val="single" w:sz="4" w:space="0" w:color="000000"/>
              <w:bottom w:val="single" w:sz="4" w:space="0" w:color="000000"/>
              <w:right w:val="single" w:sz="4" w:space="0" w:color="000000"/>
            </w:tcBorders>
          </w:tcPr>
          <w:p>
            <w:pPr/>
          </w:p>
        </w:tc>
        <w:tc>
          <w:tcPr>
            <w:tcW w:w="838" w:type="dxa"/>
            <w:tcBorders>
              <w:top w:val="single" w:sz="4" w:space="0" w:color="000000"/>
              <w:left w:val="single" w:sz="4" w:space="0" w:color="000000"/>
              <w:bottom w:val="single" w:sz="4" w:space="0" w:color="000000"/>
              <w:right w:val="single" w:sz="4" w:space="0" w:color="000000"/>
            </w:tcBorders>
          </w:tcPr>
          <w:p>
            <w:pPr/>
          </w:p>
        </w:tc>
        <w:tc>
          <w:tcPr>
            <w:tcW w:w="1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2"/>
                <w:sz w:val="18"/>
              </w:rPr>
              <w:t>2,111,969,054.86</w:t>
            </w:r>
          </w:p>
        </w:tc>
      </w:tr>
    </w:tbl>
    <w:p>
      <w:pPr>
        <w:spacing w:line="240" w:lineRule="auto" w:before="2"/>
        <w:rPr>
          <w:rFonts w:ascii="宋体" w:hAnsi="宋体" w:cs="宋体" w:eastAsia="宋体" w:hint="default"/>
          <w:sz w:val="19"/>
          <w:szCs w:val="19"/>
        </w:rPr>
      </w:pPr>
    </w:p>
    <w:p>
      <w:pPr>
        <w:pStyle w:val="Heading3"/>
        <w:spacing w:line="240" w:lineRule="auto" w:before="35"/>
        <w:ind w:left="134" w:right="7680"/>
        <w:jc w:val="left"/>
        <w:rPr>
          <w:b w:val="0"/>
          <w:bCs w:val="0"/>
        </w:rPr>
      </w:pPr>
      <w:bookmarkStart w:name="（2）商誉减值准备" w:id="281"/>
      <w:bookmarkEnd w:id="281"/>
      <w:r>
        <w:rPr>
          <w:b w:val="0"/>
          <w:bCs w:val="0"/>
        </w:rPr>
      </w:r>
      <w:r>
        <w:rPr/>
        <w:t>（</w:t>
      </w:r>
      <w:r>
        <w:rPr>
          <w:rFonts w:ascii="Times New Roman" w:hAnsi="Times New Roman" w:cs="Times New Roman" w:eastAsia="Times New Roman" w:hint="default"/>
        </w:rPr>
        <w:t>2</w:t>
      </w:r>
      <w:r>
        <w:rPr/>
        <w:t>）商誉减值准备</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3" w:type="dxa"/>
        <w:tblLayout w:type="fixed"/>
        <w:tblCellMar>
          <w:top w:w="0" w:type="dxa"/>
          <w:left w:w="0" w:type="dxa"/>
          <w:bottom w:w="0" w:type="dxa"/>
          <w:right w:w="0" w:type="dxa"/>
        </w:tblCellMar>
        <w:tblLook w:val="01E0"/>
      </w:tblPr>
      <w:tblGrid>
        <w:gridCol w:w="4683"/>
        <w:gridCol w:w="1290"/>
        <w:gridCol w:w="1416"/>
        <w:gridCol w:w="853"/>
        <w:gridCol w:w="1441"/>
      </w:tblGrid>
      <w:tr>
        <w:trPr>
          <w:trHeight w:val="402" w:hRule="exact"/>
        </w:trPr>
        <w:tc>
          <w:tcPr>
            <w:tcW w:w="4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86" w:right="0"/>
              <w:jc w:val="left"/>
              <w:rPr>
                <w:rFonts w:ascii="宋体" w:hAnsi="宋体" w:cs="宋体" w:eastAsia="宋体" w:hint="default"/>
                <w:sz w:val="18"/>
                <w:szCs w:val="18"/>
              </w:rPr>
            </w:pPr>
            <w:r>
              <w:rPr>
                <w:rFonts w:ascii="宋体" w:hAnsi="宋体" w:cs="宋体" w:eastAsia="宋体" w:hint="default"/>
                <w:sz w:val="18"/>
                <w:szCs w:val="18"/>
              </w:rPr>
              <w:t>被投资单位名称或形成商誉的事项</w:t>
            </w:r>
          </w:p>
        </w:tc>
        <w:tc>
          <w:tcPr>
            <w:tcW w:w="12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5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23" w:hRule="exact"/>
        </w:trPr>
        <w:tc>
          <w:tcPr>
            <w:tcW w:w="4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游戏资产组</w:t>
            </w:r>
            <w:r>
              <w:rPr>
                <w:rFonts w:ascii="Times New Roman" w:hAnsi="Times New Roman" w:cs="Times New Roman" w:eastAsia="Times New Roman" w:hint="default"/>
                <w:sz w:val="18"/>
                <w:szCs w:val="18"/>
              </w:rPr>
              <w:t>—</w:t>
            </w:r>
            <w:r>
              <w:rPr>
                <w:rFonts w:ascii="宋体" w:hAnsi="宋体" w:cs="宋体" w:eastAsia="宋体" w:hint="default"/>
                <w:sz w:val="18"/>
                <w:szCs w:val="18"/>
              </w:rPr>
              <w:t>天津壳木软件有限责任公司</w:t>
            </w:r>
          </w:p>
        </w:tc>
        <w:tc>
          <w:tcPr>
            <w:tcW w:w="12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40,716,000.00</w:t>
            </w:r>
          </w:p>
        </w:tc>
        <w:tc>
          <w:tcPr>
            <w:tcW w:w="1416" w:type="dxa"/>
            <w:tcBorders>
              <w:top w:val="single" w:sz="4" w:space="0" w:color="000000"/>
              <w:left w:val="single" w:sz="4" w:space="0" w:color="000000"/>
              <w:bottom w:val="single" w:sz="4" w:space="0" w:color="000000"/>
              <w:right w:val="single" w:sz="4" w:space="0" w:color="000000"/>
            </w:tcBorders>
          </w:tcPr>
          <w:p>
            <w:pPr/>
          </w:p>
        </w:tc>
        <w:tc>
          <w:tcPr>
            <w:tcW w:w="853"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40,716,000.00</w:t>
            </w:r>
          </w:p>
        </w:tc>
      </w:tr>
      <w:tr>
        <w:trPr>
          <w:trHeight w:val="323" w:hRule="exact"/>
        </w:trPr>
        <w:tc>
          <w:tcPr>
            <w:tcW w:w="4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AI-ICT</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解决方案资产组</w:t>
            </w:r>
            <w:r>
              <w:rPr>
                <w:rFonts w:ascii="Times New Roman" w:hAnsi="Times New Roman" w:cs="Times New Roman" w:eastAsia="Times New Roman" w:hint="default"/>
                <w:sz w:val="18"/>
                <w:szCs w:val="18"/>
              </w:rPr>
              <w:t>—</w:t>
            </w:r>
            <w:r>
              <w:rPr>
                <w:rFonts w:ascii="宋体" w:hAnsi="宋体" w:cs="宋体" w:eastAsia="宋体" w:hint="default"/>
                <w:sz w:val="18"/>
                <w:szCs w:val="18"/>
              </w:rPr>
              <w:t>北京神州泰岳系统集成有限公司</w:t>
            </w:r>
          </w:p>
        </w:tc>
        <w:tc>
          <w:tcPr>
            <w:tcW w:w="12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6,600,000.00</w:t>
            </w:r>
          </w:p>
        </w:tc>
        <w:tc>
          <w:tcPr>
            <w:tcW w:w="1416" w:type="dxa"/>
            <w:tcBorders>
              <w:top w:val="single" w:sz="4" w:space="0" w:color="000000"/>
              <w:left w:val="single" w:sz="4" w:space="0" w:color="000000"/>
              <w:bottom w:val="single" w:sz="4" w:space="0" w:color="000000"/>
              <w:right w:val="single" w:sz="4" w:space="0" w:color="000000"/>
            </w:tcBorders>
          </w:tcPr>
          <w:p>
            <w:pPr/>
          </w:p>
        </w:tc>
        <w:tc>
          <w:tcPr>
            <w:tcW w:w="853"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6,600,000.00</w:t>
            </w:r>
          </w:p>
        </w:tc>
      </w:tr>
      <w:tr>
        <w:trPr>
          <w:trHeight w:val="324" w:hRule="exact"/>
        </w:trPr>
        <w:tc>
          <w:tcPr>
            <w:tcW w:w="4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互联网运营资产组</w:t>
            </w:r>
            <w:r>
              <w:rPr>
                <w:rFonts w:ascii="Times New Roman" w:hAnsi="Times New Roman" w:cs="Times New Roman" w:eastAsia="Times New Roman" w:hint="default"/>
                <w:sz w:val="18"/>
                <w:szCs w:val="18"/>
              </w:rPr>
              <w:t>—</w:t>
            </w:r>
            <w:r>
              <w:rPr>
                <w:rFonts w:ascii="宋体" w:hAnsi="宋体" w:cs="宋体" w:eastAsia="宋体" w:hint="default"/>
                <w:sz w:val="18"/>
                <w:szCs w:val="18"/>
              </w:rPr>
              <w:t>北京广通神州网络技术有限公司</w:t>
            </w:r>
          </w:p>
        </w:tc>
        <w:tc>
          <w:tcPr>
            <w:tcW w:w="12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2,037,600.00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9,900,000.00</w:t>
            </w:r>
          </w:p>
        </w:tc>
        <w:tc>
          <w:tcPr>
            <w:tcW w:w="853"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11,937,600.00</w:t>
            </w:r>
          </w:p>
        </w:tc>
      </w:tr>
      <w:tr>
        <w:trPr>
          <w:trHeight w:val="323" w:hRule="exact"/>
        </w:trPr>
        <w:tc>
          <w:tcPr>
            <w:tcW w:w="4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海外业务平台资产组</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Bridge Minds Consulting Pte</w:t>
            </w:r>
            <w:r>
              <w:rPr>
                <w:rFonts w:ascii="Times New Roman" w:hAnsi="Times New Roman" w:cs="Times New Roman" w:eastAsia="Times New Roman" w:hint="default"/>
                <w:spacing w:val="-2"/>
                <w:sz w:val="18"/>
                <w:szCs w:val="18"/>
              </w:rPr>
              <w:t> </w:t>
            </w:r>
            <w:r>
              <w:rPr>
                <w:rFonts w:ascii="Times New Roman" w:hAnsi="Times New Roman" w:cs="Times New Roman" w:eastAsia="Times New Roman" w:hint="default"/>
                <w:sz w:val="18"/>
                <w:szCs w:val="18"/>
              </w:rPr>
              <w:t>Ltd</w:t>
            </w:r>
          </w:p>
        </w:tc>
        <w:tc>
          <w:tcPr>
            <w:tcW w:w="1290" w:type="dxa"/>
            <w:tcBorders>
              <w:top w:val="single" w:sz="4" w:space="0" w:color="000000"/>
              <w:left w:val="single" w:sz="13" w:space="0" w:color="D2D2D2"/>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11,600,000.00</w:t>
            </w:r>
          </w:p>
        </w:tc>
        <w:tc>
          <w:tcPr>
            <w:tcW w:w="853"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11,600,000.00</w:t>
            </w:r>
          </w:p>
        </w:tc>
      </w:tr>
      <w:tr>
        <w:trPr>
          <w:trHeight w:val="324" w:hRule="exact"/>
        </w:trPr>
        <w:tc>
          <w:tcPr>
            <w:tcW w:w="4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1" w:right="0"/>
              <w:jc w:val="left"/>
              <w:rPr>
                <w:rFonts w:ascii="宋体" w:hAnsi="宋体" w:cs="宋体" w:eastAsia="宋体" w:hint="default"/>
                <w:sz w:val="18"/>
                <w:szCs w:val="18"/>
              </w:rPr>
            </w:pPr>
            <w:r>
              <w:rPr>
                <w:rFonts w:ascii="宋体" w:hAnsi="宋体" w:cs="宋体" w:eastAsia="宋体" w:hint="default"/>
                <w:sz w:val="18"/>
                <w:szCs w:val="18"/>
              </w:rPr>
              <w:t>自动化设备资产组</w:t>
            </w:r>
            <w:r>
              <w:rPr>
                <w:rFonts w:ascii="Times New Roman" w:hAnsi="Times New Roman" w:cs="Times New Roman" w:eastAsia="Times New Roman" w:hint="default"/>
                <w:sz w:val="18"/>
                <w:szCs w:val="18"/>
              </w:rPr>
              <w:t>—</w:t>
            </w:r>
            <w:r>
              <w:rPr>
                <w:rFonts w:ascii="宋体" w:hAnsi="宋体" w:cs="宋体" w:eastAsia="宋体" w:hint="default"/>
                <w:sz w:val="18"/>
                <w:szCs w:val="18"/>
              </w:rPr>
              <w:t>宁波高新区捷远科技有限公司</w:t>
            </w:r>
          </w:p>
        </w:tc>
        <w:tc>
          <w:tcPr>
            <w:tcW w:w="1290" w:type="dxa"/>
            <w:tcBorders>
              <w:top w:val="single" w:sz="4" w:space="0" w:color="000000"/>
              <w:left w:val="single" w:sz="13" w:space="0" w:color="D2D2D2"/>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2,154,884.91</w:t>
            </w:r>
          </w:p>
        </w:tc>
        <w:tc>
          <w:tcPr>
            <w:tcW w:w="853"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2,154,884.91</w:t>
            </w:r>
          </w:p>
        </w:tc>
      </w:tr>
      <w:tr>
        <w:trPr>
          <w:trHeight w:val="402" w:hRule="exact"/>
        </w:trPr>
        <w:tc>
          <w:tcPr>
            <w:tcW w:w="46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49,353,600.00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23,654,884.91</w:t>
            </w:r>
          </w:p>
        </w:tc>
        <w:tc>
          <w:tcPr>
            <w:tcW w:w="853"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73,008,484.91</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9"/>
          <w:szCs w:val="19"/>
        </w:rPr>
      </w:pPr>
    </w:p>
    <w:p>
      <w:pPr>
        <w:pStyle w:val="BodyText"/>
        <w:spacing w:line="477" w:lineRule="auto" w:before="44"/>
        <w:ind w:left="134" w:right="1041" w:firstLine="360"/>
        <w:jc w:val="both"/>
      </w:pPr>
      <w:r>
        <w:rPr/>
        <w:t>公司对资源进行统一配置，考虑管理层对生产经营活动的管理或监控方式，以及对资产的持续使用或处置的决策方式， 将各部分具有协同融合效应的业务组成一个资产组，该等资产组确认方式与以前年度一致。</w:t>
      </w:r>
    </w:p>
    <w:p>
      <w:pPr>
        <w:pStyle w:val="BodyText"/>
        <w:spacing w:line="477" w:lineRule="auto" w:before="54"/>
        <w:ind w:left="134" w:right="1043" w:firstLine="360"/>
        <w:jc w:val="both"/>
      </w:pPr>
      <w:r>
        <w:rPr>
          <w:spacing w:val="-2"/>
        </w:rPr>
        <w:t>公司期末对商誉相关的各资产组进行了减值测试，首先将该商誉及归属于少数股东权益的商誉包括在内，调整各资产组</w:t>
      </w:r>
      <w:r>
        <w:rPr/>
        <w:t> 的账面价值，然后将调整后的各资产组账面价值与其可收回金额进行比较，以确定各资产组（包括商誉）是否发生了减值。</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1"/>
          <w:szCs w:val="21"/>
        </w:rPr>
      </w:pPr>
    </w:p>
    <w:p>
      <w:pPr>
        <w:pStyle w:val="BodyText"/>
        <w:spacing w:line="451" w:lineRule="auto"/>
        <w:ind w:left="494" w:right="1032"/>
        <w:jc w:val="left"/>
      </w:pPr>
      <w:r>
        <w:rPr/>
        <w:t>（</w:t>
      </w:r>
      <w:r>
        <w:rPr>
          <w:rFonts w:ascii="Times New Roman" w:hAnsi="Times New Roman" w:cs="Times New Roman" w:eastAsia="Times New Roman" w:hint="default"/>
        </w:rPr>
        <w:t>1</w:t>
      </w:r>
      <w:r>
        <w:rPr/>
        <w:t>）游戏资产组商誉 </w:t>
      </w:r>
      <w:r>
        <w:rPr>
          <w:spacing w:val="-2"/>
        </w:rPr>
        <w:t>天津壳木软件有限责任公司（以下简称“天津壳木”）成立于</w:t>
      </w:r>
      <w:r>
        <w:rPr>
          <w:rFonts w:ascii="Times New Roman" w:hAnsi="Times New Roman" w:cs="Times New Roman" w:eastAsia="Times New Roman" w:hint="default"/>
          <w:spacing w:val="-2"/>
        </w:rPr>
        <w:t>2012</w:t>
      </w:r>
      <w:r>
        <w:rPr>
          <w:spacing w:val="-2"/>
        </w:rPr>
        <w:t>年</w:t>
      </w:r>
      <w:r>
        <w:rPr>
          <w:rFonts w:ascii="Times New Roman" w:hAnsi="Times New Roman" w:cs="Times New Roman" w:eastAsia="Times New Roman" w:hint="default"/>
          <w:spacing w:val="-2"/>
        </w:rPr>
        <w:t>12</w:t>
      </w:r>
      <w:r>
        <w:rPr>
          <w:spacing w:val="-2"/>
        </w:rPr>
        <w:t>月，是一家为移动端用户提供网络游戏服务的研</w:t>
      </w:r>
    </w:p>
    <w:p>
      <w:pPr>
        <w:pStyle w:val="BodyText"/>
        <w:spacing w:line="470" w:lineRule="auto" w:before="43"/>
        <w:ind w:left="134" w:right="1130"/>
        <w:jc w:val="both"/>
      </w:pPr>
      <w:r>
        <w:rPr/>
        <w:t>运一体的公司。北京神州泰岳软件股份有限公司于</w:t>
      </w:r>
      <w:r>
        <w:rPr>
          <w:rFonts w:ascii="Times New Roman" w:hAnsi="Times New Roman" w:cs="Times New Roman" w:eastAsia="Times New Roman" w:hint="default"/>
        </w:rPr>
        <w:t>2014</w:t>
      </w:r>
      <w:r>
        <w:rPr/>
        <w:t>年收购了天津壳木</w:t>
      </w:r>
      <w:r>
        <w:rPr>
          <w:rFonts w:ascii="Times New Roman" w:hAnsi="Times New Roman" w:cs="Times New Roman" w:eastAsia="Times New Roman" w:hint="default"/>
        </w:rPr>
        <w:t>100%</w:t>
      </w:r>
      <w:r>
        <w:rPr/>
        <w:t>股权。天津壳木于</w:t>
      </w:r>
      <w:r>
        <w:rPr>
          <w:rFonts w:ascii="Times New Roman" w:hAnsi="Times New Roman" w:cs="Times New Roman" w:eastAsia="Times New Roman" w:hint="default"/>
        </w:rPr>
        <w:t>2015</w:t>
      </w:r>
      <w:r>
        <w:rPr/>
        <w:t>年收购天津安纳西科</w:t>
      </w:r>
      <w:r>
        <w:rPr>
          <w:spacing w:val="-57"/>
        </w:rPr>
        <w:t> </w:t>
      </w:r>
      <w:r>
        <w:rPr>
          <w:spacing w:val="-57"/>
        </w:rPr>
      </w:r>
      <w:r>
        <w:rPr>
          <w:spacing w:val="-5"/>
        </w:rPr>
        <w:t>技有限公司（以下简称“天津安纳西”），该公司主营业务为移动游戏的研发、运营与发行。天津壳木对天津安纳西的人员、</w:t>
      </w:r>
      <w:r>
        <w:rPr>
          <w:spacing w:val="-83"/>
        </w:rPr>
        <w:t> </w:t>
      </w:r>
      <w:r>
        <w:rPr>
          <w:spacing w:val="-83"/>
        </w:rPr>
      </w:r>
      <w:r>
        <w:rPr>
          <w:spacing w:val="-2"/>
        </w:rPr>
        <w:t>技术、运营能力进行了整合及统一管理，打破以公司实体为单元的管理模式，实现了研发、运营、市场、后台职能团队的统</w:t>
      </w:r>
      <w:r>
        <w:rPr>
          <w:spacing w:val="-68"/>
        </w:rPr>
        <w:t> </w:t>
      </w:r>
      <w:r>
        <w:rPr>
          <w:spacing w:val="-68"/>
        </w:rPr>
      </w:r>
      <w:r>
        <w:rPr>
          <w:spacing w:val="-5"/>
        </w:rPr>
        <w:t>筹协作，构建了统一的公司文化和质量管理体系，共享技术成果、运营经验、发行渠道，共同研发新游戏，打造统一的品牌。</w:t>
      </w:r>
      <w:r>
        <w:rPr>
          <w:spacing w:val="-81"/>
        </w:rPr>
        <w:t> </w:t>
      </w:r>
      <w:r>
        <w:rPr>
          <w:spacing w:val="-81"/>
        </w:rPr>
      </w:r>
      <w:r>
        <w:rPr/>
        <w:t>公司定期针对上述公司的经营活动做整体评价，并据此统一资源配置，因此将上述公司游戏业务整体作为一个资产组。</w:t>
      </w:r>
    </w:p>
    <w:p>
      <w:pPr>
        <w:pStyle w:val="BodyText"/>
        <w:spacing w:line="458" w:lineRule="auto" w:before="59"/>
        <w:ind w:left="134" w:right="1130" w:firstLine="360"/>
        <w:jc w:val="both"/>
      </w:pPr>
      <w:r>
        <w:rPr/>
        <w:t>游戏资产组与商誉相关长期资产包括固定资产、无形资产等，</w:t>
      </w:r>
      <w:r>
        <w:rPr>
          <w:rFonts w:ascii="Times New Roman" w:hAnsi="Times New Roman" w:cs="Times New Roman" w:eastAsia="Times New Roman" w:hint="default"/>
        </w:rPr>
        <w:t>2018</w:t>
      </w:r>
      <w:r>
        <w:rPr/>
        <w:t>年末游戏资产组商誉的账面价值为人民币</w:t>
      </w:r>
      <w:r>
        <w:rPr>
          <w:rFonts w:ascii="Times New Roman" w:hAnsi="Times New Roman" w:cs="Times New Roman" w:eastAsia="Times New Roman" w:hint="default"/>
        </w:rPr>
        <w:t>111,724.39 </w:t>
      </w:r>
      <w:r>
        <w:rPr>
          <w:spacing w:val="-2"/>
        </w:rPr>
        <w:t>万元，资产组账面金额为人民币</w:t>
      </w:r>
      <w:r>
        <w:rPr>
          <w:rFonts w:ascii="Times New Roman" w:hAnsi="Times New Roman" w:cs="Times New Roman" w:eastAsia="Times New Roman" w:hint="default"/>
          <w:spacing w:val="-2"/>
        </w:rPr>
        <w:t>119,447.98</w:t>
      </w:r>
      <w:r>
        <w:rPr>
          <w:spacing w:val="-2"/>
        </w:rPr>
        <w:t>万元（含商誉金额）。可收回金额采用资产组的预计未来现金流量的现值，根据</w:t>
      </w:r>
      <w:r>
        <w:rPr>
          <w:rFonts w:ascii="Times New Roman" w:hAnsi="Times New Roman" w:cs="Times New Roman" w:eastAsia="Times New Roman" w:hint="default"/>
          <w:spacing w:val="-2"/>
        </w:rPr>
        <w:t>5</w:t>
      </w:r>
      <w:r>
        <w:rPr>
          <w:rFonts w:ascii="Times New Roman" w:hAnsi="Times New Roman" w:cs="Times New Roman" w:eastAsia="Times New Roman" w:hint="default"/>
          <w:spacing w:val="-10"/>
        </w:rPr>
        <w:t> </w:t>
      </w:r>
      <w:r>
        <w:rPr>
          <w:spacing w:val="-2"/>
        </w:rPr>
        <w:t>年期的财务预算基础上的现金流量预测来确定。游戏资产组营业收入主要来源于游戏充值收入，本公司综合考虑游戏资产组</w:t>
      </w:r>
      <w:r>
        <w:rPr>
          <w:spacing w:val="-64"/>
        </w:rPr>
        <w:t> </w:t>
      </w:r>
      <w:r>
        <w:rPr>
          <w:spacing w:val="-64"/>
        </w:rPr>
      </w:r>
      <w:r>
        <w:rPr>
          <w:spacing w:val="-2"/>
        </w:rPr>
        <w:t>的业务内容、市场等因素影响，预测该期间内营业收入增长率为</w:t>
      </w:r>
      <w:r>
        <w:rPr>
          <w:rFonts w:ascii="Times New Roman" w:hAnsi="Times New Roman" w:cs="Times New Roman" w:eastAsia="Times New Roman" w:hint="default"/>
          <w:spacing w:val="-2"/>
        </w:rPr>
        <w:t>-9.23%</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2"/>
        </w:rPr>
        <w:t>20.05%</w:t>
      </w:r>
      <w:r>
        <w:rPr>
          <w:spacing w:val="-2"/>
        </w:rPr>
        <w:t>。游戏资产组现金流量预测所用的折现率是</w:t>
      </w:r>
      <w:r>
        <w:rPr>
          <w:spacing w:val="-56"/>
        </w:rPr>
        <w:t> </w:t>
      </w:r>
      <w:r>
        <w:rPr>
          <w:spacing w:val="-56"/>
        </w:rPr>
      </w:r>
      <w:r>
        <w:rPr>
          <w:rFonts w:ascii="Times New Roman" w:hAnsi="Times New Roman" w:cs="Times New Roman" w:eastAsia="Times New Roman" w:hint="default"/>
          <w:spacing w:val="-2"/>
        </w:rPr>
        <w:t>11.09%</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2"/>
        </w:rPr>
        <w:t>12.94%</w:t>
      </w:r>
      <w:r>
        <w:rPr>
          <w:spacing w:val="-2"/>
        </w:rPr>
        <w:t>，用于推断</w:t>
      </w:r>
      <w:r>
        <w:rPr>
          <w:rFonts w:ascii="Times New Roman" w:hAnsi="Times New Roman" w:cs="Times New Roman" w:eastAsia="Times New Roman" w:hint="default"/>
          <w:spacing w:val="-2"/>
        </w:rPr>
        <w:t>5</w:t>
      </w:r>
      <w:r>
        <w:rPr>
          <w:spacing w:val="-2"/>
        </w:rPr>
        <w:t>年以后的游戏资产组的现金流量的增长率是</w:t>
      </w:r>
      <w:r>
        <w:rPr>
          <w:rFonts w:ascii="Times New Roman" w:hAnsi="Times New Roman" w:cs="Times New Roman" w:eastAsia="Times New Roman" w:hint="default"/>
          <w:spacing w:val="-2"/>
        </w:rPr>
        <w:t>0%</w:t>
      </w:r>
      <w:r>
        <w:rPr>
          <w:spacing w:val="-2"/>
        </w:rPr>
        <w:t>。经测算预计未来现金流量的现值高于游戏资产</w:t>
      </w:r>
    </w:p>
    <w:p>
      <w:pPr>
        <w:spacing w:after="0" w:line="458" w:lineRule="auto"/>
        <w:jc w:val="both"/>
        <w:sectPr>
          <w:pgSz w:w="11910" w:h="16840"/>
          <w:pgMar w:header="851" w:footer="979" w:top="1400" w:bottom="1160" w:left="100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BodyText"/>
        <w:spacing w:line="240" w:lineRule="auto" w:before="83"/>
        <w:ind w:right="0"/>
        <w:jc w:val="both"/>
      </w:pPr>
      <w:r>
        <w:rPr/>
        <w:t>组账面价值，公司认为本年游戏资产组的商誉不存在减值。</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7"/>
          <w:szCs w:val="17"/>
        </w:rPr>
      </w:pPr>
    </w:p>
    <w:p>
      <w:pPr>
        <w:pStyle w:val="BodyText"/>
        <w:spacing w:line="451" w:lineRule="auto"/>
        <w:ind w:left="514" w:right="1032"/>
        <w:jc w:val="left"/>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AI-ICT</w:t>
      </w:r>
      <w:r>
        <w:rPr/>
        <w:t>解决方案资产组商誉</w:t>
      </w:r>
      <w:r>
        <w:rPr>
          <w:w w:val="99"/>
        </w:rPr>
        <w:t> </w:t>
      </w:r>
      <w:r>
        <w:rPr/>
        <w:t>北京神州泰岳系统集成有限公司（以下简称“泰岳系统集成”，原名北京友联创新系统集成有限公司）成立于</w:t>
      </w:r>
      <w:r>
        <w:rPr>
          <w:rFonts w:ascii="Times New Roman" w:hAnsi="Times New Roman" w:cs="Times New Roman" w:eastAsia="Times New Roman" w:hint="default"/>
        </w:rPr>
        <w:t>2003</w:t>
      </w:r>
      <w:r>
        <w:rPr/>
        <w:t>年，</w:t>
      </w:r>
    </w:p>
    <w:p>
      <w:pPr>
        <w:pStyle w:val="BodyText"/>
        <w:spacing w:line="458" w:lineRule="auto" w:before="43"/>
        <w:ind w:right="1132"/>
        <w:jc w:val="both"/>
      </w:pPr>
      <w:r>
        <w:rPr/>
        <w:t>北京神州泰岳软件股份有限公司于</w:t>
      </w:r>
      <w:r>
        <w:rPr>
          <w:rFonts w:ascii="Times New Roman" w:hAnsi="Times New Roman" w:cs="Times New Roman" w:eastAsia="Times New Roman" w:hint="default"/>
        </w:rPr>
        <w:t>2010</w:t>
      </w:r>
      <w:r>
        <w:rPr/>
        <w:t>年收购其</w:t>
      </w:r>
      <w:r>
        <w:rPr>
          <w:rFonts w:ascii="Times New Roman" w:hAnsi="Times New Roman" w:cs="Times New Roman" w:eastAsia="Times New Roman" w:hint="default"/>
        </w:rPr>
        <w:t>100%</w:t>
      </w:r>
      <w:r>
        <w:rPr/>
        <w:t>股权。收购完成后，该公司人员、业务整体转入神州泰岳，并与神州</w:t>
      </w:r>
      <w:r>
        <w:rPr>
          <w:spacing w:val="-58"/>
        </w:rPr>
        <w:t> </w:t>
      </w:r>
      <w:r>
        <w:rPr>
          <w:spacing w:val="-58"/>
        </w:rPr>
      </w:r>
      <w:r>
        <w:rPr>
          <w:spacing w:val="-1"/>
        </w:rPr>
        <w:t>泰岳、北京神州泰岳信息安全技术有限公司（以下简称“信息安全”）一起共同为运营商、大型机构等提供</w:t>
      </w:r>
      <w:r>
        <w:rPr>
          <w:rFonts w:ascii="Times New Roman" w:hAnsi="Times New Roman" w:cs="Times New Roman" w:eastAsia="Times New Roman" w:hint="default"/>
          <w:spacing w:val="-1"/>
        </w:rPr>
        <w:t>ICT</w:t>
      </w:r>
      <w:r>
        <w:rPr>
          <w:spacing w:val="-1"/>
        </w:rPr>
        <w:t>运营管理服</w:t>
      </w:r>
      <w:r>
        <w:rPr>
          <w:spacing w:val="-52"/>
        </w:rPr>
        <w:t> </w:t>
      </w:r>
      <w:r>
        <w:rPr>
          <w:spacing w:val="-2"/>
        </w:rPr>
        <w:t>务，市场、技术、产品、服务、人才优势互补，历经多年发展，已经密不可分。原公司主体进行更名，并主要从事系统集成</w:t>
      </w:r>
      <w:r>
        <w:rPr>
          <w:spacing w:val="-69"/>
        </w:rPr>
        <w:t> </w:t>
      </w:r>
      <w:r>
        <w:rPr>
          <w:spacing w:val="-69"/>
        </w:rPr>
      </w:r>
      <w:r>
        <w:rPr/>
        <w:t>业务。</w:t>
      </w:r>
    </w:p>
    <w:p>
      <w:pPr>
        <w:pStyle w:val="BodyText"/>
        <w:spacing w:line="451" w:lineRule="auto" w:before="68"/>
        <w:ind w:right="1130" w:firstLine="360"/>
        <w:jc w:val="both"/>
      </w:pPr>
      <w:r>
        <w:rPr/>
        <w:t>北京神州泰岳软件股份有限公司于</w:t>
      </w:r>
      <w:r>
        <w:rPr>
          <w:rFonts w:ascii="Times New Roman" w:hAnsi="Times New Roman" w:cs="Times New Roman" w:eastAsia="Times New Roman" w:hint="default"/>
        </w:rPr>
        <w:t>2016</w:t>
      </w:r>
      <w:r>
        <w:rPr/>
        <w:t>年收购中科鼎富（北京）科技发展有限公司（以下简称“中科鼎富”）</w:t>
      </w:r>
      <w:r>
        <w:rPr>
          <w:rFonts w:ascii="Times New Roman" w:hAnsi="Times New Roman" w:cs="Times New Roman" w:eastAsia="Times New Roman" w:hint="default"/>
        </w:rPr>
        <w:t>100%</w:t>
      </w:r>
      <w:r>
        <w:rPr/>
        <w:t>的 股权，收购完成后，中科鼎富与前述业务进行整合，研发、销售等各项资源进行统一调配，利用中科鼎富在</w:t>
      </w:r>
      <w:r>
        <w:rPr>
          <w:rFonts w:ascii="Times New Roman" w:hAnsi="Times New Roman" w:cs="Times New Roman" w:eastAsia="Times New Roman" w:hint="default"/>
        </w:rPr>
        <w:t>AI</w:t>
      </w:r>
      <w:r>
        <w:rPr/>
        <w:t>领域的技术</w:t>
      </w:r>
      <w:r>
        <w:rPr>
          <w:spacing w:val="-12"/>
        </w:rPr>
        <w:t> </w:t>
      </w:r>
      <w:r>
        <w:rPr>
          <w:spacing w:val="-12"/>
        </w:rPr>
      </w:r>
      <w:r>
        <w:rPr/>
        <w:t>推动</w:t>
      </w:r>
      <w:r>
        <w:rPr>
          <w:rFonts w:ascii="Times New Roman" w:hAnsi="Times New Roman" w:cs="Times New Roman" w:eastAsia="Times New Roman" w:hint="default"/>
        </w:rPr>
        <w:t>ICT</w:t>
      </w:r>
      <w:r>
        <w:rPr/>
        <w:t>运营管理的技术和产品的升级变革，并将双方技术融合推动新的场景应用（公安领域）的落地。</w:t>
      </w:r>
    </w:p>
    <w:p>
      <w:pPr>
        <w:pStyle w:val="BodyText"/>
        <w:spacing w:line="240" w:lineRule="auto" w:before="43"/>
        <w:ind w:left="514" w:right="0"/>
        <w:jc w:val="left"/>
      </w:pPr>
      <w:r>
        <w:rPr/>
        <w:t>上述业务相互融合，协调发展，密不可分，形成</w:t>
      </w:r>
      <w:r>
        <w:rPr>
          <w:rFonts w:ascii="Times New Roman" w:hAnsi="Times New Roman" w:cs="Times New Roman" w:eastAsia="Times New Roman" w:hint="default"/>
        </w:rPr>
        <w:t>AI</w:t>
      </w:r>
      <w:r>
        <w:rPr/>
        <w:t>与</w:t>
      </w:r>
      <w:r>
        <w:rPr>
          <w:rFonts w:ascii="Times New Roman" w:hAnsi="Times New Roman" w:cs="Times New Roman" w:eastAsia="Times New Roman" w:hint="default"/>
        </w:rPr>
        <w:t>ICT</w:t>
      </w:r>
      <w:r>
        <w:rPr/>
        <w:t>相结合的发展模式，因此将之整体作为一个资产组。</w:t>
      </w:r>
    </w:p>
    <w:p>
      <w:pPr>
        <w:spacing w:line="240" w:lineRule="auto" w:before="9"/>
        <w:rPr>
          <w:rFonts w:ascii="宋体" w:hAnsi="宋体" w:cs="宋体" w:eastAsia="宋体" w:hint="default"/>
          <w:sz w:val="16"/>
          <w:szCs w:val="16"/>
        </w:rPr>
      </w:pPr>
    </w:p>
    <w:p>
      <w:pPr>
        <w:pStyle w:val="BodyText"/>
        <w:spacing w:line="451" w:lineRule="auto"/>
        <w:ind w:right="1130" w:firstLine="360"/>
        <w:jc w:val="both"/>
      </w:pPr>
      <w:r>
        <w:rPr>
          <w:rFonts w:ascii="Times New Roman" w:hAnsi="Times New Roman" w:cs="Times New Roman" w:eastAsia="Times New Roman" w:hint="default"/>
          <w:spacing w:val="-2"/>
        </w:rPr>
        <w:t>AI-ICT</w:t>
      </w:r>
      <w:r>
        <w:rPr>
          <w:spacing w:val="-2"/>
        </w:rPr>
        <w:t>解决方案资产组与商誉相关长期资产包括固定资产、无形资产等，</w:t>
      </w:r>
      <w:r>
        <w:rPr>
          <w:rFonts w:ascii="Times New Roman" w:hAnsi="Times New Roman" w:cs="Times New Roman" w:eastAsia="Times New Roman" w:hint="default"/>
          <w:spacing w:val="-2"/>
        </w:rPr>
        <w:t>2018</w:t>
      </w:r>
      <w:r>
        <w:rPr>
          <w:spacing w:val="-2"/>
        </w:rPr>
        <w:t>年末</w:t>
      </w:r>
      <w:r>
        <w:rPr>
          <w:rFonts w:ascii="Times New Roman" w:hAnsi="Times New Roman" w:cs="Times New Roman" w:eastAsia="Times New Roman" w:hint="default"/>
          <w:spacing w:val="-2"/>
        </w:rPr>
        <w:t>AI-ICT</w:t>
      </w:r>
      <w:r>
        <w:rPr>
          <w:spacing w:val="-2"/>
        </w:rPr>
        <w:t>解决方案资产组商誉的账面价</w:t>
      </w:r>
      <w:r>
        <w:rPr>
          <w:w w:val="99"/>
        </w:rPr>
        <w:t> </w:t>
      </w:r>
      <w:r>
        <w:rPr>
          <w:spacing w:val="-2"/>
        </w:rPr>
        <w:t>值为人民币</w:t>
      </w:r>
      <w:r>
        <w:rPr>
          <w:rFonts w:ascii="Times New Roman" w:hAnsi="Times New Roman" w:cs="Times New Roman" w:eastAsia="Times New Roman" w:hint="default"/>
          <w:spacing w:val="-2"/>
        </w:rPr>
        <w:t>60,044.61</w:t>
      </w:r>
      <w:r>
        <w:rPr>
          <w:spacing w:val="-2"/>
        </w:rPr>
        <w:t>万元，资产组账面金额为人民币</w:t>
      </w:r>
      <w:r>
        <w:rPr>
          <w:rFonts w:ascii="Times New Roman" w:hAnsi="Times New Roman" w:cs="Times New Roman" w:eastAsia="Times New Roman" w:hint="default"/>
          <w:spacing w:val="-2"/>
        </w:rPr>
        <w:t>94,704.67</w:t>
      </w:r>
      <w:r>
        <w:rPr>
          <w:spacing w:val="-2"/>
        </w:rPr>
        <w:t>万元（含商誉金额）。可收回金额采用资产组的预计未来现金</w:t>
      </w:r>
      <w:r>
        <w:rPr>
          <w:spacing w:val="-54"/>
        </w:rPr>
        <w:t> </w:t>
      </w:r>
      <w:r>
        <w:rPr>
          <w:spacing w:val="-54"/>
        </w:rPr>
      </w:r>
      <w:r>
        <w:rPr/>
        <w:t>流量的现值，根据</w:t>
      </w:r>
      <w:r>
        <w:rPr>
          <w:rFonts w:ascii="Times New Roman" w:hAnsi="Times New Roman" w:cs="Times New Roman" w:eastAsia="Times New Roman" w:hint="default"/>
        </w:rPr>
        <w:t>5</w:t>
      </w:r>
      <w:r>
        <w:rPr/>
        <w:t>年期的财务预算基础上的现金流量预测来确定。</w:t>
      </w:r>
      <w:r>
        <w:rPr>
          <w:rFonts w:ascii="Times New Roman" w:hAnsi="Times New Roman" w:cs="Times New Roman" w:eastAsia="Times New Roman" w:hint="default"/>
        </w:rPr>
        <w:t>AI-ICT</w:t>
      </w:r>
      <w:r>
        <w:rPr/>
        <w:t>解决方案资产组收入主要来源于相关软件开发及</w:t>
      </w:r>
      <w:r>
        <w:rPr>
          <w:spacing w:val="-85"/>
        </w:rPr>
        <w:t> </w:t>
      </w:r>
      <w:r>
        <w:rPr>
          <w:spacing w:val="-85"/>
        </w:rPr>
      </w:r>
      <w:r>
        <w:rPr>
          <w:spacing w:val="-2"/>
        </w:rPr>
        <w:t>技术服务收入，公司综合考虑</w:t>
      </w:r>
      <w:r>
        <w:rPr>
          <w:rFonts w:ascii="Times New Roman" w:hAnsi="Times New Roman" w:cs="Times New Roman" w:eastAsia="Times New Roman" w:hint="default"/>
          <w:spacing w:val="-2"/>
        </w:rPr>
        <w:t>AI-ICT</w:t>
      </w:r>
      <w:r>
        <w:rPr>
          <w:spacing w:val="-2"/>
        </w:rPr>
        <w:t>解决方案资产组的业务内容、合同签订情况、未来发展等因素影响，预测该期间内营业</w:t>
      </w:r>
      <w:r>
        <w:rPr>
          <w:spacing w:val="-62"/>
        </w:rPr>
        <w:t> </w:t>
      </w:r>
      <w:r>
        <w:rPr>
          <w:spacing w:val="-62"/>
        </w:rPr>
      </w:r>
      <w:r>
        <w:rPr/>
        <w:t>收入增长率为</w:t>
      </w:r>
      <w:r>
        <w:rPr>
          <w:rFonts w:ascii="Times New Roman" w:hAnsi="Times New Roman" w:cs="Times New Roman" w:eastAsia="Times New Roman" w:hint="default"/>
        </w:rPr>
        <w:t>7.79%</w:t>
      </w:r>
      <w:r>
        <w:rPr>
          <w:rFonts w:ascii="Times New Roman" w:hAnsi="Times New Roman" w:cs="Times New Roman" w:eastAsia="Times New Roman" w:hint="default"/>
        </w:rPr>
        <w:t>—</w:t>
      </w:r>
      <w:r>
        <w:rPr>
          <w:rFonts w:ascii="Times New Roman" w:hAnsi="Times New Roman" w:cs="Times New Roman" w:eastAsia="Times New Roman" w:hint="default"/>
        </w:rPr>
        <w:t>20.59%</w:t>
      </w:r>
      <w:r>
        <w:rPr/>
        <w:t>。</w:t>
      </w:r>
      <w:r>
        <w:rPr>
          <w:rFonts w:ascii="Times New Roman" w:hAnsi="Times New Roman" w:cs="Times New Roman" w:eastAsia="Times New Roman" w:hint="default"/>
        </w:rPr>
        <w:t>AI-ICT</w:t>
      </w:r>
      <w:r>
        <w:rPr/>
        <w:t>解决方案资产组现金流量预测所用的折现率是</w:t>
      </w:r>
      <w:r>
        <w:rPr>
          <w:rFonts w:ascii="Times New Roman" w:hAnsi="Times New Roman" w:cs="Times New Roman" w:eastAsia="Times New Roman" w:hint="default"/>
        </w:rPr>
        <w:t>11.61%</w:t>
      </w:r>
      <w:r>
        <w:rPr/>
        <w:t>，用于推断</w:t>
      </w:r>
      <w:r>
        <w:rPr>
          <w:rFonts w:ascii="Times New Roman" w:hAnsi="Times New Roman" w:cs="Times New Roman" w:eastAsia="Times New Roman" w:hint="default"/>
        </w:rPr>
        <w:t>5</w:t>
      </w:r>
      <w:r>
        <w:rPr/>
        <w:t>年以后的</w:t>
      </w:r>
      <w:r>
        <w:rPr>
          <w:rFonts w:ascii="Times New Roman" w:hAnsi="Times New Roman" w:cs="Times New Roman" w:eastAsia="Times New Roman" w:hint="default"/>
        </w:rPr>
        <w:t>AI-ICT</w:t>
      </w:r>
      <w:r>
        <w:rPr/>
        <w:t>解</w:t>
      </w:r>
      <w:r>
        <w:rPr>
          <w:spacing w:val="-51"/>
        </w:rPr>
        <w:t> </w:t>
      </w:r>
      <w:r>
        <w:rPr/>
        <w:t>决方案资产组的现金流量的增长率是</w:t>
      </w:r>
      <w:r>
        <w:rPr>
          <w:rFonts w:ascii="Times New Roman" w:hAnsi="Times New Roman" w:cs="Times New Roman" w:eastAsia="Times New Roman" w:hint="default"/>
        </w:rPr>
        <w:t>0%</w:t>
      </w:r>
      <w:r>
        <w:rPr/>
        <w:t>。经测算预计未来现金流量的现值高于</w:t>
      </w:r>
      <w:r>
        <w:rPr>
          <w:rFonts w:ascii="Times New Roman" w:hAnsi="Times New Roman" w:cs="Times New Roman" w:eastAsia="Times New Roman" w:hint="default"/>
        </w:rPr>
        <w:t>AI-ICT</w:t>
      </w:r>
      <w:r>
        <w:rPr/>
        <w:t>解决方案资产组账面价值，公司认为</w:t>
      </w:r>
      <w:r>
        <w:rPr>
          <w:spacing w:val="-58"/>
        </w:rPr>
        <w:t> </w:t>
      </w:r>
      <w:r>
        <w:rPr>
          <w:spacing w:val="-58"/>
        </w:rPr>
      </w:r>
      <w:r>
        <w:rPr/>
        <w:t>本年</w:t>
      </w:r>
      <w:r>
        <w:rPr>
          <w:rFonts w:ascii="Times New Roman" w:hAnsi="Times New Roman" w:cs="Times New Roman" w:eastAsia="Times New Roman" w:hint="default"/>
        </w:rPr>
        <w:t>AI-ICT</w:t>
      </w:r>
      <w:r>
        <w:rPr/>
        <w:t>解决方案资产组的商誉不存在减值。</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21"/>
          <w:szCs w:val="21"/>
        </w:rPr>
      </w:pPr>
    </w:p>
    <w:p>
      <w:pPr>
        <w:pStyle w:val="BodyText"/>
        <w:spacing w:line="240" w:lineRule="auto"/>
        <w:ind w:left="514" w:right="0"/>
        <w:jc w:val="left"/>
      </w:pPr>
      <w:r>
        <w:rPr/>
        <w:t>（</w:t>
      </w:r>
      <w:r>
        <w:rPr>
          <w:rFonts w:ascii="Times New Roman" w:hAnsi="Times New Roman" w:cs="Times New Roman" w:eastAsia="Times New Roman" w:hint="default"/>
        </w:rPr>
        <w:t>3</w:t>
      </w:r>
      <w:r>
        <w:rPr/>
        <w:t>）拨测业务资产组商誉</w:t>
      </w:r>
    </w:p>
    <w:p>
      <w:pPr>
        <w:spacing w:line="240" w:lineRule="auto" w:before="9"/>
        <w:rPr>
          <w:rFonts w:ascii="宋体" w:hAnsi="宋体" w:cs="宋体" w:eastAsia="宋体" w:hint="default"/>
          <w:sz w:val="16"/>
          <w:szCs w:val="16"/>
        </w:rPr>
      </w:pPr>
    </w:p>
    <w:p>
      <w:pPr>
        <w:pStyle w:val="BodyText"/>
        <w:spacing w:line="463" w:lineRule="auto"/>
        <w:ind w:right="1130" w:firstLine="360"/>
        <w:jc w:val="both"/>
      </w:pPr>
      <w:r>
        <w:rPr>
          <w:rFonts w:ascii="Times New Roman" w:hAnsi="Times New Roman" w:cs="Times New Roman" w:eastAsia="Times New Roman" w:hint="default"/>
        </w:rPr>
        <w:t>2001</w:t>
      </w:r>
      <w:r>
        <w:rPr/>
        <w:t>年宁波普天通信技术有限公司（简称“宁波普天”）成立，</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7</w:t>
      </w:r>
      <w:r>
        <w:rPr/>
        <w:t>月公司收购宁波普天全部股权。该公司主要为 </w:t>
      </w:r>
      <w:r>
        <w:rPr>
          <w:spacing w:val="-2"/>
        </w:rPr>
        <w:t>中国移动等客户提供移动网络测评优化服务。公司定期针对上述经营活动做整体评价，并据此资源配置，因此将拨测业务资</w:t>
      </w:r>
      <w:r>
        <w:rPr>
          <w:spacing w:val="-66"/>
        </w:rPr>
        <w:t> </w:t>
      </w:r>
      <w:r>
        <w:rPr>
          <w:spacing w:val="-66"/>
        </w:rPr>
      </w:r>
      <w:r>
        <w:rPr/>
        <w:t>产整体作为一个资产组。</w:t>
      </w:r>
    </w:p>
    <w:p>
      <w:pPr>
        <w:pStyle w:val="BodyText"/>
        <w:spacing w:line="456" w:lineRule="auto" w:before="65"/>
        <w:ind w:right="1130" w:firstLine="360"/>
        <w:jc w:val="both"/>
      </w:pPr>
      <w:r>
        <w:rPr/>
        <w:t>拨测业务资产组与商誉相关长期资产包括固定资产、无形资产等，</w:t>
      </w:r>
      <w:r>
        <w:rPr>
          <w:rFonts w:ascii="Times New Roman" w:hAnsi="Times New Roman" w:cs="Times New Roman" w:eastAsia="Times New Roman" w:hint="default"/>
        </w:rPr>
        <w:t>2018</w:t>
      </w:r>
      <w:r>
        <w:rPr/>
        <w:t>年末拨测业务资产组商誉的账面价值为人民币 </w:t>
      </w:r>
      <w:r>
        <w:rPr>
          <w:rFonts w:ascii="Times New Roman" w:hAnsi="Times New Roman" w:cs="Times New Roman" w:eastAsia="Times New Roman" w:hint="default"/>
          <w:spacing w:val="-5"/>
        </w:rPr>
        <w:t>20,613.72</w:t>
      </w:r>
      <w:r>
        <w:rPr>
          <w:spacing w:val="-5"/>
        </w:rPr>
        <w:t>万元，资产组账面金额为人民币</w:t>
      </w:r>
      <w:r>
        <w:rPr>
          <w:rFonts w:ascii="Times New Roman" w:hAnsi="Times New Roman" w:cs="Times New Roman" w:eastAsia="Times New Roman" w:hint="default"/>
          <w:spacing w:val="-5"/>
        </w:rPr>
        <w:t>24,896.43</w:t>
      </w:r>
      <w:r>
        <w:rPr>
          <w:spacing w:val="-5"/>
        </w:rPr>
        <w:t>万元（含商誉金额）。可收回金额采用资产组的预计未来现金流量的现值，</w:t>
      </w:r>
      <w:r>
        <w:rPr>
          <w:spacing w:val="-36"/>
        </w:rPr>
        <w:t> </w:t>
      </w:r>
      <w:r>
        <w:rPr>
          <w:spacing w:val="-36"/>
        </w:rPr>
      </w:r>
      <w:r>
        <w:rPr/>
        <w:t>根据</w:t>
      </w:r>
      <w:r>
        <w:rPr>
          <w:rFonts w:ascii="Times New Roman" w:hAnsi="Times New Roman" w:cs="Times New Roman" w:eastAsia="Times New Roman" w:hint="default"/>
        </w:rPr>
        <w:t>5</w:t>
      </w:r>
      <w:r>
        <w:rPr/>
        <w:t>年期的财务预算基础上的现金流量预测来确定。拨测业务资产组收入主要来源于与拨测业务相关的技术服务及软硬件</w:t>
      </w:r>
      <w:r>
        <w:rPr>
          <w:spacing w:val="-83"/>
        </w:rPr>
        <w:t> </w:t>
      </w:r>
      <w:r>
        <w:rPr>
          <w:spacing w:val="-83"/>
        </w:rPr>
      </w:r>
      <w:r>
        <w:rPr/>
        <w:t>部署，公司综合考虑拨测业务资产组的业务内容、合同签订情况、发展前景等因素影响，预测该期间内营业收入增长率为</w:t>
      </w:r>
      <w:r>
        <w:rPr>
          <w:spacing w:val="-9"/>
        </w:rPr>
        <w:t> </w:t>
      </w:r>
      <w:r>
        <w:rPr>
          <w:spacing w:val="-9"/>
        </w:rPr>
      </w:r>
      <w:r>
        <w:rPr>
          <w:rFonts w:ascii="Times New Roman" w:hAnsi="Times New Roman" w:cs="Times New Roman" w:eastAsia="Times New Roman" w:hint="default"/>
        </w:rPr>
        <w:t>10%</w:t>
      </w:r>
      <w:r>
        <w:rPr>
          <w:rFonts w:ascii="Times New Roman" w:hAnsi="Times New Roman" w:cs="Times New Roman" w:eastAsia="Times New Roman" w:hint="default"/>
        </w:rPr>
        <w:t>—</w:t>
      </w:r>
      <w:r>
        <w:rPr>
          <w:rFonts w:ascii="Times New Roman" w:hAnsi="Times New Roman" w:cs="Times New Roman" w:eastAsia="Times New Roman" w:hint="default"/>
        </w:rPr>
        <w:t>25%</w:t>
      </w:r>
      <w:r>
        <w:rPr/>
        <w:t>。拨测业务资产组现金流量预测所用的折现率是</w:t>
      </w:r>
      <w:r>
        <w:rPr>
          <w:rFonts w:ascii="Times New Roman" w:hAnsi="Times New Roman" w:cs="Times New Roman" w:eastAsia="Times New Roman" w:hint="default"/>
        </w:rPr>
        <w:t>12.45%</w:t>
      </w:r>
      <w:r>
        <w:rPr/>
        <w:t>，用于推断</w:t>
      </w:r>
      <w:r>
        <w:rPr>
          <w:rFonts w:ascii="Times New Roman" w:hAnsi="Times New Roman" w:cs="Times New Roman" w:eastAsia="Times New Roman" w:hint="default"/>
        </w:rPr>
        <w:t>5</w:t>
      </w:r>
      <w:r>
        <w:rPr/>
        <w:t>年以后的拨测业务资产组的现金流量的增长</w:t>
      </w:r>
      <w:r>
        <w:rPr>
          <w:spacing w:val="-47"/>
        </w:rPr>
        <w:t> </w:t>
      </w:r>
      <w:r>
        <w:rPr>
          <w:spacing w:val="-47"/>
        </w:rPr>
      </w:r>
      <w:r>
        <w:rPr>
          <w:spacing w:val="-3"/>
        </w:rPr>
        <w:t>率是</w:t>
      </w:r>
      <w:r>
        <w:rPr>
          <w:rFonts w:ascii="Times New Roman" w:hAnsi="Times New Roman" w:cs="Times New Roman" w:eastAsia="Times New Roman" w:hint="default"/>
          <w:spacing w:val="-3"/>
        </w:rPr>
        <w:t>0%</w:t>
      </w:r>
      <w:r>
        <w:rPr>
          <w:spacing w:val="-3"/>
        </w:rPr>
        <w:t>。经测算预计未来现金流量的现值高于拨测业务资产组账面价值，公司认为本年拨测业务资产组的商誉不存在减值。</w:t>
      </w:r>
    </w:p>
    <w:p>
      <w:pPr>
        <w:spacing w:after="0" w:line="456" w:lineRule="auto"/>
        <w:jc w:val="both"/>
        <w:sectPr>
          <w:pgSz w:w="11910" w:h="16840"/>
          <w:pgMar w:header="851" w:footer="979" w:top="1400" w:bottom="1160" w:left="980" w:right="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pStyle w:val="BodyText"/>
        <w:spacing w:line="240" w:lineRule="auto" w:before="44"/>
        <w:ind w:left="514" w:right="0"/>
        <w:jc w:val="left"/>
      </w:pPr>
      <w:r>
        <w:rPr/>
        <w:t>（</w:t>
      </w:r>
      <w:r>
        <w:rPr>
          <w:rFonts w:ascii="Times New Roman" w:hAnsi="Times New Roman" w:cs="Times New Roman" w:eastAsia="Times New Roman" w:hint="default"/>
        </w:rPr>
        <w:t>4</w:t>
      </w:r>
      <w:r>
        <w:rPr/>
        <w:t>）海外业务平台资产组商誉</w:t>
      </w:r>
    </w:p>
    <w:p>
      <w:pPr>
        <w:spacing w:line="240" w:lineRule="auto" w:before="9"/>
        <w:rPr>
          <w:rFonts w:ascii="宋体" w:hAnsi="宋体" w:cs="宋体" w:eastAsia="宋体" w:hint="default"/>
          <w:sz w:val="16"/>
          <w:szCs w:val="16"/>
        </w:rPr>
      </w:pPr>
    </w:p>
    <w:p>
      <w:pPr>
        <w:pStyle w:val="BodyText"/>
        <w:spacing w:line="463" w:lineRule="auto"/>
        <w:ind w:right="1131" w:firstLine="360"/>
        <w:jc w:val="both"/>
      </w:pPr>
      <w:r>
        <w:rPr/>
        <w:t>公司于</w:t>
      </w:r>
      <w:r>
        <w:rPr>
          <w:rFonts w:ascii="Times New Roman" w:hAnsi="Times New Roman" w:cs="Times New Roman" w:eastAsia="Times New Roman" w:hint="default"/>
        </w:rPr>
        <w:t>2013</w:t>
      </w:r>
      <w:r>
        <w:rPr/>
        <w:t>年收购</w:t>
      </w:r>
      <w:r>
        <w:rPr>
          <w:rFonts w:ascii="Times New Roman" w:hAnsi="Times New Roman" w:cs="Times New Roman" w:eastAsia="Times New Roman" w:hint="default"/>
        </w:rPr>
        <w:t>Bridge Minds Consulting Pte</w:t>
      </w:r>
      <w:r>
        <w:rPr>
          <w:rFonts w:ascii="Times New Roman" w:hAnsi="Times New Roman" w:cs="Times New Roman" w:eastAsia="Times New Roman" w:hint="default"/>
          <w:spacing w:val="33"/>
        </w:rPr>
        <w:t> </w:t>
      </w:r>
      <w:r>
        <w:rPr>
          <w:rFonts w:ascii="Times New Roman" w:hAnsi="Times New Roman" w:cs="Times New Roman" w:eastAsia="Times New Roman" w:hint="default"/>
        </w:rPr>
        <w:t>Ltd</w:t>
      </w:r>
      <w:r>
        <w:rPr/>
        <w:t>（简称“智桥资讯”）后，将其作为公司海外业务发展的重要平台。 </w:t>
      </w:r>
      <w:r>
        <w:rPr>
          <w:spacing w:val="-2"/>
        </w:rPr>
        <w:t>智桥资讯利用自身优势，立足新加坡、辐射东南亚、拓展欧美等全球市场，将促进公司业务海外的推广与落地。公司定期针</w:t>
      </w:r>
      <w:r>
        <w:rPr>
          <w:spacing w:val="-66"/>
        </w:rPr>
        <w:t> </w:t>
      </w:r>
      <w:r>
        <w:rPr>
          <w:spacing w:val="-66"/>
        </w:rPr>
      </w:r>
      <w:r>
        <w:rPr/>
        <w:t>对上述经营活动做整体评价，并据此资源配置，因此将海外业务平台资产作为一个资产组。</w:t>
      </w:r>
    </w:p>
    <w:p>
      <w:pPr>
        <w:pStyle w:val="BodyText"/>
        <w:spacing w:line="453" w:lineRule="auto" w:before="65"/>
        <w:ind w:right="1130" w:firstLine="360"/>
        <w:jc w:val="both"/>
      </w:pPr>
      <w:r>
        <w:rPr>
          <w:spacing w:val="4"/>
        </w:rPr>
        <w:t>海外业务平台资产组与商誉相关长期资产包括固定资产等，</w:t>
      </w:r>
      <w:r>
        <w:rPr>
          <w:rFonts w:ascii="Times New Roman" w:hAnsi="Times New Roman" w:cs="Times New Roman" w:eastAsia="Times New Roman" w:hint="default"/>
          <w:spacing w:val="4"/>
        </w:rPr>
        <w:t>2018</w:t>
      </w:r>
      <w:r>
        <w:rPr>
          <w:spacing w:val="4"/>
        </w:rPr>
        <w:t>年末海外业务平台资产组商誉的账面价值为人民币</w:t>
      </w:r>
      <w:r>
        <w:rPr/>
        <w:t> </w:t>
      </w:r>
      <w:r>
        <w:rPr>
          <w:rFonts w:ascii="Times New Roman" w:hAnsi="Times New Roman" w:cs="Times New Roman" w:eastAsia="Times New Roman" w:hint="default"/>
          <w:spacing w:val="-2"/>
        </w:rPr>
        <w:t>4,691.38</w:t>
      </w:r>
      <w:r>
        <w:rPr>
          <w:spacing w:val="-2"/>
        </w:rPr>
        <w:t>万元，资产组账面金额为人民币</w:t>
      </w:r>
      <w:r>
        <w:rPr>
          <w:rFonts w:ascii="Times New Roman" w:hAnsi="Times New Roman" w:cs="Times New Roman" w:eastAsia="Times New Roman" w:hint="default"/>
          <w:spacing w:val="-2"/>
        </w:rPr>
        <w:t>5,924.85</w:t>
      </w:r>
      <w:r>
        <w:rPr>
          <w:spacing w:val="-2"/>
        </w:rPr>
        <w:t>万元（含商誉金额以及未确认的归属于少数股东的商誉金额）。可收回金额</w:t>
      </w:r>
      <w:r>
        <w:rPr>
          <w:spacing w:val="-53"/>
        </w:rPr>
        <w:t> </w:t>
      </w:r>
      <w:r>
        <w:rPr>
          <w:spacing w:val="-53"/>
        </w:rPr>
      </w:r>
      <w:r>
        <w:rPr/>
        <w:t>采用资产组的预计未来现金流量的现值，根据</w:t>
      </w:r>
      <w:r>
        <w:rPr>
          <w:rFonts w:ascii="Times New Roman" w:hAnsi="Times New Roman" w:cs="Times New Roman" w:eastAsia="Times New Roman" w:hint="default"/>
        </w:rPr>
        <w:t>5</w:t>
      </w:r>
      <w:r>
        <w:rPr/>
        <w:t>年期的财务预算基础上的现金流量预测来确定。海外业务平台资产组收入主</w:t>
      </w:r>
      <w:r>
        <w:rPr>
          <w:spacing w:val="-83"/>
        </w:rPr>
        <w:t> </w:t>
      </w:r>
      <w:r>
        <w:rPr>
          <w:spacing w:val="-83"/>
        </w:rPr>
      </w:r>
      <w:r>
        <w:rPr>
          <w:spacing w:val="-2"/>
        </w:rPr>
        <w:t>要来源于海外销售业务，公司综合考虑海外业务平台资产组的业务内容、发展前景等因素影响，预测该期间内营业收入增长</w:t>
      </w:r>
      <w:r>
        <w:rPr>
          <w:spacing w:val="-66"/>
        </w:rPr>
        <w:t> </w:t>
      </w:r>
      <w:r>
        <w:rPr>
          <w:spacing w:val="-66"/>
        </w:rPr>
      </w:r>
      <w:r>
        <w:rPr/>
        <w:t>率为</w:t>
      </w:r>
      <w:r>
        <w:rPr>
          <w:rFonts w:ascii="Times New Roman" w:hAnsi="Times New Roman" w:cs="Times New Roman" w:eastAsia="Times New Roman" w:hint="default"/>
        </w:rPr>
        <w:t>10%</w:t>
      </w:r>
      <w:r>
        <w:rPr>
          <w:rFonts w:ascii="Times New Roman" w:hAnsi="Times New Roman" w:cs="Times New Roman" w:eastAsia="Times New Roman" w:hint="default"/>
        </w:rPr>
        <w:t>—</w:t>
      </w:r>
      <w:r>
        <w:rPr>
          <w:rFonts w:ascii="Times New Roman" w:hAnsi="Times New Roman" w:cs="Times New Roman" w:eastAsia="Times New Roman" w:hint="default"/>
        </w:rPr>
        <w:t>40%</w:t>
      </w:r>
      <w:r>
        <w:rPr/>
        <w:t>。海外业务平台资产组现金流量预测所用的折现率是</w:t>
      </w:r>
      <w:r>
        <w:rPr>
          <w:rFonts w:ascii="Times New Roman" w:hAnsi="Times New Roman" w:cs="Times New Roman" w:eastAsia="Times New Roman" w:hint="default"/>
        </w:rPr>
        <w:t>12.81%</w:t>
      </w:r>
      <w:r>
        <w:rPr/>
        <w:t>，用于推断</w:t>
      </w:r>
      <w:r>
        <w:rPr>
          <w:rFonts w:ascii="Times New Roman" w:hAnsi="Times New Roman" w:cs="Times New Roman" w:eastAsia="Times New Roman" w:hint="default"/>
        </w:rPr>
        <w:t>5</w:t>
      </w:r>
      <w:r>
        <w:rPr/>
        <w:t>年以后的海外业务平台资产组的现</w:t>
      </w:r>
      <w:r>
        <w:rPr>
          <w:spacing w:val="-48"/>
        </w:rPr>
        <w:t> </w:t>
      </w:r>
      <w:r>
        <w:rPr>
          <w:spacing w:val="-48"/>
        </w:rPr>
      </w:r>
      <w:r>
        <w:rPr/>
        <w:t>金流量的增长率是</w:t>
      </w:r>
      <w:r>
        <w:rPr>
          <w:rFonts w:ascii="Times New Roman" w:hAnsi="Times New Roman" w:cs="Times New Roman" w:eastAsia="Times New Roman" w:hint="default"/>
        </w:rPr>
        <w:t>0%</w:t>
      </w:r>
      <w:r>
        <w:rPr/>
        <w:t>。经测算，根据该资产组现金流现值计算的可收回金额将低于资产组账面价值，公司于报告期内对海</w:t>
      </w:r>
      <w:r>
        <w:rPr>
          <w:spacing w:val="-56"/>
        </w:rPr>
        <w:t> </w:t>
      </w:r>
      <w:r>
        <w:rPr>
          <w:spacing w:val="-56"/>
        </w:rPr>
      </w:r>
      <w:r>
        <w:rPr/>
        <w:t>外业务平台资产组的商誉（含未确认的归属于少数股东的商誉金额）减值金额为</w:t>
      </w:r>
      <w:r>
        <w:rPr>
          <w:rFonts w:ascii="Times New Roman" w:hAnsi="Times New Roman" w:cs="Times New Roman" w:eastAsia="Times New Roman" w:hint="default"/>
        </w:rPr>
        <w:t>1,450</w:t>
      </w:r>
      <w:r>
        <w:rPr/>
        <w:t>万元，据此计提归属于母公司股东的</w:t>
      </w:r>
      <w:r>
        <w:rPr>
          <w:spacing w:val="-45"/>
        </w:rPr>
        <w:t> </w:t>
      </w:r>
      <w:r>
        <w:rPr>
          <w:spacing w:val="-45"/>
        </w:rPr>
      </w:r>
      <w:r>
        <w:rPr/>
        <w:t>商誉减值准备金额为</w:t>
      </w:r>
      <w:r>
        <w:rPr>
          <w:rFonts w:ascii="Times New Roman" w:hAnsi="Times New Roman" w:cs="Times New Roman" w:eastAsia="Times New Roman" w:hint="default"/>
        </w:rPr>
        <w:t>1,160</w:t>
      </w:r>
      <w:r>
        <w:rPr/>
        <w:t>万元。</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0"/>
          <w:szCs w:val="20"/>
        </w:rPr>
      </w:pPr>
    </w:p>
    <w:p>
      <w:pPr>
        <w:pStyle w:val="BodyText"/>
        <w:spacing w:line="451" w:lineRule="auto"/>
        <w:ind w:left="514" w:right="0"/>
        <w:jc w:val="left"/>
      </w:pPr>
      <w:r>
        <w:rPr/>
        <w:t>（</w:t>
      </w:r>
      <w:r>
        <w:rPr>
          <w:rFonts w:ascii="Times New Roman" w:hAnsi="Times New Roman" w:cs="Times New Roman" w:eastAsia="Times New Roman" w:hint="default"/>
        </w:rPr>
        <w:t>5</w:t>
      </w:r>
      <w:r>
        <w:rPr/>
        <w:t>）互联网运营资产组商誉 </w:t>
      </w:r>
      <w:r>
        <w:rPr>
          <w:spacing w:val="-2"/>
        </w:rPr>
        <w:t>北京广通神州网络技术有限公司（简称“广通神州”）成立于</w:t>
      </w:r>
      <w:r>
        <w:rPr>
          <w:rFonts w:ascii="Times New Roman" w:hAnsi="Times New Roman" w:cs="Times New Roman" w:eastAsia="Times New Roman" w:hint="default"/>
          <w:spacing w:val="-2"/>
        </w:rPr>
        <w:t>2005</w:t>
      </w:r>
      <w:r>
        <w:rPr>
          <w:spacing w:val="-2"/>
        </w:rPr>
        <w:t>年。</w:t>
      </w:r>
      <w:r>
        <w:rPr>
          <w:rFonts w:ascii="Times New Roman" w:hAnsi="Times New Roman" w:cs="Times New Roman" w:eastAsia="Times New Roman" w:hint="default"/>
          <w:spacing w:val="-2"/>
        </w:rPr>
        <w:t>2013</w:t>
      </w:r>
      <w:r>
        <w:rPr>
          <w:spacing w:val="-2"/>
        </w:rPr>
        <w:t>年公司收购广通神州全部股权。广通神州主</w:t>
      </w:r>
    </w:p>
    <w:p>
      <w:pPr>
        <w:pStyle w:val="BodyText"/>
        <w:spacing w:line="463" w:lineRule="auto" w:before="43"/>
        <w:ind w:left="0" w:right="1130"/>
        <w:jc w:val="right"/>
      </w:pPr>
      <w:r>
        <w:rPr>
          <w:spacing w:val="-5"/>
        </w:rPr>
        <w:t>要面向电信运营商提供平台研发、客户端应用研发、运营服务、精准营销等综合性解决方案。北京新媒传信科技有限公司（简</w:t>
      </w:r>
      <w:r>
        <w:rPr/>
        <w:t> </w:t>
      </w:r>
      <w:r>
        <w:rPr>
          <w:spacing w:val="-2"/>
        </w:rPr>
        <w:t>称“新媒传信”）成立于</w:t>
      </w:r>
      <w:r>
        <w:rPr>
          <w:rFonts w:ascii="Times New Roman" w:hAnsi="Times New Roman" w:cs="Times New Roman" w:eastAsia="Times New Roman" w:hint="default"/>
          <w:spacing w:val="-2"/>
        </w:rPr>
        <w:t>2007</w:t>
      </w:r>
      <w:r>
        <w:rPr>
          <w:spacing w:val="-2"/>
        </w:rPr>
        <w:t>年，为公司的全资子公司。广通神州与新媒传信主要客户相同，定位与业务相似，两者同属互</w:t>
      </w:r>
      <w:r>
        <w:rPr>
          <w:spacing w:val="-84"/>
        </w:rPr>
        <w:t> </w:t>
      </w:r>
      <w:r>
        <w:rPr>
          <w:spacing w:val="-84"/>
        </w:rPr>
      </w:r>
      <w:r>
        <w:rPr>
          <w:spacing w:val="-2"/>
        </w:rPr>
        <w:t>联网开发、运营类业务；双方人员、业务合并运营，融合发展、优势互补、资源复用，可以提升公司整体在互联网运营支撑</w:t>
      </w:r>
      <w:r>
        <w:rPr>
          <w:spacing w:val="-86"/>
        </w:rPr>
        <w:t> </w:t>
      </w:r>
      <w:r>
        <w:rPr>
          <w:spacing w:val="-86"/>
        </w:rPr>
      </w:r>
      <w:r>
        <w:rPr>
          <w:spacing w:val="-5"/>
        </w:rPr>
        <w:t>领域的行业竞争力。公司定期针对上述经营活动做整体评价，并据此统一资源配置，因此将互联网运营业务作为一个资产组。</w:t>
      </w:r>
      <w:r>
        <w:rPr/>
        <w:t> </w:t>
      </w:r>
      <w:r>
        <w:rPr>
          <w:spacing w:val="-2"/>
        </w:rPr>
        <w:t>互联网运营资产组与商誉相关长期资产包括固定资产、无形资产等，</w:t>
      </w:r>
      <w:r>
        <w:rPr>
          <w:rFonts w:ascii="Times New Roman" w:hAnsi="Times New Roman" w:cs="Times New Roman" w:eastAsia="Times New Roman" w:hint="default"/>
          <w:spacing w:val="-2"/>
        </w:rPr>
        <w:t>2018</w:t>
      </w:r>
      <w:r>
        <w:rPr>
          <w:spacing w:val="-2"/>
        </w:rPr>
        <w:t>年末互联网运营资产组商誉的账面价值为人民</w:t>
      </w:r>
      <w:r>
        <w:rPr/>
        <w:t> 币</w:t>
      </w:r>
      <w:r>
        <w:rPr>
          <w:rFonts w:ascii="Times New Roman" w:hAnsi="Times New Roman" w:cs="Times New Roman" w:eastAsia="Times New Roman" w:hint="default"/>
        </w:rPr>
        <w:t>4,353.51</w:t>
      </w:r>
      <w:r>
        <w:rPr/>
        <w:t>万元，资产组账面金额为人民币</w:t>
      </w:r>
      <w:r>
        <w:rPr>
          <w:rFonts w:ascii="Times New Roman" w:hAnsi="Times New Roman" w:cs="Times New Roman" w:eastAsia="Times New Roman" w:hint="default"/>
        </w:rPr>
        <w:t>12,892.14</w:t>
      </w:r>
      <w:r>
        <w:rPr/>
        <w:t>万元（含商誉金额）。可收回金额采用资产组的预计未来现金流量的现 值，根据</w:t>
      </w:r>
      <w:r>
        <w:rPr>
          <w:rFonts w:ascii="Times New Roman" w:hAnsi="Times New Roman" w:cs="Times New Roman" w:eastAsia="Times New Roman" w:hint="default"/>
        </w:rPr>
        <w:t>5</w:t>
      </w:r>
      <w:r>
        <w:rPr/>
        <w:t>年期的财务预算基础上的现金流量预测来确定。互联网运营资产组收入主要来源于中国移动互联网业务，本公司 </w:t>
      </w:r>
      <w:r>
        <w:rPr>
          <w:spacing w:val="15"/>
        </w:rPr>
        <w:t>综合考虑互联网运营资产组的业务内容、</w:t>
      </w:r>
      <w:r>
        <w:rPr>
          <w:spacing w:val="-67"/>
        </w:rPr>
        <w:t> </w:t>
      </w:r>
      <w:r>
        <w:rPr>
          <w:spacing w:val="13"/>
        </w:rPr>
        <w:t>合同签订情况、</w:t>
      </w:r>
      <w:r>
        <w:rPr>
          <w:spacing w:val="-68"/>
        </w:rPr>
        <w:t> </w:t>
      </w:r>
      <w:r>
        <w:rPr>
          <w:spacing w:val="14"/>
        </w:rPr>
        <w:t>发展前景等因素影响，</w:t>
      </w:r>
      <w:r>
        <w:rPr>
          <w:spacing w:val="-68"/>
        </w:rPr>
        <w:t> </w:t>
      </w:r>
      <w:r>
        <w:rPr>
          <w:spacing w:val="15"/>
        </w:rPr>
        <w:t>预测该期间内营业收入增长率为</w:t>
      </w:r>
      <w:r>
        <w:rPr/>
        <w:t> </w:t>
      </w:r>
      <w:r>
        <w:rPr>
          <w:rFonts w:ascii="Times New Roman" w:hAnsi="Times New Roman" w:cs="Times New Roman" w:eastAsia="Times New Roman" w:hint="default"/>
        </w:rPr>
        <w:t>6.65%</w:t>
      </w:r>
      <w:r>
        <w:rPr>
          <w:rFonts w:ascii="Times New Roman" w:hAnsi="Times New Roman" w:cs="Times New Roman" w:eastAsia="Times New Roman" w:hint="default"/>
        </w:rPr>
        <w:t>—</w:t>
      </w:r>
      <w:r>
        <w:rPr>
          <w:rFonts w:ascii="Times New Roman" w:hAnsi="Times New Roman" w:cs="Times New Roman" w:eastAsia="Times New Roman" w:hint="default"/>
        </w:rPr>
        <w:t>16.96%</w:t>
      </w:r>
      <w:r>
        <w:rPr/>
        <w:t>。互联网运营资产组现金流量预测所用的折现率是</w:t>
      </w:r>
      <w:r>
        <w:rPr>
          <w:rFonts w:ascii="Times New Roman" w:hAnsi="Times New Roman" w:cs="Times New Roman" w:eastAsia="Times New Roman" w:hint="default"/>
        </w:rPr>
        <w:t>12.45%</w:t>
      </w:r>
      <w:r>
        <w:rPr/>
        <w:t>，用于推断</w:t>
      </w:r>
      <w:r>
        <w:rPr>
          <w:rFonts w:ascii="Times New Roman" w:hAnsi="Times New Roman" w:cs="Times New Roman" w:eastAsia="Times New Roman" w:hint="default"/>
        </w:rPr>
        <w:t>5</w:t>
      </w:r>
      <w:r>
        <w:rPr/>
        <w:t>年以后的互联网运营资产组的现金流</w:t>
      </w:r>
      <w:r>
        <w:rPr>
          <w:spacing w:val="-66"/>
        </w:rPr>
        <w:t> </w:t>
      </w:r>
      <w:r>
        <w:rPr/>
        <w:t>量的增长率是</w:t>
      </w:r>
      <w:r>
        <w:rPr>
          <w:rFonts w:ascii="Times New Roman" w:hAnsi="Times New Roman" w:cs="Times New Roman" w:eastAsia="Times New Roman" w:hint="default"/>
        </w:rPr>
        <w:t>0%</w:t>
      </w:r>
      <w:r>
        <w:rPr/>
        <w:t>。经测算，根据该资产组现金流现值计算的可收回金额将低于资产组账面价值，公司于报告期内对互联网</w:t>
      </w:r>
    </w:p>
    <w:p>
      <w:pPr>
        <w:pStyle w:val="BodyText"/>
        <w:spacing w:line="240" w:lineRule="auto" w:before="33"/>
        <w:ind w:right="0"/>
        <w:jc w:val="left"/>
      </w:pPr>
      <w:r>
        <w:rPr/>
        <w:t>运营资产组的商誉计提商誉减值准备</w:t>
      </w:r>
      <w:r>
        <w:rPr>
          <w:rFonts w:ascii="Times New Roman" w:hAnsi="Times New Roman" w:cs="Times New Roman" w:eastAsia="Times New Roman" w:hint="default"/>
        </w:rPr>
        <w:t>990</w:t>
      </w:r>
      <w:r>
        <w:rPr/>
        <w:t>万元。</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6"/>
          <w:szCs w:val="16"/>
        </w:rPr>
      </w:pPr>
    </w:p>
    <w:p>
      <w:pPr>
        <w:pStyle w:val="BodyText"/>
        <w:spacing w:line="451" w:lineRule="auto"/>
        <w:ind w:left="514" w:right="1122"/>
        <w:jc w:val="left"/>
      </w:pPr>
      <w:r>
        <w:rPr/>
        <w:t>（</w:t>
      </w:r>
      <w:r>
        <w:rPr>
          <w:rFonts w:ascii="Times New Roman" w:hAnsi="Times New Roman" w:cs="Times New Roman" w:eastAsia="Times New Roman" w:hint="default"/>
        </w:rPr>
        <w:t>6</w:t>
      </w:r>
      <w:r>
        <w:rPr/>
        <w:t>）数据挖掘资产组商誉 北京神州泰岳智能数据技术有限公司（简称“智能数据”，原名北京信合运通科技有限公司）公司成立于</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3</w:t>
      </w:r>
      <w:r>
        <w:rPr/>
        <w:t>月，</w:t>
      </w:r>
    </w:p>
    <w:p>
      <w:pPr>
        <w:spacing w:after="0" w:line="451" w:lineRule="auto"/>
        <w:jc w:val="left"/>
        <w:sectPr>
          <w:pgSz w:w="11910" w:h="16840"/>
          <w:pgMar w:header="851" w:footer="979" w:top="1400" w:bottom="1160" w:left="980" w:right="0"/>
        </w:sectPr>
      </w:pPr>
    </w:p>
    <w:p>
      <w:pPr>
        <w:pStyle w:val="BodyText"/>
        <w:spacing w:line="451" w:lineRule="auto" w:before="140"/>
        <w:ind w:right="1132"/>
        <w:jc w:val="both"/>
      </w:pPr>
      <w:r>
        <w:rPr>
          <w:rFonts w:ascii="Times New Roman" w:hAnsi="Times New Roman" w:cs="Times New Roman" w:eastAsia="Times New Roman" w:hint="default"/>
        </w:rPr>
        <w:t>2014</w:t>
      </w:r>
      <w:r>
        <w:rPr/>
        <w:t>年</w:t>
      </w:r>
      <w:r>
        <w:rPr>
          <w:rFonts w:ascii="Times New Roman" w:hAnsi="Times New Roman" w:cs="Times New Roman" w:eastAsia="Times New Roman" w:hint="default"/>
        </w:rPr>
        <w:t>1</w:t>
      </w:r>
      <w:r>
        <w:rPr/>
        <w:t>月公司收购其</w:t>
      </w:r>
      <w:r>
        <w:rPr>
          <w:rFonts w:ascii="Times New Roman" w:hAnsi="Times New Roman" w:cs="Times New Roman" w:eastAsia="Times New Roman" w:hint="default"/>
        </w:rPr>
        <w:t>85%</w:t>
      </w:r>
      <w:r>
        <w:rPr/>
        <w:t>股权成为其控股股东。本公司定期针对上述经营活动做整体评价，并据此进行资源配置，因此将</w:t>
      </w:r>
      <w:r>
        <w:rPr>
          <w:spacing w:val="-58"/>
        </w:rPr>
        <w:t> </w:t>
      </w:r>
      <w:r>
        <w:rPr>
          <w:spacing w:val="-58"/>
        </w:rPr>
      </w:r>
      <w:r>
        <w:rPr/>
        <w:t>数据挖掘资产整体作为一个资产组。</w:t>
      </w:r>
    </w:p>
    <w:p>
      <w:pPr>
        <w:pStyle w:val="BodyText"/>
        <w:spacing w:line="456" w:lineRule="auto" w:before="74"/>
        <w:ind w:right="1132" w:firstLine="360"/>
        <w:jc w:val="both"/>
      </w:pPr>
      <w:r>
        <w:rPr/>
        <w:t>数据挖掘资产组与商誉相关长期资产包括固定资产、无形资产等，</w:t>
      </w:r>
      <w:r>
        <w:rPr>
          <w:rFonts w:ascii="Times New Roman" w:hAnsi="Times New Roman" w:cs="Times New Roman" w:eastAsia="Times New Roman" w:hint="default"/>
        </w:rPr>
        <w:t>2018</w:t>
      </w:r>
      <w:r>
        <w:rPr/>
        <w:t>年末数据挖掘资产组商誉的账面价值为人民币 </w:t>
      </w:r>
      <w:r>
        <w:rPr>
          <w:rFonts w:ascii="Times New Roman" w:hAnsi="Times New Roman" w:cs="Times New Roman" w:eastAsia="Times New Roman" w:hint="default"/>
          <w:spacing w:val="-2"/>
        </w:rPr>
        <w:t>3,302.76</w:t>
      </w:r>
      <w:r>
        <w:rPr>
          <w:spacing w:val="-2"/>
        </w:rPr>
        <w:t>万元，资产组账面金额为人民币</w:t>
      </w:r>
      <w:r>
        <w:rPr>
          <w:rFonts w:ascii="Times New Roman" w:hAnsi="Times New Roman" w:cs="Times New Roman" w:eastAsia="Times New Roman" w:hint="default"/>
          <w:spacing w:val="-2"/>
        </w:rPr>
        <w:t>4,851.70</w:t>
      </w:r>
      <w:r>
        <w:rPr>
          <w:spacing w:val="-2"/>
        </w:rPr>
        <w:t>万元（含商誉金额以及未确认的归属于少数股东的商誉金额）。可收回金额</w:t>
      </w:r>
      <w:r>
        <w:rPr>
          <w:spacing w:val="-53"/>
        </w:rPr>
        <w:t> </w:t>
      </w:r>
      <w:r>
        <w:rPr>
          <w:spacing w:val="-53"/>
        </w:rPr>
      </w:r>
      <w:r>
        <w:rPr/>
        <w:t>采用资产组的预计未来现金流量的现值，根据</w:t>
      </w:r>
      <w:r>
        <w:rPr>
          <w:rFonts w:ascii="Times New Roman" w:hAnsi="Times New Roman" w:cs="Times New Roman" w:eastAsia="Times New Roman" w:hint="default"/>
        </w:rPr>
        <w:t>5</w:t>
      </w:r>
      <w:r>
        <w:rPr/>
        <w:t>年期的财务预算基础上的现金流量预测来确定。大数据资产组收入主要来源</w:t>
      </w:r>
      <w:r>
        <w:rPr>
          <w:spacing w:val="-83"/>
        </w:rPr>
        <w:t> </w:t>
      </w:r>
      <w:r>
        <w:rPr>
          <w:spacing w:val="-83"/>
        </w:rPr>
      </w:r>
      <w:r>
        <w:rPr>
          <w:spacing w:val="11"/>
        </w:rPr>
        <w:t>于数据业务，本公司综合考虑数据挖掘资产组的业务内容、发展前景等因素影响，预测该期间内营业收入增长率为</w:t>
      </w:r>
      <w:r>
        <w:rPr>
          <w:spacing w:val="-56"/>
        </w:rPr>
        <w:t> </w:t>
      </w:r>
      <w:r>
        <w:rPr>
          <w:spacing w:val="-56"/>
        </w:rPr>
      </w:r>
      <w:r>
        <w:rPr>
          <w:rFonts w:ascii="Times New Roman" w:hAnsi="Times New Roman" w:cs="Times New Roman" w:eastAsia="Times New Roman" w:hint="default"/>
          <w:spacing w:val="-1"/>
        </w:rPr>
        <w:t>10.00%</w:t>
      </w:r>
      <w:r>
        <w:rPr>
          <w:rFonts w:ascii="Times New Roman" w:hAnsi="Times New Roman" w:cs="Times New Roman" w:eastAsia="Times New Roman" w:hint="default"/>
          <w:spacing w:val="-1"/>
        </w:rPr>
        <w:t>—</w:t>
      </w:r>
      <w:r>
        <w:rPr>
          <w:rFonts w:ascii="Times New Roman" w:hAnsi="Times New Roman" w:cs="Times New Roman" w:eastAsia="Times New Roman" w:hint="default"/>
          <w:spacing w:val="-1"/>
        </w:rPr>
        <w:t>29.31%</w:t>
      </w:r>
      <w:r>
        <w:rPr>
          <w:spacing w:val="-1"/>
        </w:rPr>
        <w:t>。数据挖掘资产组现金流量预测所用的折现率是</w:t>
      </w:r>
      <w:r>
        <w:rPr>
          <w:rFonts w:ascii="Times New Roman" w:hAnsi="Times New Roman" w:cs="Times New Roman" w:eastAsia="Times New Roman" w:hint="default"/>
          <w:spacing w:val="-1"/>
        </w:rPr>
        <w:t>12.18%</w:t>
      </w:r>
      <w:r>
        <w:rPr>
          <w:spacing w:val="-1"/>
        </w:rPr>
        <w:t>，用于推断</w:t>
      </w:r>
      <w:r>
        <w:rPr>
          <w:rFonts w:ascii="Times New Roman" w:hAnsi="Times New Roman" w:cs="Times New Roman" w:eastAsia="Times New Roman" w:hint="default"/>
          <w:spacing w:val="-1"/>
        </w:rPr>
        <w:t>5</w:t>
      </w:r>
      <w:r>
        <w:rPr>
          <w:spacing w:val="-1"/>
        </w:rPr>
        <w:t>年以后的数据挖掘资产组的现金流量的</w:t>
      </w:r>
      <w:r>
        <w:rPr>
          <w:spacing w:val="-66"/>
        </w:rPr>
        <w:t> </w:t>
      </w:r>
      <w:r>
        <w:rPr/>
        <w:t>增长率是</w:t>
      </w:r>
      <w:r>
        <w:rPr>
          <w:rFonts w:ascii="Times New Roman" w:hAnsi="Times New Roman" w:cs="Times New Roman" w:eastAsia="Times New Roman" w:hint="default"/>
        </w:rPr>
        <w:t>0%</w:t>
      </w:r>
      <w:r>
        <w:rPr/>
        <w:t>。经测算预计未来现金流量的现值高于大数据资产组账面价值，公司认为本年数据挖掘资产组的商誉不存在减</w:t>
      </w:r>
      <w:r>
        <w:rPr>
          <w:spacing w:val="-57"/>
        </w:rPr>
        <w:t> </w:t>
      </w:r>
      <w:r>
        <w:rPr>
          <w:spacing w:val="-57"/>
        </w:rPr>
      </w:r>
      <w:r>
        <w:rPr/>
        <w:t>值。</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3"/>
          <w:szCs w:val="23"/>
        </w:rPr>
      </w:pPr>
    </w:p>
    <w:p>
      <w:pPr>
        <w:pStyle w:val="BodyText"/>
        <w:spacing w:line="451" w:lineRule="auto"/>
        <w:ind w:left="514" w:right="0"/>
        <w:jc w:val="left"/>
      </w:pPr>
      <w:r>
        <w:rPr/>
        <w:t>（</w:t>
      </w:r>
      <w:r>
        <w:rPr>
          <w:rFonts w:ascii="Times New Roman" w:hAnsi="Times New Roman" w:cs="Times New Roman" w:eastAsia="Times New Roman" w:hint="default"/>
        </w:rPr>
        <w:t>7</w:t>
      </w:r>
      <w:r>
        <w:rPr/>
        <w:t>）物联网资产组商誉 </w:t>
      </w:r>
      <w:r>
        <w:rPr>
          <w:spacing w:val="-5"/>
        </w:rPr>
        <w:t>奇点新源国际技术开发（北京）有限公司（简称“奇点新源”）成立于</w:t>
      </w:r>
      <w:r>
        <w:rPr>
          <w:rFonts w:ascii="Times New Roman" w:hAnsi="Times New Roman" w:cs="Times New Roman" w:eastAsia="Times New Roman" w:hint="default"/>
          <w:spacing w:val="-5"/>
        </w:rPr>
        <w:t>2010</w:t>
      </w:r>
      <w:r>
        <w:rPr>
          <w:spacing w:val="-5"/>
        </w:rPr>
        <w:t>年</w:t>
      </w:r>
      <w:r>
        <w:rPr>
          <w:rFonts w:ascii="Times New Roman" w:hAnsi="Times New Roman" w:cs="Times New Roman" w:eastAsia="Times New Roman" w:hint="default"/>
          <w:spacing w:val="-5"/>
        </w:rPr>
        <w:t>2</w:t>
      </w:r>
      <w:r>
        <w:rPr>
          <w:spacing w:val="-5"/>
        </w:rPr>
        <w:t>月，公司于</w:t>
      </w:r>
      <w:r>
        <w:rPr>
          <w:rFonts w:ascii="Times New Roman" w:hAnsi="Times New Roman" w:cs="Times New Roman" w:eastAsia="Times New Roman" w:hint="default"/>
          <w:spacing w:val="-5"/>
        </w:rPr>
        <w:t>2011</w:t>
      </w:r>
      <w:r>
        <w:rPr>
          <w:spacing w:val="-5"/>
        </w:rPr>
        <w:t>年</w:t>
      </w:r>
      <w:r>
        <w:rPr>
          <w:rFonts w:ascii="Times New Roman" w:hAnsi="Times New Roman" w:cs="Times New Roman" w:eastAsia="Times New Roman" w:hint="default"/>
          <w:spacing w:val="-5"/>
        </w:rPr>
        <w:t>8</w:t>
      </w:r>
      <w:r>
        <w:rPr>
          <w:spacing w:val="-5"/>
        </w:rPr>
        <w:t>月收购奇点新源股权，</w:t>
      </w:r>
    </w:p>
    <w:p>
      <w:pPr>
        <w:pStyle w:val="BodyText"/>
        <w:spacing w:line="451" w:lineRule="auto" w:before="43"/>
        <w:ind w:right="1130"/>
        <w:jc w:val="both"/>
      </w:pPr>
      <w:r>
        <w:rPr/>
        <w:t>成为其控股股东。奇点新源是物联网资产组的研发和生产主体。公司自</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4</w:t>
      </w:r>
      <w:r>
        <w:rPr/>
        <w:t>月陆续成立了北京慧联神州科技有限公司、</w:t>
      </w:r>
      <w:r>
        <w:rPr>
          <w:spacing w:val="-82"/>
        </w:rPr>
        <w:t> </w:t>
      </w:r>
      <w:r>
        <w:rPr>
          <w:spacing w:val="-82"/>
        </w:rPr>
      </w:r>
      <w:r>
        <w:rPr>
          <w:spacing w:val="-2"/>
        </w:rPr>
        <w:t>北京泰岳睿安科技有限公司、神州智核信息技术有限公司、北京神州泰核物联网技术有限公司，分别定位于推动公司物联网</w:t>
      </w:r>
    </w:p>
    <w:p>
      <w:pPr>
        <w:pStyle w:val="BodyText"/>
        <w:spacing w:line="463" w:lineRule="auto" w:before="74"/>
        <w:ind w:right="1131"/>
        <w:jc w:val="both"/>
      </w:pPr>
      <w:r>
        <w:rPr>
          <w:rFonts w:ascii="Times New Roman" w:hAnsi="Times New Roman" w:cs="Times New Roman" w:eastAsia="Times New Roman" w:hint="default"/>
        </w:rPr>
        <w:t>/</w:t>
      </w:r>
      <w:r>
        <w:rPr/>
        <w:t>通讯领域的应用产品在机场、监狱、高铁、核电等方向的项目落地。各方实质上属于同一业务项下的不同角色分工，相互</w:t>
      </w:r>
      <w:r>
        <w:rPr>
          <w:spacing w:val="-51"/>
        </w:rPr>
        <w:t> </w:t>
      </w:r>
      <w:r>
        <w:rPr>
          <w:spacing w:val="-51"/>
        </w:rPr>
      </w:r>
      <w:r>
        <w:rPr>
          <w:spacing w:val="-2"/>
        </w:rPr>
        <w:t>依托，共同推进业务发展，应当认定为商誉相关的资产组进行商誉减值测试。本公司定期针对上述经营活动做整体评价，并</w:t>
      </w:r>
      <w:r>
        <w:rPr>
          <w:spacing w:val="-66"/>
        </w:rPr>
        <w:t> </w:t>
      </w:r>
      <w:r>
        <w:rPr>
          <w:spacing w:val="-66"/>
        </w:rPr>
      </w:r>
      <w:r>
        <w:rPr/>
        <w:t>据此进行统一资源配置，因此将物联网资产整体作为一个资产组。</w:t>
      </w:r>
    </w:p>
    <w:p>
      <w:pPr>
        <w:pStyle w:val="BodyText"/>
        <w:spacing w:line="456" w:lineRule="auto" w:before="65"/>
        <w:ind w:right="1130" w:firstLine="360"/>
        <w:jc w:val="both"/>
      </w:pPr>
      <w:r>
        <w:rPr>
          <w:spacing w:val="-2"/>
        </w:rPr>
        <w:t>物联网资产组与商誉相关长期资产包括固定资产、无形资产、在建工程等，</w:t>
      </w:r>
      <w:r>
        <w:rPr>
          <w:rFonts w:ascii="Times New Roman" w:hAnsi="Times New Roman" w:cs="Times New Roman" w:eastAsia="Times New Roman" w:hint="default"/>
          <w:spacing w:val="-2"/>
        </w:rPr>
        <w:t>2018</w:t>
      </w:r>
      <w:r>
        <w:rPr>
          <w:spacing w:val="-2"/>
        </w:rPr>
        <w:t>年末物联网资产组商誉的账面价值为人</w:t>
      </w:r>
      <w:r>
        <w:rPr/>
        <w:t> </w:t>
      </w:r>
      <w:r>
        <w:rPr>
          <w:spacing w:val="-2"/>
        </w:rPr>
        <w:t>民币</w:t>
      </w:r>
      <w:r>
        <w:rPr>
          <w:rFonts w:ascii="Times New Roman" w:hAnsi="Times New Roman" w:cs="Times New Roman" w:eastAsia="Times New Roman" w:hint="default"/>
          <w:spacing w:val="-2"/>
        </w:rPr>
        <w:t>1,315.69</w:t>
      </w:r>
      <w:r>
        <w:rPr>
          <w:spacing w:val="-2"/>
        </w:rPr>
        <w:t>万元，资产组账面金额为人民币</w:t>
      </w:r>
      <w:r>
        <w:rPr>
          <w:rFonts w:ascii="Times New Roman" w:hAnsi="Times New Roman" w:cs="Times New Roman" w:eastAsia="Times New Roman" w:hint="default"/>
          <w:spacing w:val="-2"/>
        </w:rPr>
        <w:t>8,506.29</w:t>
      </w:r>
      <w:r>
        <w:rPr>
          <w:spacing w:val="-2"/>
        </w:rPr>
        <w:t>万元（含商誉金额以及未确认的归属于少数股东的商誉金额）。可收回</w:t>
      </w:r>
      <w:r>
        <w:rPr>
          <w:spacing w:val="-51"/>
        </w:rPr>
        <w:t> </w:t>
      </w:r>
      <w:r>
        <w:rPr>
          <w:spacing w:val="-51"/>
        </w:rPr>
      </w:r>
      <w:r>
        <w:rPr/>
        <w:t>金额采用资产组的预计未来现金流量的现值，根据</w:t>
      </w:r>
      <w:r>
        <w:rPr>
          <w:rFonts w:ascii="Times New Roman" w:hAnsi="Times New Roman" w:cs="Times New Roman" w:eastAsia="Times New Roman" w:hint="default"/>
        </w:rPr>
        <w:t>5</w:t>
      </w:r>
      <w:r>
        <w:rPr/>
        <w:t>年期的财务预算基础上的现金流量预测来确定。物联网资产组收入主要</w:t>
      </w:r>
      <w:r>
        <w:rPr>
          <w:spacing w:val="-82"/>
        </w:rPr>
        <w:t> </w:t>
      </w:r>
      <w:r>
        <w:rPr>
          <w:spacing w:val="-82"/>
        </w:rPr>
      </w:r>
      <w:r>
        <w:rPr>
          <w:spacing w:val="-2"/>
        </w:rPr>
        <w:t>来源于智慧线产品销售业务，本公司综合考虑物联网资产组的业务内容、合同签订情况、发展前景等因素影响，预测该期间</w:t>
      </w:r>
      <w:r>
        <w:rPr>
          <w:spacing w:val="-66"/>
        </w:rPr>
        <w:t> </w:t>
      </w:r>
      <w:r>
        <w:rPr>
          <w:spacing w:val="-66"/>
        </w:rPr>
      </w:r>
      <w:r>
        <w:rPr/>
        <w:t>内营业收入增长率为</w:t>
      </w:r>
      <w:r>
        <w:rPr>
          <w:rFonts w:ascii="Times New Roman" w:hAnsi="Times New Roman" w:cs="Times New Roman" w:eastAsia="Times New Roman" w:hint="default"/>
        </w:rPr>
        <w:t>8.78%</w:t>
      </w:r>
      <w:r>
        <w:rPr>
          <w:rFonts w:ascii="Times New Roman" w:hAnsi="Times New Roman" w:cs="Times New Roman" w:eastAsia="Times New Roman" w:hint="default"/>
        </w:rPr>
        <w:t>—</w:t>
      </w:r>
      <w:r>
        <w:rPr>
          <w:rFonts w:ascii="Times New Roman" w:hAnsi="Times New Roman" w:cs="Times New Roman" w:eastAsia="Times New Roman" w:hint="default"/>
        </w:rPr>
        <w:t>85.40%</w:t>
      </w:r>
      <w:r>
        <w:rPr/>
        <w:t>。物联网资产组现金流量预测所用的折现率是</w:t>
      </w:r>
      <w:r>
        <w:rPr>
          <w:rFonts w:ascii="Times New Roman" w:hAnsi="Times New Roman" w:cs="Times New Roman" w:eastAsia="Times New Roman" w:hint="default"/>
        </w:rPr>
        <w:t>12.54%</w:t>
      </w:r>
      <w:r>
        <w:rPr/>
        <w:t>，用于推断</w:t>
      </w:r>
      <w:r>
        <w:rPr>
          <w:rFonts w:ascii="Times New Roman" w:hAnsi="Times New Roman" w:cs="Times New Roman" w:eastAsia="Times New Roman" w:hint="default"/>
        </w:rPr>
        <w:t>5</w:t>
      </w:r>
      <w:r>
        <w:rPr/>
        <w:t>年以后的物联网资产</w:t>
      </w:r>
      <w:r>
        <w:rPr>
          <w:spacing w:val="-48"/>
        </w:rPr>
        <w:t> </w:t>
      </w:r>
      <w:r>
        <w:rPr/>
        <w:t>组的现金流量的增长率是</w:t>
      </w:r>
      <w:r>
        <w:rPr>
          <w:rFonts w:ascii="Times New Roman" w:hAnsi="Times New Roman" w:cs="Times New Roman" w:eastAsia="Times New Roman" w:hint="default"/>
        </w:rPr>
        <w:t>0%</w:t>
      </w:r>
      <w:r>
        <w:rPr/>
        <w:t>。经测算预计未来现金流量的现值高于物联网资产组账面价值，公司认为本年物联网资产组的</w:t>
      </w:r>
      <w:r>
        <w:rPr>
          <w:spacing w:val="-56"/>
        </w:rPr>
        <w:t> </w:t>
      </w:r>
      <w:r>
        <w:rPr>
          <w:spacing w:val="-56"/>
        </w:rPr>
      </w:r>
      <w:r>
        <w:rPr/>
        <w:t>商誉不存在减值。</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3"/>
          <w:szCs w:val="23"/>
        </w:rPr>
      </w:pPr>
    </w:p>
    <w:p>
      <w:pPr>
        <w:pStyle w:val="BodyText"/>
        <w:spacing w:line="451" w:lineRule="auto"/>
        <w:ind w:left="514" w:right="0"/>
        <w:jc w:val="left"/>
      </w:pPr>
      <w:r>
        <w:rPr/>
        <w:t>（</w:t>
      </w:r>
      <w:r>
        <w:rPr>
          <w:rFonts w:ascii="Times New Roman" w:hAnsi="Times New Roman" w:cs="Times New Roman" w:eastAsia="Times New Roman" w:hint="default"/>
        </w:rPr>
        <w:t>8</w:t>
      </w:r>
      <w:r>
        <w:rPr/>
        <w:t>）自动化设备资产组商誉 宁波高新区捷远科技有限公司（以下简称“宁波捷远”）成立于</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5</w:t>
      </w:r>
      <w:r>
        <w:rPr/>
        <w:t>月，公司通过持股</w:t>
      </w:r>
      <w:r>
        <w:rPr>
          <w:rFonts w:ascii="Times New Roman" w:hAnsi="Times New Roman" w:cs="Times New Roman" w:eastAsia="Times New Roman" w:hint="default"/>
        </w:rPr>
        <w:t>65%</w:t>
      </w:r>
      <w:r>
        <w:rPr/>
        <w:t>的宁波神州泰岳锐智信</w:t>
      </w:r>
    </w:p>
    <w:p>
      <w:pPr>
        <w:pStyle w:val="BodyText"/>
        <w:spacing w:line="451" w:lineRule="auto" w:before="44"/>
        <w:ind w:right="1132"/>
        <w:jc w:val="both"/>
      </w:pPr>
      <w:r>
        <w:rPr>
          <w:spacing w:val="-2"/>
        </w:rPr>
        <w:t>息科技有限公司于</w:t>
      </w:r>
      <w:r>
        <w:rPr>
          <w:rFonts w:ascii="Times New Roman" w:hAnsi="Times New Roman" w:cs="Times New Roman" w:eastAsia="Times New Roman" w:hint="default"/>
          <w:spacing w:val="-2"/>
        </w:rPr>
        <w:t>2015</w:t>
      </w:r>
      <w:r>
        <w:rPr>
          <w:spacing w:val="-2"/>
        </w:rPr>
        <w:t>年收购其全部股权，成为其控股股东。本公司定期针对上述经营活动做整体评价，并据此进行资源配</w:t>
      </w:r>
      <w:r>
        <w:rPr>
          <w:spacing w:val="-62"/>
        </w:rPr>
        <w:t> </w:t>
      </w:r>
      <w:r>
        <w:rPr>
          <w:spacing w:val="-62"/>
        </w:rPr>
      </w:r>
      <w:r>
        <w:rPr/>
        <w:t>置，因此将自动化设备资产整体作为一个资产组。</w:t>
      </w:r>
    </w:p>
    <w:p>
      <w:pPr>
        <w:pStyle w:val="BodyText"/>
        <w:spacing w:line="240" w:lineRule="auto" w:before="74"/>
        <w:ind w:left="514" w:right="0"/>
        <w:jc w:val="left"/>
      </w:pPr>
      <w:r>
        <w:rPr/>
        <w:t>自动化设备资产组与商誉相关长期资产包括固定资产等，</w:t>
      </w:r>
      <w:r>
        <w:rPr>
          <w:rFonts w:ascii="Times New Roman" w:hAnsi="Times New Roman" w:cs="Times New Roman" w:eastAsia="Times New Roman" w:hint="default"/>
        </w:rPr>
        <w:t>2018</w:t>
      </w:r>
      <w:r>
        <w:rPr/>
        <w:t>年末自动化设备资产组商誉的账面价值为人民币</w:t>
      </w:r>
      <w:r>
        <w:rPr>
          <w:rFonts w:ascii="Times New Roman" w:hAnsi="Times New Roman" w:cs="Times New Roman" w:eastAsia="Times New Roman" w:hint="default"/>
        </w:rPr>
        <w:t>215.49</w:t>
      </w:r>
      <w:r>
        <w:rPr/>
        <w:t>万</w:t>
      </w:r>
    </w:p>
    <w:p>
      <w:pPr>
        <w:spacing w:after="0" w:line="240" w:lineRule="auto"/>
        <w:jc w:val="left"/>
        <w:sectPr>
          <w:pgSz w:w="11910" w:h="16840"/>
          <w:pgMar w:header="851" w:footer="979" w:top="1400" w:bottom="1160" w:left="980" w:right="0"/>
        </w:sectPr>
      </w:pPr>
    </w:p>
    <w:p>
      <w:pPr>
        <w:pStyle w:val="BodyText"/>
        <w:spacing w:line="456" w:lineRule="auto" w:before="140"/>
        <w:ind w:right="1131"/>
        <w:jc w:val="both"/>
      </w:pPr>
      <w:r>
        <w:rPr>
          <w:spacing w:val="-1"/>
        </w:rPr>
        <w:t>元，资产组账面金额为人民币</w:t>
      </w:r>
      <w:r>
        <w:rPr>
          <w:rFonts w:ascii="Times New Roman" w:hAnsi="Times New Roman" w:cs="Times New Roman" w:eastAsia="Times New Roman" w:hint="default"/>
          <w:spacing w:val="-1"/>
        </w:rPr>
        <w:t>340.93</w:t>
      </w:r>
      <w:r>
        <w:rPr>
          <w:spacing w:val="-1"/>
        </w:rPr>
        <w:t>万元（含商誉金额以及未确认的归属于少数股东的商誉金额）。可收回金额采用资产组</w:t>
      </w:r>
      <w:r>
        <w:rPr>
          <w:spacing w:val="-73"/>
        </w:rPr>
        <w:t> </w:t>
      </w:r>
      <w:r>
        <w:rPr>
          <w:spacing w:val="-73"/>
        </w:rPr>
      </w:r>
      <w:r>
        <w:rPr/>
        <w:t>的预计未来现金流量的现值，根据</w:t>
      </w:r>
      <w:r>
        <w:rPr>
          <w:rFonts w:ascii="Times New Roman" w:hAnsi="Times New Roman" w:cs="Times New Roman" w:eastAsia="Times New Roman" w:hint="default"/>
        </w:rPr>
        <w:t>5</w:t>
      </w:r>
      <w:r>
        <w:rPr/>
        <w:t>年期的财务预算基础上的现金流量预测来确定。自动化设备资产组收入主要来源于相关</w:t>
      </w:r>
      <w:r>
        <w:rPr>
          <w:spacing w:val="-83"/>
        </w:rPr>
        <w:t> </w:t>
      </w:r>
      <w:r>
        <w:rPr>
          <w:spacing w:val="-83"/>
        </w:rPr>
      </w:r>
      <w:r>
        <w:rPr>
          <w:spacing w:val="-2"/>
        </w:rPr>
        <w:t>业务收入，公司综合考虑该资产组的业务内容、合同签订情况、发展前景等因素影响，预计将停止相关研发及销售业务，未</w:t>
      </w:r>
      <w:r>
        <w:rPr>
          <w:spacing w:val="-66"/>
        </w:rPr>
        <w:t> </w:t>
      </w:r>
      <w:r>
        <w:rPr>
          <w:spacing w:val="-66"/>
        </w:rPr>
      </w:r>
      <w:r>
        <w:rPr/>
        <w:t>来营业收入为</w:t>
      </w:r>
      <w:r>
        <w:rPr>
          <w:rFonts w:ascii="Times New Roman" w:hAnsi="Times New Roman" w:cs="Times New Roman" w:eastAsia="Times New Roman" w:hint="default"/>
        </w:rPr>
        <w:t>0</w:t>
      </w:r>
      <w:r>
        <w:rPr/>
        <w:t>，据此测算预计未来现金流量的现值低于自动化设备资产组账面价值，公司认为本年自动化设备资产组的商</w:t>
      </w:r>
      <w:r>
        <w:rPr>
          <w:spacing w:val="-83"/>
        </w:rPr>
        <w:t> </w:t>
      </w:r>
      <w:r>
        <w:rPr>
          <w:spacing w:val="-83"/>
        </w:rPr>
      </w:r>
      <w:r>
        <w:rPr>
          <w:spacing w:val="-1"/>
        </w:rPr>
        <w:t>誉应全额计提减值准备共计</w:t>
      </w:r>
      <w:r>
        <w:rPr>
          <w:rFonts w:ascii="Times New Roman" w:hAnsi="Times New Roman" w:cs="Times New Roman" w:eastAsia="Times New Roman" w:hint="default"/>
          <w:spacing w:val="-1"/>
        </w:rPr>
        <w:t>331.52</w:t>
      </w:r>
      <w:r>
        <w:rPr>
          <w:spacing w:val="-1"/>
        </w:rPr>
        <w:t>万元（含未确认的归属于少数股东的商誉金额），据此计提归属于母公司股东的商誉减值</w:t>
      </w:r>
      <w:r>
        <w:rPr>
          <w:spacing w:val="-75"/>
        </w:rPr>
        <w:t> </w:t>
      </w:r>
      <w:r>
        <w:rPr>
          <w:spacing w:val="-75"/>
        </w:rPr>
      </w:r>
      <w:r>
        <w:rPr/>
        <w:t>准备金额为</w:t>
      </w:r>
      <w:r>
        <w:rPr>
          <w:rFonts w:ascii="Times New Roman" w:hAnsi="Times New Roman" w:cs="Times New Roman" w:eastAsia="Times New Roman" w:hint="default"/>
        </w:rPr>
        <w:t>215.49</w:t>
      </w:r>
      <w:r>
        <w:rPr/>
        <w:t>万元。</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0"/>
          <w:szCs w:val="20"/>
        </w:rPr>
      </w:pPr>
    </w:p>
    <w:p>
      <w:pPr>
        <w:pStyle w:val="BodyText"/>
        <w:spacing w:line="451" w:lineRule="auto"/>
        <w:ind w:right="0" w:firstLine="360"/>
        <w:jc w:val="left"/>
      </w:pPr>
      <w:r>
        <w:rPr>
          <w:spacing w:val="-2"/>
        </w:rPr>
        <w:t>公司对资产组（</w:t>
      </w:r>
      <w:r>
        <w:rPr>
          <w:rFonts w:ascii="Times New Roman" w:hAnsi="Times New Roman" w:cs="Times New Roman" w:eastAsia="Times New Roman" w:hint="default"/>
          <w:spacing w:val="-2"/>
        </w:rPr>
        <w:t>1</w:t>
      </w:r>
      <w:r>
        <w:rPr>
          <w:spacing w:val="-2"/>
        </w:rPr>
        <w:t>）—（</w:t>
      </w:r>
      <w:r>
        <w:rPr>
          <w:rFonts w:ascii="Times New Roman" w:hAnsi="Times New Roman" w:cs="Times New Roman" w:eastAsia="Times New Roman" w:hint="default"/>
          <w:spacing w:val="-2"/>
        </w:rPr>
        <w:t>7</w:t>
      </w:r>
      <w:r>
        <w:rPr>
          <w:spacing w:val="-2"/>
        </w:rPr>
        <w:t>）的预计未来现金流量现值（可收回金额）测算，参考了北京国融兴华资产评估有限责任公司</w:t>
      </w:r>
      <w:r>
        <w:rPr/>
        <w:t> </w:t>
      </w:r>
      <w:r>
        <w:rPr>
          <w:spacing w:val="2"/>
        </w:rPr>
        <w:t>于</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22</w:t>
      </w:r>
      <w:r>
        <w:rPr>
          <w:spacing w:val="2"/>
        </w:rPr>
        <w:t>日出具的以财务报告为目的涉及商誉减值测试的资产组可收回金额评估报告（文号分别为国融兴华评报字</w:t>
      </w:r>
    </w:p>
    <w:p>
      <w:pPr>
        <w:pStyle w:val="BodyText"/>
        <w:spacing w:line="451" w:lineRule="auto" w:before="43"/>
        <w:ind w:left="514" w:right="0" w:hanging="360"/>
        <w:jc w:val="left"/>
      </w:pPr>
      <w:r>
        <w:rPr/>
        <w:t>【</w:t>
      </w:r>
      <w:r>
        <w:rPr>
          <w:rFonts w:ascii="Times New Roman" w:hAnsi="Times New Roman" w:cs="Times New Roman" w:eastAsia="Times New Roman" w:hint="default"/>
        </w:rPr>
        <w:t>2019</w:t>
      </w:r>
      <w:r>
        <w:rPr/>
        <w:t>】第</w:t>
      </w:r>
      <w:r>
        <w:rPr>
          <w:rFonts w:ascii="Times New Roman" w:hAnsi="Times New Roman" w:cs="Times New Roman" w:eastAsia="Times New Roman" w:hint="default"/>
        </w:rPr>
        <w:t>010054</w:t>
      </w:r>
      <w:r>
        <w:rPr/>
        <w:t>号—国融兴华评报字【</w:t>
      </w:r>
      <w:r>
        <w:rPr>
          <w:rFonts w:ascii="Times New Roman" w:hAnsi="Times New Roman" w:cs="Times New Roman" w:eastAsia="Times New Roman" w:hint="default"/>
        </w:rPr>
        <w:t>2019</w:t>
      </w:r>
      <w:r>
        <w:rPr/>
        <w:t>】第</w:t>
      </w:r>
      <w:r>
        <w:rPr>
          <w:rFonts w:ascii="Times New Roman" w:hAnsi="Times New Roman" w:cs="Times New Roman" w:eastAsia="Times New Roman" w:hint="default"/>
        </w:rPr>
        <w:t>010060</w:t>
      </w:r>
      <w:r>
        <w:rPr/>
        <w:t>号，共计</w:t>
      </w:r>
      <w:r>
        <w:rPr>
          <w:rFonts w:ascii="Times New Roman" w:hAnsi="Times New Roman" w:cs="Times New Roman" w:eastAsia="Times New Roman" w:hint="default"/>
        </w:rPr>
        <w:t>7</w:t>
      </w:r>
      <w:r>
        <w:rPr/>
        <w:t>个）的评估结果。 </w:t>
      </w:r>
      <w:r>
        <w:rPr>
          <w:spacing w:val="-2"/>
        </w:rPr>
        <w:t>计算资产组于</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日和</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日的预计未来现金流量现值采用了关键假设。以下详述了管理层为进行商</w:t>
      </w:r>
    </w:p>
    <w:p>
      <w:pPr>
        <w:pStyle w:val="BodyText"/>
        <w:spacing w:line="240" w:lineRule="auto" w:before="43"/>
        <w:ind w:right="0"/>
        <w:jc w:val="both"/>
      </w:pPr>
      <w:r>
        <w:rPr/>
        <w:t>誉的减值测试，在确定现金流量预测时作出的关键假设：</w:t>
      </w:r>
    </w:p>
    <w:p>
      <w:pPr>
        <w:spacing w:line="240" w:lineRule="auto" w:before="10"/>
        <w:rPr>
          <w:rFonts w:ascii="宋体" w:hAnsi="宋体" w:cs="宋体" w:eastAsia="宋体" w:hint="default"/>
          <w:sz w:val="17"/>
          <w:szCs w:val="17"/>
        </w:rPr>
      </w:pPr>
    </w:p>
    <w:p>
      <w:pPr>
        <w:pStyle w:val="BodyText"/>
        <w:spacing w:line="451" w:lineRule="auto"/>
        <w:ind w:right="1122" w:firstLine="360"/>
        <w:jc w:val="left"/>
      </w:pPr>
      <w:r>
        <w:rPr>
          <w:rFonts w:ascii="Times New Roman" w:hAnsi="Times New Roman" w:cs="Times New Roman" w:eastAsia="Times New Roman" w:hint="default"/>
        </w:rPr>
        <w:t>1</w:t>
      </w:r>
      <w:r>
        <w:rPr/>
        <w:t>）假设被评估单位持续经营，并在经营范围、销售模式和渠道、管理层等影响到生产和经营的关键方面与目前情况无 重大变化；</w:t>
      </w:r>
    </w:p>
    <w:p>
      <w:pPr>
        <w:pStyle w:val="BodyText"/>
        <w:spacing w:line="451" w:lineRule="auto" w:before="74"/>
        <w:ind w:right="1122" w:firstLine="360"/>
        <w:jc w:val="left"/>
      </w:pPr>
      <w:r>
        <w:rPr>
          <w:rFonts w:ascii="Times New Roman" w:hAnsi="Times New Roman" w:cs="Times New Roman" w:eastAsia="Times New Roman" w:hint="default"/>
        </w:rPr>
        <w:t>2</w:t>
      </w:r>
      <w:r>
        <w:rPr/>
        <w:t>）假设被评估单位所处的社会经济环境不产生较大的变化，国家及公司所在地区有关法律、法规、政策法规与现时无 重大变化；</w:t>
      </w:r>
    </w:p>
    <w:p>
      <w:pPr>
        <w:pStyle w:val="BodyText"/>
        <w:spacing w:line="451" w:lineRule="auto" w:before="74"/>
        <w:ind w:right="1122" w:firstLine="360"/>
        <w:jc w:val="left"/>
      </w:pPr>
      <w:r>
        <w:rPr>
          <w:rFonts w:ascii="Times New Roman" w:hAnsi="Times New Roman" w:cs="Times New Roman" w:eastAsia="Times New Roman" w:hint="default"/>
        </w:rPr>
        <w:t>3</w:t>
      </w:r>
      <w:r>
        <w:rPr/>
        <w:t>）假设被评估单位经营范围、经营方式、管理模式等在保持一贯性的基础上不断改进、不断完善，能随着经济的发展 进行适时的调整与创新；</w:t>
      </w:r>
    </w:p>
    <w:p>
      <w:pPr>
        <w:pStyle w:val="BodyText"/>
        <w:spacing w:line="451" w:lineRule="auto" w:before="74"/>
        <w:ind w:left="514" w:right="4002"/>
        <w:jc w:val="left"/>
      </w:pPr>
      <w:r>
        <w:rPr>
          <w:rFonts w:ascii="Times New Roman" w:hAnsi="Times New Roman" w:cs="Times New Roman" w:eastAsia="Times New Roman" w:hint="default"/>
        </w:rPr>
        <w:t>4</w:t>
      </w:r>
      <w:r>
        <w:rPr/>
        <w:t>）假设利率、汇率、赋税基准及税率，在国家规定的正常范围内无重大变化等。 预算毛利 </w:t>
      </w:r>
      <w:r>
        <w:rPr>
          <w:rFonts w:ascii="Times New Roman" w:hAnsi="Times New Roman" w:cs="Times New Roman" w:eastAsia="Times New Roman" w:hint="default"/>
        </w:rPr>
        <w:t>—  </w:t>
      </w:r>
      <w:r>
        <w:rPr/>
        <w:t>管理层根据过往业绩及对市场发展的预期确定预算毛利率。</w:t>
      </w:r>
    </w:p>
    <w:p>
      <w:pPr>
        <w:pStyle w:val="BodyText"/>
        <w:spacing w:line="451" w:lineRule="auto" w:before="43"/>
        <w:ind w:left="514" w:right="4272"/>
        <w:jc w:val="left"/>
      </w:pPr>
      <w:r>
        <w:rPr/>
        <w:t>折现率 </w:t>
      </w:r>
      <w:r>
        <w:rPr>
          <w:rFonts w:ascii="Times New Roman" w:hAnsi="Times New Roman" w:cs="Times New Roman" w:eastAsia="Times New Roman" w:hint="default"/>
        </w:rPr>
        <w:t>— </w:t>
      </w:r>
      <w:r>
        <w:rPr/>
        <w:t>采用的折现率是反映相关资产组特定风险的税前折现率。 预测期后增长率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rFonts w:ascii="Times New Roman" w:hAnsi="Times New Roman" w:cs="Times New Roman" w:eastAsia="Times New Roman" w:hint="default"/>
        </w:rPr>
        <w:t>5</w:t>
      </w:r>
      <w:r>
        <w:rPr/>
        <w:t>年后，公司管理层预计达到稳定发展状态。</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18"/>
          <w:szCs w:val="18"/>
        </w:rPr>
      </w:pPr>
    </w:p>
    <w:p>
      <w:pPr>
        <w:pStyle w:val="Heading3"/>
        <w:spacing w:line="240" w:lineRule="auto"/>
        <w:ind w:right="0"/>
        <w:jc w:val="both"/>
        <w:rPr>
          <w:b w:val="0"/>
          <w:bCs w:val="0"/>
        </w:rPr>
      </w:pPr>
      <w:bookmarkStart w:name="23、长期待摊费用" w:id="282"/>
      <w:bookmarkEnd w:id="282"/>
      <w:r>
        <w:rPr>
          <w:b w:val="0"/>
          <w:bCs w:val="0"/>
        </w:rPr>
      </w:r>
      <w:r>
        <w:rPr>
          <w:rFonts w:ascii="Times New Roman" w:hAnsi="Times New Roman" w:cs="Times New Roman" w:eastAsia="Times New Roman" w:hint="default"/>
        </w:rPr>
        <w:t>23</w:t>
      </w:r>
      <w:r>
        <w:rPr/>
        <w:t>、长期待摊费用</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83"/>
        <w:gridCol w:w="1607"/>
        <w:gridCol w:w="1595"/>
        <w:gridCol w:w="1594"/>
        <w:gridCol w:w="1594"/>
        <w:gridCol w:w="1595"/>
      </w:tblGrid>
      <w:tr>
        <w:trPr>
          <w:trHeight w:val="401"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4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3"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2"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1"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租入办公场所装修</w:t>
            </w:r>
          </w:p>
        </w:tc>
        <w:tc>
          <w:tcPr>
            <w:tcW w:w="160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521,063.32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3,086,239.67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518,507.60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-1,181.20</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17" w:right="0"/>
              <w:jc w:val="left"/>
              <w:rPr>
                <w:rFonts w:ascii="Times New Roman" w:hAnsi="Times New Roman" w:cs="Times New Roman" w:eastAsia="Times New Roman" w:hint="default"/>
                <w:sz w:val="18"/>
                <w:szCs w:val="18"/>
              </w:rPr>
            </w:pPr>
            <w:r>
              <w:rPr>
                <w:rFonts w:ascii="Times New Roman"/>
                <w:sz w:val="18"/>
              </w:rPr>
              <w:t>3,089,976.59</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游戏授权金</w:t>
            </w:r>
          </w:p>
        </w:tc>
        <w:tc>
          <w:tcPr>
            <w:tcW w:w="160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5,947,207.15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469,126.21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5,799,952.04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616,381.32</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607" w:type="dxa"/>
            <w:tcBorders>
              <w:top w:val="single" w:sz="4" w:space="0" w:color="000000"/>
              <w:left w:val="single" w:sz="9" w:space="0" w:color="D2D2D2"/>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49,371.05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49,371.05</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400" w:bottom="1160" w:left="980" w:right="0"/>
        </w:sectPr>
      </w:pPr>
    </w:p>
    <w:p>
      <w:pPr>
        <w:spacing w:line="240" w:lineRule="auto" w:before="6"/>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1583"/>
        <w:gridCol w:w="1607"/>
        <w:gridCol w:w="1595"/>
        <w:gridCol w:w="1594"/>
        <w:gridCol w:w="1594"/>
        <w:gridCol w:w="1595"/>
      </w:tblGrid>
      <w:tr>
        <w:trPr>
          <w:trHeight w:val="415" w:hRule="exact"/>
        </w:trPr>
        <w:tc>
          <w:tcPr>
            <w:tcW w:w="1583"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07" w:type="dxa"/>
            <w:tcBorders>
              <w:top w:val="single" w:sz="10" w:space="0" w:color="000000"/>
              <w:left w:val="single" w:sz="9" w:space="0" w:color="D2D2D2"/>
              <w:bottom w:val="single" w:sz="4" w:space="0" w:color="000000"/>
              <w:right w:val="single" w:sz="4" w:space="0" w:color="000000"/>
            </w:tcBorders>
          </w:tcPr>
          <w:p>
            <w:pPr>
              <w:pStyle w:val="TableParagraph"/>
              <w:spacing w:line="240" w:lineRule="auto" w:before="97"/>
              <w:ind w:left="624" w:right="0"/>
              <w:jc w:val="left"/>
              <w:rPr>
                <w:rFonts w:ascii="Times New Roman" w:hAnsi="Times New Roman" w:cs="Times New Roman" w:eastAsia="Times New Roman" w:hint="default"/>
                <w:sz w:val="18"/>
                <w:szCs w:val="18"/>
              </w:rPr>
            </w:pPr>
            <w:r>
              <w:rPr>
                <w:rFonts w:ascii="Times New Roman"/>
                <w:sz w:val="18"/>
              </w:rPr>
              <w:t>6,468,270.47</w:t>
            </w:r>
          </w:p>
        </w:tc>
        <w:tc>
          <w:tcPr>
            <w:tcW w:w="1595"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left="618" w:right="0"/>
              <w:jc w:val="left"/>
              <w:rPr>
                <w:rFonts w:ascii="Times New Roman" w:hAnsi="Times New Roman" w:cs="Times New Roman" w:eastAsia="Times New Roman" w:hint="default"/>
                <w:sz w:val="18"/>
                <w:szCs w:val="18"/>
              </w:rPr>
            </w:pPr>
            <w:r>
              <w:rPr>
                <w:rFonts w:ascii="Times New Roman"/>
                <w:sz w:val="18"/>
              </w:rPr>
              <w:t>3,604,736.93</w:t>
            </w:r>
          </w:p>
        </w:tc>
        <w:tc>
          <w:tcPr>
            <w:tcW w:w="159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left="616" w:right="0"/>
              <w:jc w:val="left"/>
              <w:rPr>
                <w:rFonts w:ascii="Times New Roman" w:hAnsi="Times New Roman" w:cs="Times New Roman" w:eastAsia="Times New Roman" w:hint="default"/>
                <w:sz w:val="18"/>
                <w:szCs w:val="18"/>
              </w:rPr>
            </w:pPr>
            <w:r>
              <w:rPr>
                <w:rFonts w:ascii="Times New Roman"/>
                <w:sz w:val="18"/>
              </w:rPr>
              <w:t>6,367,830.69</w:t>
            </w:r>
          </w:p>
        </w:tc>
        <w:tc>
          <w:tcPr>
            <w:tcW w:w="159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left="751" w:right="0"/>
              <w:jc w:val="left"/>
              <w:rPr>
                <w:rFonts w:ascii="Times New Roman" w:hAnsi="Times New Roman" w:cs="Times New Roman" w:eastAsia="Times New Roman" w:hint="default"/>
                <w:sz w:val="18"/>
                <w:szCs w:val="18"/>
              </w:rPr>
            </w:pPr>
            <w:r>
              <w:rPr>
                <w:rFonts w:ascii="Times New Roman"/>
                <w:sz w:val="18"/>
              </w:rPr>
              <w:t>615,200.12</w:t>
            </w:r>
          </w:p>
        </w:tc>
        <w:tc>
          <w:tcPr>
            <w:tcW w:w="1595"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left="617" w:right="0"/>
              <w:jc w:val="left"/>
              <w:rPr>
                <w:rFonts w:ascii="Times New Roman" w:hAnsi="Times New Roman" w:cs="Times New Roman" w:eastAsia="Times New Roman" w:hint="default"/>
                <w:sz w:val="18"/>
                <w:szCs w:val="18"/>
              </w:rPr>
            </w:pPr>
            <w:r>
              <w:rPr>
                <w:rFonts w:ascii="Times New Roman"/>
                <w:sz w:val="18"/>
              </w:rPr>
              <w:t>3,089,976.59</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5"/>
          <w:szCs w:val="25"/>
        </w:rPr>
      </w:pPr>
    </w:p>
    <w:p>
      <w:pPr>
        <w:pStyle w:val="Heading3"/>
        <w:spacing w:line="240" w:lineRule="auto" w:before="35"/>
        <w:ind w:left="114" w:right="1276"/>
        <w:jc w:val="left"/>
        <w:rPr>
          <w:b w:val="0"/>
          <w:bCs w:val="0"/>
        </w:rPr>
      </w:pPr>
      <w:bookmarkStart w:name="24、递延所得税资产/递延所得税负债" w:id="283"/>
      <w:bookmarkEnd w:id="283"/>
      <w:r>
        <w:rPr>
          <w:b w:val="0"/>
          <w:bCs w:val="0"/>
        </w:rPr>
      </w:r>
      <w:r>
        <w:rPr>
          <w:rFonts w:ascii="Times New Roman" w:hAnsi="Times New Roman" w:cs="Times New Roman" w:eastAsia="Times New Roman" w:hint="default"/>
        </w:rPr>
        <w:t>24</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114" w:right="1276"/>
        <w:jc w:val="left"/>
        <w:rPr>
          <w:b w:val="0"/>
          <w:bCs w:val="0"/>
        </w:rPr>
      </w:pPr>
      <w:bookmarkStart w:name="（1）未经抵销的递延所得税资产" w:id="284"/>
      <w:bookmarkEnd w:id="284"/>
      <w:r>
        <w:rPr>
          <w:b w:val="0"/>
          <w:bCs w:val="0"/>
        </w:rPr>
      </w:r>
      <w:r>
        <w:rPr/>
        <w:t>（</w:t>
      </w:r>
      <w:r>
        <w:rPr>
          <w:rFonts w:ascii="Times New Roman" w:hAnsi="Times New Roman" w:cs="Times New Roman" w:eastAsia="Times New Roman" w:hint="default"/>
        </w:rPr>
        <w:t>1</w:t>
      </w:r>
      <w:r>
        <w:rPr/>
        <w:t>）未经抵销的递延所得税资产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206" w:hRule="exact"/>
        </w:trPr>
        <w:tc>
          <w:tcPr>
            <w:tcW w:w="18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84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6" w:hRule="exact"/>
        </w:trPr>
        <w:tc>
          <w:tcPr>
            <w:tcW w:w="18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42" w:type="dxa"/>
            <w:gridSpan w:val="2"/>
            <w:vMerge/>
            <w:tcBorders>
              <w:left w:val="single" w:sz="4" w:space="0" w:color="000000"/>
              <w:bottom w:val="single" w:sz="4" w:space="0" w:color="000000"/>
              <w:right w:val="single" w:sz="4" w:space="0" w:color="000000"/>
            </w:tcBorders>
            <w:shd w:val="clear" w:color="auto" w:fill="D2D2D2"/>
          </w:tcPr>
          <w:p>
            <w:pPr/>
          </w:p>
        </w:tc>
        <w:tc>
          <w:tcPr>
            <w:tcW w:w="3828" w:type="dxa"/>
            <w:gridSpan w:val="2"/>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1889" w:type="dxa"/>
            <w:vMerge/>
            <w:tcBorders>
              <w:left w:val="single" w:sz="4" w:space="0" w:color="000000"/>
              <w:bottom w:val="nil" w:sz="6" w:space="0" w:color="auto"/>
              <w:right w:val="single" w:sz="4" w:space="0" w:color="000000"/>
            </w:tcBorders>
            <w:shd w:val="clear" w:color="auto" w:fill="D2D2D2"/>
          </w:tcPr>
          <w:p>
            <w:pPr/>
          </w:p>
        </w:tc>
        <w:tc>
          <w:tcPr>
            <w:tcW w:w="192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45"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31"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205" w:hRule="exact"/>
        </w:trPr>
        <w:tc>
          <w:tcPr>
            <w:tcW w:w="18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8"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209,814,216.18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36,215,709.76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166,625,544.82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27,986,699.93</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内部交易未实现利润</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16,330,905.41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2,449,635.81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39,918,717.78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5,987,807.67</w:t>
            </w:r>
          </w:p>
        </w:tc>
      </w:tr>
      <w:tr>
        <w:trPr>
          <w:trHeight w:val="71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66"/>
              <w:jc w:val="left"/>
              <w:rPr>
                <w:rFonts w:ascii="宋体" w:hAnsi="宋体" w:cs="宋体" w:eastAsia="宋体" w:hint="default"/>
                <w:sz w:val="18"/>
                <w:szCs w:val="18"/>
              </w:rPr>
            </w:pPr>
            <w:r>
              <w:rPr>
                <w:rFonts w:ascii="宋体" w:hAnsi="宋体" w:cs="宋体" w:eastAsia="宋体" w:hint="default"/>
                <w:sz w:val="18"/>
                <w:szCs w:val="18"/>
              </w:rPr>
              <w:t>计提质保金形成的可抵 扣暂时性差异</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25,892,889.32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3,901,936.22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18,474,183.80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2,753,182.85</w:t>
            </w:r>
          </w:p>
        </w:tc>
      </w:tr>
      <w:tr>
        <w:trPr>
          <w:trHeight w:val="1026"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66"/>
              <w:jc w:val="both"/>
              <w:rPr>
                <w:rFonts w:ascii="宋体" w:hAnsi="宋体" w:cs="宋体" w:eastAsia="宋体" w:hint="default"/>
                <w:sz w:val="18"/>
                <w:szCs w:val="18"/>
              </w:rPr>
            </w:pPr>
            <w:r>
              <w:rPr>
                <w:rFonts w:ascii="宋体" w:hAnsi="宋体" w:cs="宋体" w:eastAsia="宋体" w:hint="default"/>
                <w:sz w:val="18"/>
                <w:szCs w:val="18"/>
              </w:rPr>
              <w:t>其他非流动负债（递延 收益）形成的可抵扣暂 时性差异</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1,230,000.00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184,500.00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253,268,010.91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42,751,781.79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225,018,446.40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36,727,690.45</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2）未经抵销的递延所得税负债" w:id="285"/>
      <w:bookmarkEnd w:id="285"/>
      <w:r>
        <w:rPr>
          <w:b w:val="0"/>
          <w:bCs w:val="0"/>
        </w:rPr>
      </w:r>
      <w:r>
        <w:rPr/>
        <w:t>（</w:t>
      </w:r>
      <w:r>
        <w:rPr>
          <w:rFonts w:ascii="Times New Roman" w:hAnsi="Times New Roman" w:cs="Times New Roman" w:eastAsia="Times New Roman" w:hint="default"/>
        </w:rPr>
        <w:t>2</w:t>
      </w:r>
      <w:r>
        <w:rPr/>
        <w:t>）未经抵销的递延所得税负债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206" w:hRule="exact"/>
        </w:trPr>
        <w:tc>
          <w:tcPr>
            <w:tcW w:w="1912"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1" w:hRule="exact"/>
        </w:trPr>
        <w:tc>
          <w:tcPr>
            <w:tcW w:w="191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vMerge/>
            <w:tcBorders>
              <w:left w:val="single" w:sz="4" w:space="0" w:color="000000"/>
              <w:bottom w:val="single" w:sz="4" w:space="0" w:color="000000"/>
              <w:right w:val="single" w:sz="4" w:space="0" w:color="000000"/>
            </w:tcBorders>
            <w:shd w:val="clear" w:color="auto" w:fill="D2D2D2"/>
          </w:tcPr>
          <w:p>
            <w:pPr/>
          </w:p>
        </w:tc>
        <w:tc>
          <w:tcPr>
            <w:tcW w:w="3828"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912" w:type="dxa"/>
            <w:vMerge/>
            <w:tcBorders>
              <w:left w:val="single" w:sz="4" w:space="0" w:color="000000"/>
              <w:bottom w:val="nil" w:sz="6" w:space="0" w:color="auto"/>
              <w:right w:val="single" w:sz="4" w:space="0" w:color="000000"/>
            </w:tcBorders>
            <w:shd w:val="clear" w:color="auto" w:fill="D2D2D2"/>
          </w:tcPr>
          <w:p>
            <w:pPr/>
          </w:p>
        </w:tc>
        <w:tc>
          <w:tcPr>
            <w:tcW w:w="191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3"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1"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r>
      <w:tr>
        <w:trPr>
          <w:trHeight w:val="205" w:hRule="exact"/>
        </w:trPr>
        <w:tc>
          <w:tcPr>
            <w:tcW w:w="19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7"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非同一控制企业合并资 产评估增值</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8,889,288.94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1,177,009.70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12,131,824.57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1,587,836.11</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8,889,288.94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1,177,009.70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12,131,824.57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1,587,836.11</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3）以抵销后净额列示的递延所得税资产或负债" w:id="286"/>
      <w:bookmarkEnd w:id="286"/>
      <w:r>
        <w:rPr>
          <w:b w:val="0"/>
          <w:bCs w:val="0"/>
        </w:rPr>
      </w:r>
      <w:r>
        <w:rPr/>
        <w:t>（</w:t>
      </w:r>
      <w:r>
        <w:rPr>
          <w:rFonts w:ascii="Times New Roman" w:hAnsi="Times New Roman" w:cs="Times New Roman" w:eastAsia="Times New Roman" w:hint="default"/>
        </w:rPr>
        <w:t>3</w:t>
      </w:r>
      <w:r>
        <w:rPr/>
        <w:t>）以抵销后净额列示的递延所得税资产或负债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161" w:hRule="exact"/>
        </w:trPr>
        <w:tc>
          <w:tcPr>
            <w:tcW w:w="19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413" w:right="51"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期末互抵金额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321" w:right="50" w:hanging="270"/>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或负债期末余额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411" w:right="51"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期初互抵金额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321" w:right="50" w:hanging="270"/>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或负债期初余额</w:t>
            </w:r>
          </w:p>
        </w:tc>
      </w:tr>
      <w:tr>
        <w:trPr>
          <w:trHeight w:val="392" w:hRule="exact"/>
        </w:trPr>
        <w:tc>
          <w:tcPr>
            <w:tcW w:w="19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r>
      <w:tr>
        <w:trPr>
          <w:trHeight w:val="161" w:hRule="exact"/>
        </w:trPr>
        <w:tc>
          <w:tcPr>
            <w:tcW w:w="19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7"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7"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42,751,781.79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36,727,690.45</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7"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1,177,009.70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1,587,836.11</w:t>
            </w:r>
          </w:p>
        </w:tc>
      </w:tr>
    </w:tbl>
    <w:p>
      <w:pPr>
        <w:spacing w:line="240" w:lineRule="auto" w:before="3"/>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25、其他非流动资产" w:id="287"/>
      <w:bookmarkEnd w:id="287"/>
      <w:r>
        <w:rPr>
          <w:b w:val="0"/>
          <w:bCs w:val="0"/>
        </w:rPr>
      </w:r>
      <w:r>
        <w:rPr>
          <w:rFonts w:ascii="Times New Roman" w:hAnsi="Times New Roman" w:cs="Times New Roman" w:eastAsia="Times New Roman" w:hint="default"/>
        </w:rPr>
        <w:t>25</w:t>
      </w:r>
      <w:r>
        <w:rPr/>
        <w:t>、其他非流动资产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after="0" w:line="240" w:lineRule="auto"/>
        <w:jc w:val="right"/>
        <w:sectPr>
          <w:pgSz w:w="11910" w:h="16840"/>
          <w:pgMar w:header="851" w:footer="979" w:top="1400" w:bottom="1160" w:left="1020" w:right="0"/>
        </w:sectPr>
      </w:pPr>
    </w:p>
    <w:p>
      <w:pPr>
        <w:spacing w:line="240" w:lineRule="auto" w:before="6"/>
        <w:rPr>
          <w:rFonts w:ascii="宋体" w:hAnsi="宋体" w:cs="宋体" w:eastAsia="宋体" w:hint="default"/>
          <w:sz w:val="2"/>
          <w:szCs w:val="2"/>
        </w:rPr>
      </w:pPr>
    </w:p>
    <w:tbl>
      <w:tblPr>
        <w:tblW w:w="0" w:type="auto"/>
        <w:jc w:val="left"/>
        <w:tblInd w:w="120" w:type="dxa"/>
        <w:tblLayout w:type="fixed"/>
        <w:tblCellMar>
          <w:top w:w="0" w:type="dxa"/>
          <w:left w:w="0" w:type="dxa"/>
          <w:bottom w:w="0" w:type="dxa"/>
          <w:right w:w="0" w:type="dxa"/>
        </w:tblCellMar>
        <w:tblLook w:val="01E0"/>
      </w:tblPr>
      <w:tblGrid>
        <w:gridCol w:w="3164"/>
        <w:gridCol w:w="3206"/>
        <w:gridCol w:w="3189"/>
      </w:tblGrid>
      <w:tr>
        <w:trPr>
          <w:trHeight w:val="414" w:hRule="exact"/>
        </w:trPr>
        <w:tc>
          <w:tcPr>
            <w:tcW w:w="3164"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人才公寓</w:t>
            </w:r>
          </w:p>
        </w:tc>
        <w:tc>
          <w:tcPr>
            <w:tcW w:w="3206"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865,532.67</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预付采购软件款</w:t>
            </w:r>
          </w:p>
        </w:tc>
        <w:tc>
          <w:tcPr>
            <w:tcW w:w="3206"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1,177,358.50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预付土地款【注】</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375,000,000.00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375,000,000.00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枇杷种植智慧农业示范基地</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1,120,000.00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376,120,000.00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377,042,891.17</w:t>
            </w:r>
          </w:p>
        </w:tc>
      </w:tr>
    </w:tbl>
    <w:p>
      <w:pPr>
        <w:pStyle w:val="BodyText"/>
        <w:spacing w:line="451" w:lineRule="auto" w:before="88"/>
        <w:ind w:left="114" w:right="1130" w:firstLine="360"/>
        <w:jc w:val="both"/>
      </w:pPr>
      <w:r>
        <w:rPr>
          <w:spacing w:val="-2"/>
        </w:rPr>
        <w:t>注：根据项目开发合作协议，北京市房山新城建设工程有限责任公司（以下简称</w:t>
      </w:r>
      <w:r>
        <w:rPr>
          <w:rFonts w:ascii="Times New Roman" w:hAnsi="Times New Roman" w:cs="Times New Roman" w:eastAsia="Times New Roman" w:hint="default"/>
          <w:spacing w:val="-2"/>
        </w:rPr>
        <w:t>“</w:t>
      </w:r>
      <w:r>
        <w:rPr>
          <w:spacing w:val="-2"/>
        </w:rPr>
        <w:t>房山建设</w:t>
      </w:r>
      <w:r>
        <w:rPr>
          <w:rFonts w:ascii="Times New Roman" w:hAnsi="Times New Roman" w:cs="Times New Roman" w:eastAsia="Times New Roman" w:hint="default"/>
          <w:spacing w:val="-2"/>
        </w:rPr>
        <w:t>”</w:t>
      </w:r>
      <w:r>
        <w:rPr>
          <w:spacing w:val="-2"/>
        </w:rPr>
        <w:t>）与本公司全资子公司北京</w:t>
      </w:r>
      <w:r>
        <w:rPr/>
        <w:t> </w:t>
      </w:r>
      <w:r>
        <w:rPr>
          <w:spacing w:val="-1"/>
        </w:rPr>
        <w:t>泰岳阳光科技有限公司（以下简称</w:t>
      </w:r>
      <w:r>
        <w:rPr>
          <w:rFonts w:ascii="Times New Roman" w:hAnsi="Times New Roman" w:cs="Times New Roman" w:eastAsia="Times New Roman" w:hint="default"/>
          <w:spacing w:val="-1"/>
        </w:rPr>
        <w:t>“</w:t>
      </w:r>
      <w:r>
        <w:rPr>
          <w:spacing w:val="-1"/>
        </w:rPr>
        <w:t>阳光科技</w:t>
      </w:r>
      <w:r>
        <w:rPr>
          <w:rFonts w:ascii="Times New Roman" w:hAnsi="Times New Roman" w:cs="Times New Roman" w:eastAsia="Times New Roman" w:hint="default"/>
          <w:spacing w:val="-1"/>
        </w:rPr>
        <w:t>”</w:t>
      </w:r>
      <w:r>
        <w:rPr>
          <w:spacing w:val="-1"/>
        </w:rPr>
        <w:t>）等共计六家公司组成联合体（以下简称</w:t>
      </w:r>
      <w:r>
        <w:rPr>
          <w:rFonts w:ascii="Times New Roman" w:hAnsi="Times New Roman" w:cs="Times New Roman" w:eastAsia="Times New Roman" w:hint="default"/>
          <w:spacing w:val="-1"/>
        </w:rPr>
        <w:t>“</w:t>
      </w:r>
      <w:r>
        <w:rPr>
          <w:spacing w:val="-1"/>
        </w:rPr>
        <w:t>联合体</w:t>
      </w:r>
      <w:r>
        <w:rPr>
          <w:rFonts w:ascii="Times New Roman" w:hAnsi="Times New Roman" w:cs="Times New Roman" w:eastAsia="Times New Roman" w:hint="default"/>
          <w:spacing w:val="-1"/>
        </w:rPr>
        <w:t>”</w:t>
      </w:r>
      <w:r>
        <w:rPr>
          <w:spacing w:val="-1"/>
        </w:rPr>
        <w:t>），由房山建设作为牵头公</w:t>
      </w:r>
      <w:r>
        <w:rPr>
          <w:spacing w:val="-80"/>
        </w:rPr>
        <w:t> </w:t>
      </w:r>
      <w:r>
        <w:rPr>
          <w:spacing w:val="-80"/>
        </w:rPr>
      </w:r>
      <w:r>
        <w:rPr>
          <w:spacing w:val="-1"/>
        </w:rPr>
        <w:t>司进行</w:t>
      </w:r>
      <w:r>
        <w:rPr>
          <w:rFonts w:ascii="Times New Roman" w:hAnsi="Times New Roman" w:cs="Times New Roman" w:eastAsia="Times New Roman" w:hint="default"/>
          <w:spacing w:val="-1"/>
        </w:rPr>
        <w:t>FS00-LX10-0092</w:t>
      </w:r>
      <w:r>
        <w:rPr>
          <w:spacing w:val="-1"/>
        </w:rPr>
        <w:t>等地块的土地竞买活动。</w:t>
      </w:r>
      <w:r>
        <w:rPr>
          <w:rFonts w:ascii="Times New Roman" w:hAnsi="Times New Roman" w:cs="Times New Roman" w:eastAsia="Times New Roman" w:hint="default"/>
          <w:spacing w:val="-1"/>
        </w:rPr>
        <w:t>2017</w:t>
      </w:r>
      <w:r>
        <w:rPr>
          <w:spacing w:val="-1"/>
        </w:rPr>
        <w:t>年阳光科技已根据协议向房山建设支付土地价款人民币</w:t>
      </w:r>
      <w:r>
        <w:rPr>
          <w:rFonts w:ascii="Times New Roman" w:hAnsi="Times New Roman" w:cs="Times New Roman" w:eastAsia="Times New Roman" w:hint="default"/>
          <w:spacing w:val="-1"/>
        </w:rPr>
        <w:t>3.75</w:t>
      </w:r>
      <w:r>
        <w:rPr>
          <w:spacing w:val="-1"/>
        </w:rPr>
        <w:t>亿元，用于</w:t>
      </w:r>
      <w:r>
        <w:rPr>
          <w:spacing w:val="-87"/>
        </w:rPr>
        <w:t> </w:t>
      </w:r>
      <w:r>
        <w:rPr>
          <w:spacing w:val="-87"/>
        </w:rPr>
      </w:r>
      <w:r>
        <w:rPr/>
        <w:t>向北京市财政局支付土地款。</w:t>
      </w:r>
    </w:p>
    <w:p>
      <w:pPr>
        <w:pStyle w:val="BodyText"/>
        <w:spacing w:line="468" w:lineRule="auto" w:before="74"/>
        <w:ind w:left="114" w:right="1131" w:firstLine="360"/>
        <w:jc w:val="both"/>
      </w:pPr>
      <w:r>
        <w:rPr/>
        <w:t>根据</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27</w:t>
      </w:r>
      <w:r>
        <w:rPr/>
        <w:t>日北京市规划和国土资源管理委员会、联合体与北京创董创新实业有限公司签署的国有建设用地使用 </w:t>
      </w:r>
      <w:r>
        <w:rPr>
          <w:spacing w:val="-2"/>
        </w:rPr>
        <w:t>权出让合同附件五之补充协议，联合体将出让合同的受让人变更为北京创董创新实业有限公司。出让合同中约定联合体承担</w:t>
      </w:r>
      <w:r>
        <w:rPr>
          <w:spacing w:val="-64"/>
        </w:rPr>
        <w:t> </w:t>
      </w:r>
      <w:r>
        <w:rPr>
          <w:spacing w:val="-64"/>
        </w:rPr>
      </w:r>
      <w:r>
        <w:rPr>
          <w:spacing w:val="-2"/>
        </w:rPr>
        <w:t>的一切权利、义务随之转由北京创董创新实业有限公司承接。联合体对北京创董创新实业有限公司履行出让合同的行为将承</w:t>
      </w:r>
      <w:r>
        <w:rPr>
          <w:spacing w:val="-64"/>
        </w:rPr>
        <w:t> </w:t>
      </w:r>
      <w:r>
        <w:rPr>
          <w:spacing w:val="-64"/>
        </w:rPr>
      </w:r>
      <w:r>
        <w:rPr/>
        <w:t>担连带担保责任。</w:t>
      </w:r>
      <w:r>
        <w:rPr>
          <w:rFonts w:ascii="Times New Roman" w:hAnsi="Times New Roman" w:cs="Times New Roman" w:eastAsia="Times New Roman" w:hint="default"/>
        </w:rPr>
        <w:t>FS00-LX10-0092</w:t>
      </w:r>
      <w:r>
        <w:rPr/>
        <w:t>等地块的土地权证办理工作尚在进行过程中。</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45"/>
        <w:ind w:left="114" w:right="1276"/>
        <w:jc w:val="left"/>
        <w:rPr>
          <w:b w:val="0"/>
          <w:bCs w:val="0"/>
        </w:rPr>
      </w:pPr>
      <w:bookmarkStart w:name="26、短期借款" w:id="288"/>
      <w:bookmarkEnd w:id="288"/>
      <w:r>
        <w:rPr>
          <w:b w:val="0"/>
          <w:bCs w:val="0"/>
        </w:rPr>
      </w:r>
      <w:r>
        <w:rPr>
          <w:rFonts w:ascii="Times New Roman" w:hAnsi="Times New Roman" w:cs="Times New Roman" w:eastAsia="Times New Roman" w:hint="default"/>
        </w:rPr>
        <w:t>26</w:t>
      </w:r>
      <w:r>
        <w:rPr/>
        <w:t>、短期借款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114" w:right="1276"/>
        <w:jc w:val="left"/>
        <w:rPr>
          <w:b w:val="0"/>
          <w:bCs w:val="0"/>
        </w:rPr>
      </w:pPr>
      <w:bookmarkStart w:name="（1）短期借款分类" w:id="289"/>
      <w:bookmarkEnd w:id="289"/>
      <w:r>
        <w:rPr>
          <w:b w:val="0"/>
          <w:bCs w:val="0"/>
        </w:rPr>
      </w:r>
      <w:r>
        <w:rPr/>
        <w:t>（</w:t>
      </w:r>
      <w:r>
        <w:rPr>
          <w:rFonts w:ascii="Times New Roman" w:hAnsi="Times New Roman" w:cs="Times New Roman" w:eastAsia="Times New Roman" w:hint="default"/>
        </w:rPr>
        <w:t>1</w:t>
      </w:r>
      <w:r>
        <w:rPr/>
        <w:t>）短期借款分类</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240,000,000.00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194,445,999.00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107,000,000.00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380,000,000.00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301,445,999.00</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27、以公允价值计量且其变动计入当期损益的金融负债" w:id="290"/>
      <w:bookmarkEnd w:id="290"/>
      <w:r>
        <w:rPr>
          <w:b w:val="0"/>
          <w:bCs w:val="0"/>
        </w:rPr>
      </w:r>
      <w:r>
        <w:rPr>
          <w:rFonts w:ascii="Times New Roman" w:hAnsi="Times New Roman" w:cs="Times New Roman" w:eastAsia="Times New Roman" w:hint="default"/>
        </w:rPr>
        <w:t>27</w:t>
      </w:r>
      <w:r>
        <w:rPr/>
        <w:t>、以公允价值计量且其变动计入当期损益的金融负债</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474" w:right="1276"/>
        <w:jc w:val="left"/>
      </w:pPr>
      <w:r>
        <w:rPr/>
        <w:t>无。</w:t>
      </w:r>
    </w:p>
    <w:p>
      <w:pPr>
        <w:spacing w:line="240" w:lineRule="auto" w:before="11"/>
        <w:rPr>
          <w:rFonts w:ascii="宋体" w:hAnsi="宋体" w:cs="宋体" w:eastAsia="宋体" w:hint="default"/>
          <w:sz w:val="26"/>
          <w:szCs w:val="26"/>
        </w:rPr>
      </w:pPr>
    </w:p>
    <w:p>
      <w:pPr>
        <w:pStyle w:val="Heading3"/>
        <w:spacing w:line="240" w:lineRule="auto"/>
        <w:ind w:left="114" w:right="1276"/>
        <w:jc w:val="left"/>
        <w:rPr>
          <w:b w:val="0"/>
          <w:bCs w:val="0"/>
        </w:rPr>
      </w:pPr>
      <w:bookmarkStart w:name="28、衍生金融负债" w:id="291"/>
      <w:bookmarkEnd w:id="291"/>
      <w:r>
        <w:rPr>
          <w:b w:val="0"/>
          <w:bCs w:val="0"/>
        </w:rPr>
      </w:r>
      <w:r>
        <w:rPr>
          <w:rFonts w:ascii="Times New Roman" w:hAnsi="Times New Roman" w:cs="Times New Roman" w:eastAsia="Times New Roman" w:hint="default"/>
        </w:rPr>
        <w:t>28</w:t>
      </w:r>
      <w:r>
        <w:rPr/>
        <w:t>、衍生金融负债</w:t>
      </w:r>
      <w:r>
        <w:rPr>
          <w:b w:val="0"/>
          <w:bCs w:val="0"/>
        </w:rPr>
      </w:r>
    </w:p>
    <w:p>
      <w:pPr>
        <w:spacing w:line="240" w:lineRule="auto" w:before="8"/>
        <w:rPr>
          <w:rFonts w:ascii="宋体" w:hAnsi="宋体" w:cs="宋体" w:eastAsia="宋体" w:hint="default"/>
          <w:b/>
          <w:bCs/>
          <w:sz w:val="26"/>
          <w:szCs w:val="26"/>
        </w:rPr>
      </w:pPr>
    </w:p>
    <w:p>
      <w:pPr>
        <w:spacing w:before="0"/>
        <w:ind w:left="114" w:right="127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0"/>
        <w:rPr>
          <w:rFonts w:ascii="宋体" w:hAnsi="宋体" w:cs="宋体" w:eastAsia="宋体" w:hint="default"/>
          <w:b/>
          <w:bCs/>
          <w:sz w:val="25"/>
          <w:szCs w:val="25"/>
        </w:rPr>
      </w:pPr>
    </w:p>
    <w:p>
      <w:pPr>
        <w:pStyle w:val="Heading3"/>
        <w:spacing w:line="240" w:lineRule="auto"/>
        <w:ind w:left="114" w:right="1276"/>
        <w:jc w:val="left"/>
        <w:rPr>
          <w:b w:val="0"/>
          <w:bCs w:val="0"/>
        </w:rPr>
      </w:pPr>
      <w:bookmarkStart w:name="29、应付票据及应付账款" w:id="292"/>
      <w:bookmarkEnd w:id="292"/>
      <w:r>
        <w:rPr>
          <w:b w:val="0"/>
          <w:bCs w:val="0"/>
        </w:rPr>
      </w:r>
      <w:r>
        <w:rPr>
          <w:rFonts w:ascii="Times New Roman" w:hAnsi="Times New Roman" w:cs="Times New Roman" w:eastAsia="Times New Roman" w:hint="default"/>
        </w:rPr>
        <w:t>29</w:t>
      </w:r>
      <w:r>
        <w:rPr/>
        <w:t>、应付票据及应付账款</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after="0" w:line="240" w:lineRule="auto"/>
        <w:jc w:val="right"/>
        <w:sectPr>
          <w:pgSz w:w="11910" w:h="16840"/>
          <w:pgMar w:header="851" w:footer="979" w:top="1400" w:bottom="1160" w:left="1020" w:right="0"/>
        </w:sectPr>
      </w:pPr>
    </w:p>
    <w:p>
      <w:pPr>
        <w:spacing w:line="240" w:lineRule="auto" w:before="6"/>
        <w:rPr>
          <w:rFonts w:ascii="宋体" w:hAnsi="宋体" w:cs="宋体" w:eastAsia="宋体" w:hint="default"/>
          <w:sz w:val="2"/>
          <w:szCs w:val="2"/>
        </w:rPr>
      </w:pPr>
    </w:p>
    <w:tbl>
      <w:tblPr>
        <w:tblW w:w="0" w:type="auto"/>
        <w:jc w:val="left"/>
        <w:tblInd w:w="140" w:type="dxa"/>
        <w:tblLayout w:type="fixed"/>
        <w:tblCellMar>
          <w:top w:w="0" w:type="dxa"/>
          <w:left w:w="0" w:type="dxa"/>
          <w:bottom w:w="0" w:type="dxa"/>
          <w:right w:w="0" w:type="dxa"/>
        </w:tblCellMar>
        <w:tblLook w:val="01E0"/>
      </w:tblPr>
      <w:tblGrid>
        <w:gridCol w:w="3167"/>
        <w:gridCol w:w="3202"/>
        <w:gridCol w:w="3190"/>
      </w:tblGrid>
      <w:tr>
        <w:trPr>
          <w:trHeight w:val="414" w:hRule="exact"/>
        </w:trPr>
        <w:tc>
          <w:tcPr>
            <w:tcW w:w="3167"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273,604,713.99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215,120,889.30</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273,604,713.99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215,120,889.30</w:t>
            </w:r>
          </w:p>
        </w:tc>
      </w:tr>
    </w:tbl>
    <w:p>
      <w:pPr>
        <w:spacing w:line="240" w:lineRule="auto" w:before="3"/>
        <w:rPr>
          <w:rFonts w:ascii="宋体" w:hAnsi="宋体" w:cs="宋体" w:eastAsia="宋体" w:hint="default"/>
          <w:sz w:val="19"/>
          <w:szCs w:val="19"/>
        </w:rPr>
      </w:pPr>
    </w:p>
    <w:p>
      <w:pPr>
        <w:pStyle w:val="Heading3"/>
        <w:spacing w:line="240" w:lineRule="auto" w:before="35"/>
        <w:ind w:left="134" w:right="7680"/>
        <w:jc w:val="left"/>
        <w:rPr>
          <w:b w:val="0"/>
          <w:bCs w:val="0"/>
        </w:rPr>
      </w:pPr>
      <w:bookmarkStart w:name="（1）应付账款列示" w:id="293"/>
      <w:bookmarkEnd w:id="293"/>
      <w:r>
        <w:rPr>
          <w:b w:val="0"/>
          <w:bCs w:val="0"/>
        </w:rPr>
      </w:r>
      <w:r>
        <w:rPr/>
        <w:t>（</w:t>
      </w:r>
      <w:r>
        <w:rPr>
          <w:rFonts w:ascii="Times New Roman" w:hAnsi="Times New Roman" w:cs="Times New Roman" w:eastAsia="Times New Roman" w:hint="default"/>
        </w:rPr>
        <w:t>1</w:t>
      </w:r>
      <w:r>
        <w:rPr/>
        <w:t>）应付账款列示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2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273,604,713.99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215,120,889.30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273,604,713.99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215,120,889.30</w:t>
            </w:r>
          </w:p>
        </w:tc>
      </w:tr>
    </w:tbl>
    <w:p>
      <w:pPr>
        <w:spacing w:line="240" w:lineRule="auto" w:before="2"/>
        <w:rPr>
          <w:rFonts w:ascii="宋体" w:hAnsi="宋体" w:cs="宋体" w:eastAsia="宋体" w:hint="default"/>
          <w:sz w:val="19"/>
          <w:szCs w:val="19"/>
        </w:rPr>
      </w:pPr>
    </w:p>
    <w:p>
      <w:pPr>
        <w:pStyle w:val="Heading3"/>
        <w:spacing w:line="240" w:lineRule="auto" w:before="35"/>
        <w:ind w:left="134" w:right="7680"/>
        <w:jc w:val="left"/>
        <w:rPr>
          <w:b w:val="0"/>
          <w:bCs w:val="0"/>
        </w:rPr>
      </w:pPr>
      <w:bookmarkStart w:name="30、预收款项" w:id="294"/>
      <w:bookmarkEnd w:id="294"/>
      <w:r>
        <w:rPr>
          <w:b w:val="0"/>
          <w:bCs w:val="0"/>
        </w:rPr>
      </w:r>
      <w:r>
        <w:rPr>
          <w:rFonts w:ascii="Times New Roman" w:hAnsi="Times New Roman" w:cs="Times New Roman" w:eastAsia="Times New Roman" w:hint="default"/>
        </w:rPr>
        <w:t>30</w:t>
      </w:r>
      <w:r>
        <w:rPr/>
        <w:t>、预收款项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34" w:right="7680"/>
        <w:jc w:val="left"/>
        <w:rPr>
          <w:b w:val="0"/>
          <w:bCs w:val="0"/>
        </w:rPr>
      </w:pPr>
      <w:bookmarkStart w:name="（1）预收款项列示" w:id="295"/>
      <w:bookmarkEnd w:id="295"/>
      <w:r>
        <w:rPr>
          <w:b w:val="0"/>
          <w:bCs w:val="0"/>
        </w:rPr>
      </w:r>
      <w:r>
        <w:rPr/>
        <w:t>（</w:t>
      </w:r>
      <w:r>
        <w:rPr>
          <w:rFonts w:ascii="Times New Roman" w:hAnsi="Times New Roman" w:cs="Times New Roman" w:eastAsia="Times New Roman" w:hint="default"/>
        </w:rPr>
        <w:t>1</w:t>
      </w:r>
      <w:r>
        <w:rPr/>
        <w:t>）预收款项列示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2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123,720,317.85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116,716,453.49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123,720,317.85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116,716,453.49</w:t>
            </w:r>
          </w:p>
        </w:tc>
      </w:tr>
    </w:tbl>
    <w:p>
      <w:pPr>
        <w:spacing w:line="240" w:lineRule="auto" w:before="3"/>
        <w:rPr>
          <w:rFonts w:ascii="宋体" w:hAnsi="宋体" w:cs="宋体" w:eastAsia="宋体" w:hint="default"/>
          <w:sz w:val="19"/>
          <w:szCs w:val="19"/>
        </w:rPr>
      </w:pPr>
    </w:p>
    <w:p>
      <w:pPr>
        <w:pStyle w:val="Heading3"/>
        <w:spacing w:line="240" w:lineRule="auto" w:before="35"/>
        <w:ind w:left="134" w:right="7680"/>
        <w:jc w:val="left"/>
        <w:rPr>
          <w:b w:val="0"/>
          <w:bCs w:val="0"/>
        </w:rPr>
      </w:pPr>
      <w:bookmarkStart w:name="31、应付职工薪酬" w:id="296"/>
      <w:bookmarkEnd w:id="296"/>
      <w:r>
        <w:rPr>
          <w:b w:val="0"/>
          <w:bCs w:val="0"/>
        </w:rPr>
      </w:r>
      <w:r>
        <w:rPr>
          <w:rFonts w:ascii="Times New Roman" w:hAnsi="Times New Roman" w:cs="Times New Roman" w:eastAsia="Times New Roman" w:hint="default"/>
        </w:rPr>
        <w:t>31</w:t>
      </w:r>
      <w:r>
        <w:rPr/>
        <w:t>、应付职工薪酬</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34" w:right="7680"/>
        <w:jc w:val="left"/>
        <w:rPr>
          <w:b w:val="0"/>
          <w:bCs w:val="0"/>
        </w:rPr>
      </w:pPr>
      <w:bookmarkStart w:name="（1）应付职工薪酬列示" w:id="297"/>
      <w:bookmarkEnd w:id="297"/>
      <w:r>
        <w:rPr>
          <w:b w:val="0"/>
          <w:bCs w:val="0"/>
        </w:rPr>
      </w:r>
      <w:r>
        <w:rPr/>
        <w:t>（</w:t>
      </w:r>
      <w:r>
        <w:rPr>
          <w:rFonts w:ascii="Times New Roman" w:hAnsi="Times New Roman" w:cs="Times New Roman" w:eastAsia="Times New Roman" w:hint="default"/>
        </w:rPr>
        <w:t>1</w:t>
      </w:r>
      <w:r>
        <w:rPr/>
        <w:t>）应付职工薪酬列示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3" w:type="dxa"/>
        <w:tblLayout w:type="fixed"/>
        <w:tblCellMar>
          <w:top w:w="0" w:type="dxa"/>
          <w:left w:w="0" w:type="dxa"/>
          <w:bottom w:w="0" w:type="dxa"/>
          <w:right w:w="0" w:type="dxa"/>
        </w:tblCellMar>
        <w:tblLook w:val="01E0"/>
      </w:tblPr>
      <w:tblGrid>
        <w:gridCol w:w="2546"/>
        <w:gridCol w:w="1153"/>
        <w:gridCol w:w="1235"/>
        <w:gridCol w:w="1236"/>
        <w:gridCol w:w="1565"/>
        <w:gridCol w:w="810"/>
        <w:gridCol w:w="1138"/>
      </w:tblGrid>
      <w:tr>
        <w:trPr>
          <w:trHeight w:val="402" w:hRule="exact"/>
        </w:trPr>
        <w:tc>
          <w:tcPr>
            <w:tcW w:w="25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2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12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3"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57"/>
              <w:jc w:val="right"/>
              <w:rPr>
                <w:rFonts w:ascii="宋体" w:hAnsi="宋体" w:cs="宋体" w:eastAsia="宋体" w:hint="default"/>
                <w:sz w:val="18"/>
                <w:szCs w:val="18"/>
              </w:rPr>
            </w:pPr>
            <w:r>
              <w:rPr>
                <w:rFonts w:ascii="宋体" w:hAnsi="宋体" w:cs="宋体" w:eastAsia="宋体" w:hint="default"/>
                <w:sz w:val="18"/>
                <w:szCs w:val="18"/>
              </w:rPr>
              <w:t>退出合并范围减少</w:t>
            </w:r>
          </w:p>
        </w:tc>
        <w:tc>
          <w:tcPr>
            <w:tcW w:w="8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9" w:right="0"/>
              <w:jc w:val="left"/>
              <w:rPr>
                <w:rFonts w:ascii="宋体" w:hAnsi="宋体" w:cs="宋体" w:eastAsia="宋体" w:hint="default"/>
                <w:sz w:val="18"/>
                <w:szCs w:val="18"/>
              </w:rPr>
            </w:pPr>
            <w:r>
              <w:rPr>
                <w:rFonts w:ascii="宋体" w:hAnsi="宋体" w:cs="宋体" w:eastAsia="宋体" w:hint="default"/>
                <w:sz w:val="18"/>
                <w:szCs w:val="18"/>
              </w:rPr>
              <w:t>汇率变动</w:t>
            </w:r>
          </w:p>
        </w:tc>
        <w:tc>
          <w:tcPr>
            <w:tcW w:w="11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5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15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67,988,827.87</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 w:right="0"/>
              <w:jc w:val="center"/>
              <w:rPr>
                <w:rFonts w:ascii="Times New Roman" w:hAnsi="Times New Roman" w:cs="Times New Roman" w:eastAsia="Times New Roman" w:hint="default"/>
                <w:sz w:val="18"/>
                <w:szCs w:val="18"/>
              </w:rPr>
            </w:pPr>
            <w:r>
              <w:rPr>
                <w:rFonts w:ascii="Times New Roman"/>
                <w:sz w:val="18"/>
              </w:rPr>
              <w:t>767,690,169.24</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1"/>
              <w:jc w:val="right"/>
              <w:rPr>
                <w:rFonts w:ascii="Times New Roman" w:hAnsi="Times New Roman" w:cs="Times New Roman" w:eastAsia="Times New Roman" w:hint="default"/>
                <w:sz w:val="18"/>
                <w:szCs w:val="18"/>
              </w:rPr>
            </w:pPr>
            <w:r>
              <w:rPr>
                <w:rFonts w:ascii="Times New Roman"/>
                <w:spacing w:val="-1"/>
                <w:sz w:val="18"/>
              </w:rPr>
              <w:t>768,885,173.84</w:t>
            </w:r>
          </w:p>
        </w:tc>
        <w:tc>
          <w:tcPr>
            <w:tcW w:w="1565" w:type="dxa"/>
            <w:tcBorders>
              <w:top w:val="single" w:sz="16" w:space="0" w:color="D2D2D2"/>
              <w:left w:val="single" w:sz="4" w:space="0" w:color="000000"/>
              <w:bottom w:val="single" w:sz="4" w:space="0" w:color="000000"/>
              <w:right w:val="single" w:sz="4" w:space="0" w:color="000000"/>
            </w:tcBorders>
          </w:tcPr>
          <w:p>
            <w:pPr>
              <w:pStyle w:val="TableParagraph"/>
              <w:spacing w:line="240" w:lineRule="auto" w:before="73"/>
              <w:ind w:right="21"/>
              <w:jc w:val="right"/>
              <w:rPr>
                <w:rFonts w:ascii="Times New Roman" w:hAnsi="Times New Roman" w:cs="Times New Roman" w:eastAsia="Times New Roman" w:hint="default"/>
                <w:sz w:val="18"/>
                <w:szCs w:val="18"/>
              </w:rPr>
            </w:pPr>
            <w:r>
              <w:rPr>
                <w:rFonts w:ascii="Times New Roman"/>
                <w:sz w:val="18"/>
              </w:rPr>
              <w:t>557,133.21</w:t>
            </w:r>
          </w:p>
        </w:tc>
        <w:tc>
          <w:tcPr>
            <w:tcW w:w="810" w:type="dxa"/>
            <w:tcBorders>
              <w:top w:val="single" w:sz="16" w:space="0" w:color="D2D2D2"/>
              <w:left w:val="single" w:sz="4" w:space="0" w:color="000000"/>
              <w:bottom w:val="single" w:sz="4" w:space="0" w:color="000000"/>
              <w:right w:val="single" w:sz="4" w:space="0" w:color="000000"/>
            </w:tcBorders>
          </w:tcPr>
          <w:p>
            <w:pPr>
              <w:pStyle w:val="TableParagraph"/>
              <w:spacing w:line="240" w:lineRule="auto" w:before="73"/>
              <w:ind w:left="86" w:right="0"/>
              <w:jc w:val="left"/>
              <w:rPr>
                <w:rFonts w:ascii="Times New Roman" w:hAnsi="Times New Roman" w:cs="Times New Roman" w:eastAsia="Times New Roman" w:hint="default"/>
                <w:sz w:val="18"/>
                <w:szCs w:val="18"/>
              </w:rPr>
            </w:pPr>
            <w:r>
              <w:rPr>
                <w:rFonts w:ascii="Times New Roman"/>
                <w:sz w:val="18"/>
              </w:rPr>
              <w:t>-6,955.44</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66,229,734.62</w:t>
            </w:r>
          </w:p>
        </w:tc>
      </w:tr>
      <w:tr>
        <w:trPr>
          <w:trHeight w:val="402" w:hRule="exact"/>
        </w:trPr>
        <w:tc>
          <w:tcPr>
            <w:tcW w:w="25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设定提存计划</w:t>
            </w:r>
          </w:p>
        </w:tc>
        <w:tc>
          <w:tcPr>
            <w:tcW w:w="115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2,669,623.52</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3" w:right="0"/>
              <w:jc w:val="center"/>
              <w:rPr>
                <w:rFonts w:ascii="Times New Roman" w:hAnsi="Times New Roman" w:cs="Times New Roman" w:eastAsia="Times New Roman" w:hint="default"/>
                <w:sz w:val="18"/>
                <w:szCs w:val="18"/>
              </w:rPr>
            </w:pPr>
            <w:r>
              <w:rPr>
                <w:rFonts w:ascii="Times New Roman"/>
                <w:sz w:val="18"/>
              </w:rPr>
              <w:t>37,389,123.27</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1"/>
              <w:jc w:val="right"/>
              <w:rPr>
                <w:rFonts w:ascii="Times New Roman" w:hAnsi="Times New Roman" w:cs="Times New Roman" w:eastAsia="Times New Roman" w:hint="default"/>
                <w:sz w:val="18"/>
                <w:szCs w:val="18"/>
              </w:rPr>
            </w:pPr>
            <w:r>
              <w:rPr>
                <w:rFonts w:ascii="Times New Roman"/>
                <w:spacing w:val="-1"/>
                <w:sz w:val="18"/>
              </w:rPr>
              <w:t>37,271,190.43</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1"/>
              <w:jc w:val="right"/>
              <w:rPr>
                <w:rFonts w:ascii="Times New Roman" w:hAnsi="Times New Roman" w:cs="Times New Roman" w:eastAsia="Times New Roman" w:hint="default"/>
                <w:sz w:val="18"/>
                <w:szCs w:val="18"/>
              </w:rPr>
            </w:pPr>
            <w:r>
              <w:rPr>
                <w:rFonts w:ascii="Times New Roman"/>
                <w:sz w:val="18"/>
              </w:rPr>
              <w:t>38,752.16</w:t>
            </w:r>
          </w:p>
        </w:tc>
        <w:tc>
          <w:tcPr>
            <w:tcW w:w="810"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2,748,804.20</w:t>
            </w:r>
          </w:p>
        </w:tc>
      </w:tr>
      <w:tr>
        <w:trPr>
          <w:trHeight w:val="402" w:hRule="exact"/>
        </w:trPr>
        <w:tc>
          <w:tcPr>
            <w:tcW w:w="25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15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600,700.81</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9" w:right="0"/>
              <w:jc w:val="center"/>
              <w:rPr>
                <w:rFonts w:ascii="Times New Roman" w:hAnsi="Times New Roman" w:cs="Times New Roman" w:eastAsia="Times New Roman" w:hint="default"/>
                <w:sz w:val="18"/>
                <w:szCs w:val="18"/>
              </w:rPr>
            </w:pPr>
            <w:r>
              <w:rPr>
                <w:rFonts w:ascii="Times New Roman"/>
                <w:sz w:val="18"/>
              </w:rPr>
              <w:t>11,535,610.70</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1"/>
              <w:jc w:val="right"/>
              <w:rPr>
                <w:rFonts w:ascii="Times New Roman" w:hAnsi="Times New Roman" w:cs="Times New Roman" w:eastAsia="Times New Roman" w:hint="default"/>
                <w:sz w:val="18"/>
                <w:szCs w:val="18"/>
              </w:rPr>
            </w:pPr>
            <w:r>
              <w:rPr>
                <w:rFonts w:ascii="Times New Roman"/>
                <w:spacing w:val="-1"/>
                <w:sz w:val="18"/>
              </w:rPr>
              <w:t>11,761,664.05</w:t>
            </w:r>
          </w:p>
        </w:tc>
        <w:tc>
          <w:tcPr>
            <w:tcW w:w="1565"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374,647.46</w:t>
            </w:r>
          </w:p>
        </w:tc>
      </w:tr>
      <w:tr>
        <w:trPr>
          <w:trHeight w:val="402" w:hRule="exact"/>
        </w:trPr>
        <w:tc>
          <w:tcPr>
            <w:tcW w:w="25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5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71,259,152.20</w:t>
            </w:r>
          </w:p>
        </w:tc>
        <w:tc>
          <w:tcPr>
            <w:tcW w:w="12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 w:right="0"/>
              <w:jc w:val="center"/>
              <w:rPr>
                <w:rFonts w:ascii="Times New Roman" w:hAnsi="Times New Roman" w:cs="Times New Roman" w:eastAsia="Times New Roman" w:hint="default"/>
                <w:sz w:val="18"/>
                <w:szCs w:val="18"/>
              </w:rPr>
            </w:pPr>
            <w:r>
              <w:rPr>
                <w:rFonts w:ascii="Times New Roman"/>
                <w:sz w:val="18"/>
              </w:rPr>
              <w:t>816,614,903.21</w:t>
            </w:r>
          </w:p>
        </w:tc>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1"/>
              <w:jc w:val="right"/>
              <w:rPr>
                <w:rFonts w:ascii="Times New Roman" w:hAnsi="Times New Roman" w:cs="Times New Roman" w:eastAsia="Times New Roman" w:hint="default"/>
                <w:sz w:val="18"/>
                <w:szCs w:val="18"/>
              </w:rPr>
            </w:pPr>
            <w:r>
              <w:rPr>
                <w:rFonts w:ascii="Times New Roman"/>
                <w:spacing w:val="-1"/>
                <w:sz w:val="18"/>
              </w:rPr>
              <w:t>817,918,028.32</w:t>
            </w:r>
          </w:p>
        </w:tc>
        <w:tc>
          <w:tcPr>
            <w:tcW w:w="15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1"/>
              <w:jc w:val="right"/>
              <w:rPr>
                <w:rFonts w:ascii="Times New Roman" w:hAnsi="Times New Roman" w:cs="Times New Roman" w:eastAsia="Times New Roman" w:hint="default"/>
                <w:sz w:val="18"/>
                <w:szCs w:val="18"/>
              </w:rPr>
            </w:pPr>
            <w:r>
              <w:rPr>
                <w:rFonts w:ascii="Times New Roman"/>
                <w:sz w:val="18"/>
              </w:rPr>
              <w:t>595,885.37</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86" w:right="0"/>
              <w:jc w:val="left"/>
              <w:rPr>
                <w:rFonts w:ascii="Times New Roman" w:hAnsi="Times New Roman" w:cs="Times New Roman" w:eastAsia="Times New Roman" w:hint="default"/>
                <w:sz w:val="18"/>
                <w:szCs w:val="18"/>
              </w:rPr>
            </w:pPr>
            <w:r>
              <w:rPr>
                <w:rFonts w:ascii="Times New Roman"/>
                <w:sz w:val="18"/>
              </w:rPr>
              <w:t>-6,955.44</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69,353,186.28</w:t>
            </w:r>
          </w:p>
        </w:tc>
      </w:tr>
    </w:tbl>
    <w:p>
      <w:pPr>
        <w:spacing w:line="240" w:lineRule="auto" w:before="2"/>
        <w:rPr>
          <w:rFonts w:ascii="宋体" w:hAnsi="宋体" w:cs="宋体" w:eastAsia="宋体" w:hint="default"/>
          <w:sz w:val="19"/>
          <w:szCs w:val="19"/>
        </w:rPr>
      </w:pPr>
    </w:p>
    <w:p>
      <w:pPr>
        <w:pStyle w:val="Heading3"/>
        <w:spacing w:line="240" w:lineRule="auto" w:before="35"/>
        <w:ind w:left="134" w:right="7680"/>
        <w:jc w:val="left"/>
        <w:rPr>
          <w:b w:val="0"/>
          <w:bCs w:val="0"/>
        </w:rPr>
      </w:pPr>
      <w:bookmarkStart w:name="（2）短期薪酬列示" w:id="298"/>
      <w:bookmarkEnd w:id="298"/>
      <w:r>
        <w:rPr>
          <w:b w:val="0"/>
          <w:bCs w:val="0"/>
        </w:rPr>
      </w:r>
      <w:r>
        <w:rPr/>
        <w:t>（</w:t>
      </w:r>
      <w:r>
        <w:rPr>
          <w:rFonts w:ascii="Times New Roman" w:hAnsi="Times New Roman" w:cs="Times New Roman" w:eastAsia="Times New Roman" w:hint="default"/>
        </w:rPr>
        <w:t>2</w:t>
      </w:r>
      <w:r>
        <w:rPr/>
        <w:t>）短期薪酬列示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3" w:type="dxa"/>
        <w:tblLayout w:type="fixed"/>
        <w:tblCellMar>
          <w:top w:w="0" w:type="dxa"/>
          <w:left w:w="0" w:type="dxa"/>
          <w:bottom w:w="0" w:type="dxa"/>
          <w:right w:w="0" w:type="dxa"/>
        </w:tblCellMar>
        <w:tblLook w:val="01E0"/>
      </w:tblPr>
      <w:tblGrid>
        <w:gridCol w:w="2274"/>
        <w:gridCol w:w="1143"/>
        <w:gridCol w:w="1277"/>
        <w:gridCol w:w="1276"/>
        <w:gridCol w:w="1562"/>
        <w:gridCol w:w="848"/>
        <w:gridCol w:w="1303"/>
      </w:tblGrid>
      <w:tr>
        <w:trPr>
          <w:trHeight w:val="403" w:hRule="exact"/>
        </w:trPr>
        <w:tc>
          <w:tcPr>
            <w:tcW w:w="2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54"/>
              <w:jc w:val="right"/>
              <w:rPr>
                <w:rFonts w:ascii="宋体" w:hAnsi="宋体" w:cs="宋体" w:eastAsia="宋体" w:hint="default"/>
                <w:sz w:val="18"/>
                <w:szCs w:val="18"/>
              </w:rPr>
            </w:pPr>
            <w:r>
              <w:rPr>
                <w:rFonts w:ascii="宋体" w:hAnsi="宋体" w:cs="宋体" w:eastAsia="宋体" w:hint="default"/>
                <w:sz w:val="18"/>
                <w:szCs w:val="18"/>
              </w:rPr>
              <w:t>退出合并范围减少</w:t>
            </w:r>
          </w:p>
        </w:tc>
        <w:tc>
          <w:tcPr>
            <w:tcW w:w="8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59"/>
              <w:jc w:val="right"/>
              <w:rPr>
                <w:rFonts w:ascii="宋体" w:hAnsi="宋体" w:cs="宋体" w:eastAsia="宋体" w:hint="default"/>
                <w:sz w:val="18"/>
                <w:szCs w:val="18"/>
              </w:rPr>
            </w:pPr>
            <w:r>
              <w:rPr>
                <w:rFonts w:ascii="宋体" w:hAnsi="宋体" w:cs="宋体" w:eastAsia="宋体" w:hint="default"/>
                <w:sz w:val="18"/>
                <w:szCs w:val="18"/>
              </w:rPr>
              <w:t>汇率变动</w:t>
            </w:r>
          </w:p>
        </w:tc>
        <w:tc>
          <w:tcPr>
            <w:tcW w:w="1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、工资、奖金、津贴和补贴</w:t>
            </w:r>
          </w:p>
        </w:tc>
        <w:tc>
          <w:tcPr>
            <w:tcW w:w="114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42" w:right="0"/>
              <w:jc w:val="center"/>
              <w:rPr>
                <w:rFonts w:ascii="Times New Roman" w:hAnsi="Times New Roman" w:cs="Times New Roman" w:eastAsia="Times New Roman" w:hint="default"/>
                <w:sz w:val="18"/>
                <w:szCs w:val="18"/>
              </w:rPr>
            </w:pPr>
            <w:r>
              <w:rPr>
                <w:rFonts w:ascii="Times New Roman"/>
                <w:sz w:val="18"/>
              </w:rPr>
              <w:t>63,332,833.73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4" w:right="0"/>
              <w:jc w:val="center"/>
              <w:rPr>
                <w:rFonts w:ascii="Times New Roman" w:hAnsi="Times New Roman" w:cs="Times New Roman" w:eastAsia="Times New Roman" w:hint="default"/>
                <w:sz w:val="18"/>
                <w:szCs w:val="18"/>
              </w:rPr>
            </w:pPr>
            <w:r>
              <w:rPr>
                <w:rFonts w:ascii="Times New Roman"/>
                <w:sz w:val="18"/>
              </w:rPr>
              <w:t>677,637,725.89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96" w:right="0"/>
              <w:jc w:val="center"/>
              <w:rPr>
                <w:rFonts w:ascii="Times New Roman" w:hAnsi="Times New Roman" w:cs="Times New Roman" w:eastAsia="Times New Roman" w:hint="default"/>
                <w:sz w:val="18"/>
                <w:szCs w:val="18"/>
              </w:rPr>
            </w:pPr>
            <w:r>
              <w:rPr>
                <w:rFonts w:ascii="Times New Roman"/>
                <w:sz w:val="18"/>
              </w:rPr>
              <w:t>679,142,759.37</w:t>
            </w:r>
          </w:p>
        </w:tc>
        <w:tc>
          <w:tcPr>
            <w:tcW w:w="1562" w:type="dxa"/>
            <w:tcBorders>
              <w:top w:val="single" w:sz="19" w:space="0" w:color="D2D2D2"/>
              <w:left w:val="single" w:sz="4" w:space="0" w:color="000000"/>
              <w:bottom w:val="single" w:sz="4" w:space="0" w:color="000000"/>
              <w:right w:val="single" w:sz="4" w:space="0" w:color="000000"/>
            </w:tcBorders>
          </w:tcPr>
          <w:p>
            <w:pPr>
              <w:pStyle w:val="TableParagraph"/>
              <w:spacing w:line="240" w:lineRule="auto" w:before="69"/>
              <w:ind w:right="21"/>
              <w:jc w:val="right"/>
              <w:rPr>
                <w:rFonts w:ascii="Times New Roman" w:hAnsi="Times New Roman" w:cs="Times New Roman" w:eastAsia="Times New Roman" w:hint="default"/>
                <w:sz w:val="18"/>
                <w:szCs w:val="18"/>
              </w:rPr>
            </w:pPr>
            <w:r>
              <w:rPr>
                <w:rFonts w:ascii="Times New Roman"/>
                <w:sz w:val="18"/>
              </w:rPr>
              <w:t>527,686.87</w:t>
            </w:r>
          </w:p>
        </w:tc>
        <w:tc>
          <w:tcPr>
            <w:tcW w:w="848" w:type="dxa"/>
            <w:tcBorders>
              <w:top w:val="single" w:sz="19" w:space="0" w:color="D2D2D2"/>
              <w:left w:val="single" w:sz="4" w:space="0" w:color="000000"/>
              <w:bottom w:val="single" w:sz="4" w:space="0" w:color="000000"/>
              <w:right w:val="single" w:sz="4" w:space="0" w:color="000000"/>
            </w:tcBorders>
          </w:tcPr>
          <w:p>
            <w:pPr>
              <w:pStyle w:val="TableParagraph"/>
              <w:spacing w:line="240" w:lineRule="auto" w:before="69"/>
              <w:ind w:right="20"/>
              <w:jc w:val="right"/>
              <w:rPr>
                <w:rFonts w:ascii="Times New Roman" w:hAnsi="Times New Roman" w:cs="Times New Roman" w:eastAsia="Times New Roman" w:hint="default"/>
                <w:sz w:val="18"/>
                <w:szCs w:val="18"/>
              </w:rPr>
            </w:pPr>
            <w:r>
              <w:rPr>
                <w:rFonts w:ascii="Times New Roman"/>
                <w:w w:val="95"/>
                <w:sz w:val="18"/>
              </w:rPr>
              <w:t>-6,881.75</w:t>
            </w:r>
            <w:r>
              <w:rPr>
                <w:rFonts w:ascii="Times New Roman"/>
                <w:sz w:val="18"/>
              </w:rPr>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61,293,231.63</w:t>
            </w:r>
          </w:p>
        </w:tc>
      </w:tr>
      <w:tr>
        <w:trPr>
          <w:trHeight w:val="402" w:hRule="exact"/>
        </w:trPr>
        <w:tc>
          <w:tcPr>
            <w:tcW w:w="2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14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132" w:right="0"/>
              <w:jc w:val="center"/>
              <w:rPr>
                <w:rFonts w:ascii="Times New Roman" w:hAnsi="Times New Roman" w:cs="Times New Roman" w:eastAsia="Times New Roman" w:hint="default"/>
                <w:sz w:val="18"/>
                <w:szCs w:val="18"/>
              </w:rPr>
            </w:pPr>
            <w:r>
              <w:rPr>
                <w:rFonts w:ascii="Times New Roman"/>
                <w:sz w:val="18"/>
              </w:rPr>
              <w:t>1,059,613.28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90" w:right="0"/>
              <w:jc w:val="center"/>
              <w:rPr>
                <w:rFonts w:ascii="Times New Roman" w:hAnsi="Times New Roman" w:cs="Times New Roman" w:eastAsia="Times New Roman" w:hint="default"/>
                <w:sz w:val="18"/>
                <w:szCs w:val="18"/>
              </w:rPr>
            </w:pPr>
            <w:r>
              <w:rPr>
                <w:rFonts w:ascii="Times New Roman"/>
                <w:sz w:val="18"/>
              </w:rPr>
              <w:t>22,113,979.37</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86" w:right="0"/>
              <w:jc w:val="center"/>
              <w:rPr>
                <w:rFonts w:ascii="Times New Roman" w:hAnsi="Times New Roman" w:cs="Times New Roman" w:eastAsia="Times New Roman" w:hint="default"/>
                <w:sz w:val="18"/>
                <w:szCs w:val="18"/>
              </w:rPr>
            </w:pPr>
            <w:r>
              <w:rPr>
                <w:rFonts w:ascii="Times New Roman"/>
                <w:sz w:val="18"/>
              </w:rPr>
              <w:t>22,846,327.84</w:t>
            </w:r>
          </w:p>
        </w:tc>
        <w:tc>
          <w:tcPr>
            <w:tcW w:w="1562" w:type="dxa"/>
            <w:tcBorders>
              <w:top w:val="single" w:sz="4" w:space="0" w:color="000000"/>
              <w:left w:val="single" w:sz="4" w:space="0" w:color="000000"/>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9"/>
              <w:jc w:val="right"/>
              <w:rPr>
                <w:rFonts w:ascii="Times New Roman" w:hAnsi="Times New Roman" w:cs="Times New Roman" w:eastAsia="Times New Roman" w:hint="default"/>
                <w:sz w:val="18"/>
                <w:szCs w:val="18"/>
              </w:rPr>
            </w:pPr>
            <w:r>
              <w:rPr>
                <w:rFonts w:ascii="Times New Roman"/>
                <w:sz w:val="18"/>
              </w:rPr>
              <w:t>-73.69</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327,191.12</w:t>
            </w:r>
          </w:p>
        </w:tc>
      </w:tr>
      <w:tr>
        <w:trPr>
          <w:trHeight w:val="403" w:hRule="exact"/>
        </w:trPr>
        <w:tc>
          <w:tcPr>
            <w:tcW w:w="2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14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132" w:right="0"/>
              <w:jc w:val="center"/>
              <w:rPr>
                <w:rFonts w:ascii="Times New Roman" w:hAnsi="Times New Roman" w:cs="Times New Roman" w:eastAsia="Times New Roman" w:hint="default"/>
                <w:sz w:val="18"/>
                <w:szCs w:val="18"/>
              </w:rPr>
            </w:pPr>
            <w:r>
              <w:rPr>
                <w:rFonts w:ascii="Times New Roman"/>
                <w:sz w:val="18"/>
              </w:rPr>
              <w:t>1,869,133.20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84" w:right="0"/>
              <w:jc w:val="center"/>
              <w:rPr>
                <w:rFonts w:ascii="Times New Roman" w:hAnsi="Times New Roman" w:cs="Times New Roman" w:eastAsia="Times New Roman" w:hint="default"/>
                <w:sz w:val="18"/>
                <w:szCs w:val="18"/>
              </w:rPr>
            </w:pPr>
            <w:r>
              <w:rPr>
                <w:rFonts w:ascii="Times New Roman"/>
                <w:sz w:val="18"/>
              </w:rPr>
              <w:t>26,002,057.17</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86" w:right="0"/>
              <w:jc w:val="center"/>
              <w:rPr>
                <w:rFonts w:ascii="Times New Roman" w:hAnsi="Times New Roman" w:cs="Times New Roman" w:eastAsia="Times New Roman" w:hint="default"/>
                <w:sz w:val="18"/>
                <w:szCs w:val="18"/>
              </w:rPr>
            </w:pPr>
            <w:r>
              <w:rPr>
                <w:rFonts w:ascii="Times New Roman"/>
                <w:sz w:val="18"/>
              </w:rPr>
              <w:t>26,004,902.22</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1"/>
              <w:jc w:val="right"/>
              <w:rPr>
                <w:rFonts w:ascii="Times New Roman" w:hAnsi="Times New Roman" w:cs="Times New Roman" w:eastAsia="Times New Roman" w:hint="default"/>
                <w:sz w:val="18"/>
                <w:szCs w:val="18"/>
              </w:rPr>
            </w:pPr>
            <w:r>
              <w:rPr>
                <w:rFonts w:ascii="Times New Roman"/>
                <w:sz w:val="18"/>
              </w:rPr>
              <w:t>29,446.34</w:t>
            </w:r>
          </w:p>
        </w:tc>
        <w:tc>
          <w:tcPr>
            <w:tcW w:w="848"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1,836,841.81</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1000" w:right="0"/>
        </w:sectPr>
      </w:pPr>
    </w:p>
    <w:p>
      <w:pPr>
        <w:spacing w:line="240" w:lineRule="auto" w:before="6"/>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2297"/>
        <w:gridCol w:w="1132"/>
        <w:gridCol w:w="1277"/>
        <w:gridCol w:w="1276"/>
        <w:gridCol w:w="1562"/>
        <w:gridCol w:w="848"/>
        <w:gridCol w:w="1303"/>
      </w:tblGrid>
      <w:tr>
        <w:trPr>
          <w:trHeight w:val="414" w:hRule="exact"/>
        </w:trPr>
        <w:tc>
          <w:tcPr>
            <w:tcW w:w="2297"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382"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13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0"/>
              <w:jc w:val="right"/>
              <w:rPr>
                <w:rFonts w:ascii="Times New Roman" w:hAnsi="Times New Roman" w:cs="Times New Roman" w:eastAsia="Times New Roman" w:hint="default"/>
                <w:sz w:val="18"/>
                <w:szCs w:val="18"/>
              </w:rPr>
            </w:pPr>
            <w:r>
              <w:rPr>
                <w:rFonts w:ascii="Times New Roman"/>
                <w:spacing w:val="-1"/>
                <w:sz w:val="18"/>
              </w:rPr>
              <w:t>1,684,335.50</w:t>
            </w:r>
          </w:p>
        </w:tc>
        <w:tc>
          <w:tcPr>
            <w:tcW w:w="127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Times New Roman" w:hAnsi="Times New Roman" w:cs="Times New Roman" w:eastAsia="Times New Roman" w:hint="default"/>
                <w:sz w:val="18"/>
                <w:szCs w:val="18"/>
              </w:rPr>
            </w:pPr>
            <w:r>
              <w:rPr>
                <w:rFonts w:ascii="Times New Roman"/>
                <w:spacing w:val="-1"/>
                <w:sz w:val="18"/>
              </w:rPr>
              <w:t>23,594,464.61</w:t>
            </w:r>
          </w:p>
        </w:tc>
        <w:tc>
          <w:tcPr>
            <w:tcW w:w="127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23,588,248.87</w:t>
            </w:r>
          </w:p>
        </w:tc>
        <w:tc>
          <w:tcPr>
            <w:tcW w:w="156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26,769.40</w:t>
            </w:r>
          </w:p>
        </w:tc>
        <w:tc>
          <w:tcPr>
            <w:tcW w:w="848" w:type="dxa"/>
            <w:tcBorders>
              <w:top w:val="single" w:sz="10" w:space="0" w:color="000000"/>
              <w:left w:val="single" w:sz="4" w:space="0" w:color="000000"/>
              <w:bottom w:val="single" w:sz="4" w:space="0" w:color="000000"/>
              <w:right w:val="single" w:sz="4" w:space="0" w:color="000000"/>
            </w:tcBorders>
          </w:tcPr>
          <w:p>
            <w:pPr/>
          </w:p>
        </w:tc>
        <w:tc>
          <w:tcPr>
            <w:tcW w:w="130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Times New Roman" w:hAnsi="Times New Roman" w:cs="Times New Roman" w:eastAsia="Times New Roman" w:hint="default"/>
                <w:sz w:val="18"/>
                <w:szCs w:val="18"/>
              </w:rPr>
            </w:pPr>
            <w:r>
              <w:rPr>
                <w:rFonts w:ascii="Times New Roman"/>
                <w:spacing w:val="-1"/>
                <w:sz w:val="18"/>
              </w:rPr>
              <w:t>1,663,781.84</w:t>
            </w:r>
          </w:p>
        </w:tc>
      </w:tr>
      <w:tr>
        <w:trPr>
          <w:trHeight w:val="402" w:hRule="exact"/>
        </w:trPr>
        <w:tc>
          <w:tcPr>
            <w:tcW w:w="2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23"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53,066.35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625,441.55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0"/>
              <w:jc w:val="right"/>
              <w:rPr>
                <w:rFonts w:ascii="Times New Roman" w:hAnsi="Times New Roman" w:cs="Times New Roman" w:eastAsia="Times New Roman" w:hint="default"/>
                <w:sz w:val="18"/>
                <w:szCs w:val="18"/>
              </w:rPr>
            </w:pPr>
            <w:r>
              <w:rPr>
                <w:rFonts w:ascii="Times New Roman"/>
                <w:sz w:val="18"/>
              </w:rPr>
              <w:t>636,917.86</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1"/>
              <w:jc w:val="right"/>
              <w:rPr>
                <w:rFonts w:ascii="Times New Roman" w:hAnsi="Times New Roman" w:cs="Times New Roman" w:eastAsia="Times New Roman" w:hint="default"/>
                <w:sz w:val="18"/>
                <w:szCs w:val="18"/>
              </w:rPr>
            </w:pPr>
            <w:r>
              <w:rPr>
                <w:rFonts w:ascii="Times New Roman"/>
                <w:sz w:val="18"/>
              </w:rPr>
              <w:t>535.49</w:t>
            </w:r>
          </w:p>
        </w:tc>
        <w:tc>
          <w:tcPr>
            <w:tcW w:w="848"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41,054.55</w:t>
            </w:r>
          </w:p>
        </w:tc>
      </w:tr>
      <w:tr>
        <w:trPr>
          <w:trHeight w:val="402" w:hRule="exact"/>
        </w:trPr>
        <w:tc>
          <w:tcPr>
            <w:tcW w:w="2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23"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131,731.35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1,782,151.01</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0"/>
              <w:jc w:val="right"/>
              <w:rPr>
                <w:rFonts w:ascii="Times New Roman" w:hAnsi="Times New Roman" w:cs="Times New Roman" w:eastAsia="Times New Roman" w:hint="default"/>
                <w:sz w:val="18"/>
                <w:szCs w:val="18"/>
              </w:rPr>
            </w:pPr>
            <w:r>
              <w:rPr>
                <w:rFonts w:ascii="Times New Roman"/>
                <w:spacing w:val="-1"/>
                <w:sz w:val="18"/>
              </w:rPr>
              <w:t>1,779,735.49</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1"/>
              <w:jc w:val="right"/>
              <w:rPr>
                <w:rFonts w:ascii="Times New Roman" w:hAnsi="Times New Roman" w:cs="Times New Roman" w:eastAsia="Times New Roman" w:hint="default"/>
                <w:sz w:val="18"/>
                <w:szCs w:val="18"/>
              </w:rPr>
            </w:pPr>
            <w:r>
              <w:rPr>
                <w:rFonts w:ascii="Times New Roman"/>
                <w:sz w:val="18"/>
              </w:rPr>
              <w:t>2,141.45</w:t>
            </w:r>
          </w:p>
        </w:tc>
        <w:tc>
          <w:tcPr>
            <w:tcW w:w="848"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132,005.42</w:t>
            </w:r>
          </w:p>
        </w:tc>
      </w:tr>
      <w:tr>
        <w:trPr>
          <w:trHeight w:val="402" w:hRule="exact"/>
        </w:trPr>
        <w:tc>
          <w:tcPr>
            <w:tcW w:w="2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1,490,920.27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40,780,207.20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20"/>
              <w:jc w:val="right"/>
              <w:rPr>
                <w:rFonts w:ascii="Times New Roman" w:hAnsi="Times New Roman" w:cs="Times New Roman" w:eastAsia="Times New Roman" w:hint="default"/>
                <w:sz w:val="18"/>
                <w:szCs w:val="18"/>
              </w:rPr>
            </w:pPr>
            <w:r>
              <w:rPr>
                <w:rFonts w:ascii="Times New Roman"/>
                <w:spacing w:val="-1"/>
                <w:sz w:val="18"/>
              </w:rPr>
              <w:t>39,683,212.96</w:t>
            </w:r>
          </w:p>
        </w:tc>
        <w:tc>
          <w:tcPr>
            <w:tcW w:w="1562" w:type="dxa"/>
            <w:tcBorders>
              <w:top w:val="single" w:sz="4" w:space="0" w:color="000000"/>
              <w:left w:val="single" w:sz="4" w:space="0" w:color="000000"/>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2,587,914.51</w:t>
            </w:r>
          </w:p>
        </w:tc>
      </w:tr>
      <w:tr>
        <w:trPr>
          <w:trHeight w:val="402" w:hRule="exact"/>
        </w:trPr>
        <w:tc>
          <w:tcPr>
            <w:tcW w:w="2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、工会经费和职工教育经费</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236,327.39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1,156,199.61</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0"/>
              <w:jc w:val="right"/>
              <w:rPr>
                <w:rFonts w:ascii="Times New Roman" w:hAnsi="Times New Roman" w:cs="Times New Roman" w:eastAsia="Times New Roman" w:hint="default"/>
                <w:sz w:val="18"/>
                <w:szCs w:val="18"/>
              </w:rPr>
            </w:pPr>
            <w:r>
              <w:rPr>
                <w:rFonts w:ascii="Times New Roman"/>
                <w:spacing w:val="-1"/>
                <w:sz w:val="18"/>
              </w:rPr>
              <w:t>1,207,971.45</w:t>
            </w:r>
          </w:p>
        </w:tc>
        <w:tc>
          <w:tcPr>
            <w:tcW w:w="1562" w:type="dxa"/>
            <w:tcBorders>
              <w:top w:val="single" w:sz="4" w:space="0" w:color="000000"/>
              <w:left w:val="single" w:sz="4" w:space="0" w:color="000000"/>
              <w:bottom w:val="single" w:sz="4" w:space="0" w:color="000000"/>
              <w:right w:val="single" w:sz="4" w:space="0" w:color="000000"/>
            </w:tcBorders>
          </w:tcPr>
          <w:p>
            <w:pPr/>
          </w:p>
        </w:tc>
        <w:tc>
          <w:tcPr>
            <w:tcW w:w="848" w:type="dxa"/>
            <w:tcBorders>
              <w:top w:val="single" w:sz="4" w:space="0" w:color="000000"/>
              <w:left w:val="single" w:sz="4" w:space="0" w:color="000000"/>
              <w:bottom w:val="single" w:sz="4" w:space="0" w:color="000000"/>
              <w:right w:val="single" w:sz="4" w:space="0" w:color="000000"/>
            </w:tcBorders>
          </w:tcPr>
          <w:p>
            <w:pP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184,555.55</w:t>
            </w:r>
          </w:p>
        </w:tc>
      </w:tr>
      <w:tr>
        <w:trPr>
          <w:trHeight w:val="403" w:hRule="exact"/>
        </w:trPr>
        <w:tc>
          <w:tcPr>
            <w:tcW w:w="2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67,988,827.87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767,690,169.24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0"/>
              <w:jc w:val="right"/>
              <w:rPr>
                <w:rFonts w:ascii="Times New Roman" w:hAnsi="Times New Roman" w:cs="Times New Roman" w:eastAsia="Times New Roman" w:hint="default"/>
                <w:sz w:val="18"/>
                <w:szCs w:val="18"/>
              </w:rPr>
            </w:pPr>
            <w:r>
              <w:rPr>
                <w:rFonts w:ascii="Times New Roman"/>
                <w:spacing w:val="-1"/>
                <w:sz w:val="18"/>
              </w:rPr>
              <w:t>768,885,173.84</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1"/>
              <w:jc w:val="right"/>
              <w:rPr>
                <w:rFonts w:ascii="Times New Roman" w:hAnsi="Times New Roman" w:cs="Times New Roman" w:eastAsia="Times New Roman" w:hint="default"/>
                <w:sz w:val="18"/>
                <w:szCs w:val="18"/>
              </w:rPr>
            </w:pPr>
            <w:r>
              <w:rPr>
                <w:rFonts w:ascii="Times New Roman"/>
                <w:sz w:val="18"/>
              </w:rPr>
              <w:t>557,133.21</w:t>
            </w:r>
          </w:p>
        </w:tc>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25" w:right="0"/>
              <w:jc w:val="left"/>
              <w:rPr>
                <w:rFonts w:ascii="Times New Roman" w:hAnsi="Times New Roman" w:cs="Times New Roman" w:eastAsia="Times New Roman" w:hint="default"/>
                <w:sz w:val="18"/>
                <w:szCs w:val="18"/>
              </w:rPr>
            </w:pPr>
            <w:r>
              <w:rPr>
                <w:rFonts w:ascii="Times New Roman"/>
                <w:sz w:val="18"/>
              </w:rPr>
              <w:t>-6,955.44</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66,229,734.62</w:t>
            </w:r>
          </w:p>
        </w:tc>
      </w:tr>
    </w:tbl>
    <w:p>
      <w:pPr>
        <w:spacing w:line="240" w:lineRule="auto" w:before="2"/>
        <w:rPr>
          <w:rFonts w:ascii="宋体" w:hAnsi="宋体" w:cs="宋体" w:eastAsia="宋体" w:hint="default"/>
          <w:sz w:val="19"/>
          <w:szCs w:val="19"/>
        </w:rPr>
      </w:pPr>
    </w:p>
    <w:p>
      <w:pPr>
        <w:pStyle w:val="Heading3"/>
        <w:spacing w:line="240" w:lineRule="auto" w:before="35"/>
        <w:ind w:left="134" w:right="7680"/>
        <w:jc w:val="left"/>
        <w:rPr>
          <w:b w:val="0"/>
          <w:bCs w:val="0"/>
        </w:rPr>
      </w:pPr>
      <w:bookmarkStart w:name="（3）设定提存计划列示" w:id="299"/>
      <w:bookmarkEnd w:id="299"/>
      <w:r>
        <w:rPr>
          <w:b w:val="0"/>
          <w:bCs w:val="0"/>
        </w:rPr>
      </w:r>
      <w:r>
        <w:rPr/>
        <w:t>（</w:t>
      </w:r>
      <w:r>
        <w:rPr>
          <w:rFonts w:ascii="Times New Roman" w:hAnsi="Times New Roman" w:cs="Times New Roman" w:eastAsia="Times New Roman" w:hint="default"/>
        </w:rPr>
        <w:t>3</w:t>
      </w:r>
      <w:r>
        <w:rPr/>
        <w:t>）设定提存计划列示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3" w:type="dxa"/>
        <w:tblLayout w:type="fixed"/>
        <w:tblCellMar>
          <w:top w:w="0" w:type="dxa"/>
          <w:left w:w="0" w:type="dxa"/>
          <w:bottom w:w="0" w:type="dxa"/>
          <w:right w:w="0" w:type="dxa"/>
        </w:tblCellMar>
        <w:tblLook w:val="01E0"/>
      </w:tblPr>
      <w:tblGrid>
        <w:gridCol w:w="1362"/>
        <w:gridCol w:w="1399"/>
        <w:gridCol w:w="1385"/>
        <w:gridCol w:w="1385"/>
        <w:gridCol w:w="1384"/>
        <w:gridCol w:w="1385"/>
        <w:gridCol w:w="1384"/>
      </w:tblGrid>
      <w:tr>
        <w:trPr>
          <w:trHeight w:val="391" w:hRule="exact"/>
        </w:trPr>
        <w:tc>
          <w:tcPr>
            <w:tcW w:w="13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5"/>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5"/>
              <w:ind w:left="33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8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5"/>
              <w:ind w:left="326"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85"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83"/>
              <w:ind w:left="326"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84" w:type="dxa"/>
            <w:vMerge w:val="restart"/>
            <w:tcBorders>
              <w:top w:val="single" w:sz="4" w:space="0" w:color="000000"/>
              <w:left w:val="single" w:sz="4" w:space="0" w:color="000000"/>
              <w:right w:val="single" w:sz="4" w:space="0" w:color="000000"/>
            </w:tcBorders>
            <w:shd w:val="clear" w:color="auto" w:fill="D2D2D2"/>
          </w:tcPr>
          <w:p>
            <w:pPr>
              <w:pStyle w:val="TableParagraph"/>
              <w:spacing w:line="200" w:lineRule="exact"/>
              <w:ind w:right="1"/>
              <w:jc w:val="center"/>
              <w:rPr>
                <w:rFonts w:ascii="宋体" w:hAnsi="宋体" w:cs="宋体" w:eastAsia="宋体" w:hint="default"/>
                <w:sz w:val="18"/>
                <w:szCs w:val="18"/>
              </w:rPr>
            </w:pPr>
            <w:r>
              <w:rPr>
                <w:rFonts w:ascii="宋体" w:hAnsi="宋体" w:cs="宋体" w:eastAsia="宋体" w:hint="default"/>
                <w:sz w:val="18"/>
                <w:szCs w:val="18"/>
              </w:rPr>
              <w:t>退出合并范围减</w:t>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sz w:val="18"/>
                <w:szCs w:val="18"/>
              </w:rPr>
              <w:t>少</w:t>
            </w:r>
          </w:p>
        </w:tc>
        <w:tc>
          <w:tcPr>
            <w:tcW w:w="1385"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83"/>
              <w:ind w:left="328" w:right="0"/>
              <w:jc w:val="left"/>
              <w:rPr>
                <w:rFonts w:ascii="宋体" w:hAnsi="宋体" w:cs="宋体" w:eastAsia="宋体" w:hint="default"/>
                <w:sz w:val="18"/>
                <w:szCs w:val="18"/>
              </w:rPr>
            </w:pPr>
            <w:r>
              <w:rPr>
                <w:rFonts w:ascii="宋体" w:hAnsi="宋体" w:cs="宋体" w:eastAsia="宋体" w:hint="default"/>
                <w:sz w:val="18"/>
                <w:szCs w:val="18"/>
              </w:rPr>
              <w:t>汇率变动</w:t>
            </w:r>
          </w:p>
        </w:tc>
        <w:tc>
          <w:tcPr>
            <w:tcW w:w="13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5"/>
              <w:ind w:left="32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21" w:hRule="exact"/>
        </w:trPr>
        <w:tc>
          <w:tcPr>
            <w:tcW w:w="1362" w:type="dxa"/>
            <w:vMerge/>
            <w:tcBorders>
              <w:left w:val="single" w:sz="4" w:space="0" w:color="000000"/>
              <w:bottom w:val="single" w:sz="4" w:space="0" w:color="000000"/>
              <w:right w:val="single" w:sz="4" w:space="0" w:color="000000"/>
            </w:tcBorders>
            <w:shd w:val="clear" w:color="auto" w:fill="D2D2D2"/>
          </w:tcPr>
          <w:p>
            <w:pPr/>
          </w:p>
        </w:tc>
        <w:tc>
          <w:tcPr>
            <w:tcW w:w="1399" w:type="dxa"/>
            <w:vMerge/>
            <w:tcBorders>
              <w:left w:val="single" w:sz="4" w:space="0" w:color="000000"/>
              <w:bottom w:val="single" w:sz="4" w:space="0" w:color="000000"/>
              <w:right w:val="single" w:sz="4" w:space="0" w:color="000000"/>
            </w:tcBorders>
            <w:shd w:val="clear" w:color="auto" w:fill="D2D2D2"/>
          </w:tcPr>
          <w:p>
            <w:pPr/>
          </w:p>
        </w:tc>
        <w:tc>
          <w:tcPr>
            <w:tcW w:w="1385" w:type="dxa"/>
            <w:vMerge/>
            <w:tcBorders>
              <w:left w:val="single" w:sz="4" w:space="0" w:color="000000"/>
              <w:bottom w:val="single" w:sz="4" w:space="0" w:color="000000"/>
              <w:right w:val="single" w:sz="4" w:space="0" w:color="000000"/>
            </w:tcBorders>
            <w:shd w:val="clear" w:color="auto" w:fill="D2D2D2"/>
          </w:tcPr>
          <w:p>
            <w:pPr/>
          </w:p>
        </w:tc>
        <w:tc>
          <w:tcPr>
            <w:tcW w:w="1385" w:type="dxa"/>
            <w:tcBorders>
              <w:top w:val="nil" w:sz="6" w:space="0" w:color="auto"/>
              <w:left w:val="single" w:sz="4" w:space="0" w:color="000000"/>
              <w:bottom w:val="single" w:sz="4" w:space="0" w:color="000000"/>
              <w:right w:val="single" w:sz="4" w:space="0" w:color="000000"/>
            </w:tcBorders>
            <w:shd w:val="clear" w:color="auto" w:fill="D2D2D2"/>
          </w:tcPr>
          <w:p>
            <w:pPr/>
          </w:p>
        </w:tc>
        <w:tc>
          <w:tcPr>
            <w:tcW w:w="1384" w:type="dxa"/>
            <w:vMerge/>
            <w:tcBorders>
              <w:left w:val="single" w:sz="4" w:space="0" w:color="000000"/>
              <w:bottom w:val="single" w:sz="4" w:space="0" w:color="000000"/>
              <w:right w:val="single" w:sz="4" w:space="0" w:color="000000"/>
            </w:tcBorders>
            <w:shd w:val="clear" w:color="auto" w:fill="D2D2D2"/>
          </w:tcPr>
          <w:p>
            <w:pPr/>
          </w:p>
        </w:tc>
        <w:tc>
          <w:tcPr>
            <w:tcW w:w="1385" w:type="dxa"/>
            <w:tcBorders>
              <w:top w:val="nil" w:sz="6" w:space="0" w:color="auto"/>
              <w:left w:val="single" w:sz="4" w:space="0" w:color="000000"/>
              <w:bottom w:val="single" w:sz="4" w:space="0" w:color="000000"/>
              <w:right w:val="single" w:sz="4" w:space="0" w:color="000000"/>
            </w:tcBorders>
            <w:shd w:val="clear" w:color="auto" w:fill="D2D2D2"/>
          </w:tcPr>
          <w:p>
            <w:pPr/>
          </w:p>
        </w:tc>
        <w:tc>
          <w:tcPr>
            <w:tcW w:w="138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、基本养老保险</w:t>
            </w:r>
          </w:p>
        </w:tc>
        <w:tc>
          <w:tcPr>
            <w:tcW w:w="1399" w:type="dxa"/>
            <w:tcBorders>
              <w:top w:val="single" w:sz="35" w:space="0" w:color="D2D2D2"/>
              <w:left w:val="single" w:sz="13" w:space="0" w:color="D2D2D2"/>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2,569,337.51</w:t>
            </w:r>
          </w:p>
        </w:tc>
        <w:tc>
          <w:tcPr>
            <w:tcW w:w="1385" w:type="dxa"/>
            <w:tcBorders>
              <w:top w:val="single" w:sz="35" w:space="0" w:color="D2D2D2"/>
              <w:left w:val="single" w:sz="4" w:space="0" w:color="000000"/>
              <w:bottom w:val="single" w:sz="4" w:space="0" w:color="000000"/>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35,999,353.63</w:t>
            </w:r>
          </w:p>
        </w:tc>
        <w:tc>
          <w:tcPr>
            <w:tcW w:w="1385" w:type="dxa"/>
            <w:tcBorders>
              <w:top w:val="single" w:sz="47" w:space="0" w:color="D2D2D2"/>
              <w:left w:val="single" w:sz="4" w:space="0" w:color="000000"/>
              <w:bottom w:val="single" w:sz="4" w:space="0" w:color="000000"/>
              <w:right w:val="single" w:sz="4" w:space="0" w:color="000000"/>
            </w:tcBorders>
          </w:tcPr>
          <w:p>
            <w:pPr>
              <w:pStyle w:val="TableParagraph"/>
              <w:spacing w:line="240" w:lineRule="auto" w:before="35"/>
              <w:ind w:right="21"/>
              <w:jc w:val="right"/>
              <w:rPr>
                <w:rFonts w:ascii="Times New Roman" w:hAnsi="Times New Roman" w:cs="Times New Roman" w:eastAsia="Times New Roman" w:hint="default"/>
                <w:sz w:val="18"/>
                <w:szCs w:val="18"/>
              </w:rPr>
            </w:pPr>
            <w:r>
              <w:rPr>
                <w:rFonts w:ascii="Times New Roman"/>
                <w:spacing w:val="-1"/>
                <w:sz w:val="18"/>
              </w:rPr>
              <w:t>35,886,195.77</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0"/>
              <w:jc w:val="right"/>
              <w:rPr>
                <w:rFonts w:ascii="Times New Roman" w:hAnsi="Times New Roman" w:cs="Times New Roman" w:eastAsia="Times New Roman" w:hint="default"/>
                <w:sz w:val="18"/>
                <w:szCs w:val="18"/>
              </w:rPr>
            </w:pPr>
            <w:r>
              <w:rPr>
                <w:rFonts w:ascii="Times New Roman"/>
                <w:sz w:val="18"/>
              </w:rPr>
              <w:t>37,186.42</w:t>
            </w:r>
          </w:p>
        </w:tc>
        <w:tc>
          <w:tcPr>
            <w:tcW w:w="1385" w:type="dxa"/>
            <w:tcBorders>
              <w:top w:val="single" w:sz="47" w:space="0" w:color="D2D2D2"/>
              <w:left w:val="single" w:sz="4" w:space="0" w:color="000000"/>
              <w:bottom w:val="single" w:sz="4" w:space="0" w:color="000000"/>
              <w:right w:val="single" w:sz="4" w:space="0" w:color="000000"/>
            </w:tcBorders>
          </w:tcPr>
          <w:p>
            <w:pPr/>
          </w:p>
        </w:tc>
        <w:tc>
          <w:tcPr>
            <w:tcW w:w="1384" w:type="dxa"/>
            <w:tcBorders>
              <w:top w:val="single" w:sz="35" w:space="0" w:color="D2D2D2"/>
              <w:left w:val="single" w:sz="4" w:space="0" w:color="000000"/>
              <w:bottom w:val="single" w:sz="4" w:space="0" w:color="000000"/>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18"/>
                <w:szCs w:val="18"/>
              </w:rPr>
            </w:pPr>
            <w:r>
              <w:rPr>
                <w:rFonts w:ascii="Times New Roman"/>
                <w:spacing w:val="-1"/>
                <w:sz w:val="18"/>
              </w:rPr>
              <w:t>2,645,308.95</w:t>
            </w:r>
          </w:p>
        </w:tc>
      </w:tr>
      <w:tr>
        <w:trPr>
          <w:trHeight w:val="402" w:hRule="exact"/>
        </w:trPr>
        <w:tc>
          <w:tcPr>
            <w:tcW w:w="13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3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100,286.01</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1,389,769.64</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1"/>
              <w:jc w:val="right"/>
              <w:rPr>
                <w:rFonts w:ascii="Times New Roman" w:hAnsi="Times New Roman" w:cs="Times New Roman" w:eastAsia="Times New Roman" w:hint="default"/>
                <w:sz w:val="18"/>
                <w:szCs w:val="18"/>
              </w:rPr>
            </w:pPr>
            <w:r>
              <w:rPr>
                <w:rFonts w:ascii="Times New Roman"/>
                <w:spacing w:val="-1"/>
                <w:sz w:val="18"/>
              </w:rPr>
              <w:t>1,384,994.66</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0"/>
              <w:jc w:val="right"/>
              <w:rPr>
                <w:rFonts w:ascii="Times New Roman" w:hAnsi="Times New Roman" w:cs="Times New Roman" w:eastAsia="Times New Roman" w:hint="default"/>
                <w:sz w:val="18"/>
                <w:szCs w:val="18"/>
              </w:rPr>
            </w:pPr>
            <w:r>
              <w:rPr>
                <w:rFonts w:ascii="Times New Roman"/>
                <w:sz w:val="18"/>
              </w:rPr>
              <w:t>1,565.74</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103,495.25</w:t>
            </w:r>
          </w:p>
        </w:tc>
      </w:tr>
      <w:tr>
        <w:trPr>
          <w:trHeight w:val="402" w:hRule="exact"/>
        </w:trPr>
        <w:tc>
          <w:tcPr>
            <w:tcW w:w="13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2,669,623.52</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37,389,123.27</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1"/>
              <w:jc w:val="right"/>
              <w:rPr>
                <w:rFonts w:ascii="Times New Roman" w:hAnsi="Times New Roman" w:cs="Times New Roman" w:eastAsia="Times New Roman" w:hint="default"/>
                <w:sz w:val="18"/>
                <w:szCs w:val="18"/>
              </w:rPr>
            </w:pPr>
            <w:r>
              <w:rPr>
                <w:rFonts w:ascii="Times New Roman"/>
                <w:spacing w:val="-1"/>
                <w:sz w:val="18"/>
              </w:rPr>
              <w:t>37,271,190.43</w:t>
            </w: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0"/>
              <w:jc w:val="right"/>
              <w:rPr>
                <w:rFonts w:ascii="Times New Roman" w:hAnsi="Times New Roman" w:cs="Times New Roman" w:eastAsia="Times New Roman" w:hint="default"/>
                <w:sz w:val="18"/>
                <w:szCs w:val="18"/>
              </w:rPr>
            </w:pPr>
            <w:r>
              <w:rPr>
                <w:rFonts w:ascii="Times New Roman"/>
                <w:sz w:val="18"/>
              </w:rPr>
              <w:t>38,752.16</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2,748,804.20</w:t>
            </w:r>
          </w:p>
        </w:tc>
      </w:tr>
    </w:tbl>
    <w:p>
      <w:pPr>
        <w:spacing w:line="240" w:lineRule="auto" w:before="2"/>
        <w:rPr>
          <w:rFonts w:ascii="宋体" w:hAnsi="宋体" w:cs="宋体" w:eastAsia="宋体" w:hint="default"/>
          <w:sz w:val="19"/>
          <w:szCs w:val="19"/>
        </w:rPr>
      </w:pPr>
    </w:p>
    <w:p>
      <w:pPr>
        <w:pStyle w:val="Heading3"/>
        <w:spacing w:line="240" w:lineRule="auto" w:before="35"/>
        <w:ind w:left="134" w:right="7680"/>
        <w:jc w:val="left"/>
        <w:rPr>
          <w:b w:val="0"/>
          <w:bCs w:val="0"/>
        </w:rPr>
      </w:pPr>
      <w:bookmarkStart w:name="32、应交税费" w:id="300"/>
      <w:bookmarkEnd w:id="300"/>
      <w:r>
        <w:rPr>
          <w:b w:val="0"/>
          <w:bCs w:val="0"/>
        </w:rPr>
      </w:r>
      <w:r>
        <w:rPr>
          <w:rFonts w:ascii="Times New Roman" w:hAnsi="Times New Roman" w:cs="Times New Roman" w:eastAsia="Times New Roman" w:hint="default"/>
        </w:rPr>
        <w:t>32</w:t>
      </w:r>
      <w:r>
        <w:rPr/>
        <w:t>、应交税费</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69,744,182.46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70,178,976.82</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12,586,012.14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48,672,650.06</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5,786,737.42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5,196,728.04</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1,659,788.91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1,651,081.38</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245,204.93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232,346.22</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986,597.20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988,449.60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43,604.24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44,509.10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59,290.33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27,549.38</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28,411.91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2,771,401.34</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91,139,829.54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129,763,691.94</w:t>
            </w:r>
          </w:p>
        </w:tc>
      </w:tr>
    </w:tbl>
    <w:p>
      <w:pPr>
        <w:pStyle w:val="BodyText"/>
        <w:spacing w:line="240" w:lineRule="auto" w:before="51"/>
        <w:ind w:left="134" w:right="768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left="134" w:right="7680"/>
        <w:jc w:val="left"/>
        <w:rPr>
          <w:b w:val="0"/>
          <w:bCs w:val="0"/>
        </w:rPr>
      </w:pPr>
      <w:bookmarkStart w:name="33、其他应付款" w:id="301"/>
      <w:bookmarkEnd w:id="301"/>
      <w:r>
        <w:rPr>
          <w:b w:val="0"/>
          <w:bCs w:val="0"/>
        </w:rPr>
      </w:r>
      <w:r>
        <w:rPr>
          <w:rFonts w:ascii="Times New Roman" w:hAnsi="Times New Roman" w:cs="Times New Roman" w:eastAsia="Times New Roman" w:hint="default"/>
        </w:rPr>
        <w:t>33</w:t>
      </w:r>
      <w:r>
        <w:rPr/>
        <w:t>、其他应付款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1,825,152.09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20,662,667.36</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1000" w:right="0"/>
        </w:sectPr>
      </w:pPr>
    </w:p>
    <w:p>
      <w:pPr>
        <w:spacing w:line="240" w:lineRule="auto" w:before="6"/>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14" w:hRule="exact"/>
        </w:trPr>
        <w:tc>
          <w:tcPr>
            <w:tcW w:w="3188"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19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Times New Roman" w:hAnsi="Times New Roman" w:cs="Times New Roman" w:eastAsia="Times New Roman" w:hint="default"/>
                <w:sz w:val="18"/>
                <w:szCs w:val="18"/>
              </w:rPr>
            </w:pPr>
            <w:r>
              <w:rPr>
                <w:rFonts w:ascii="Times New Roman"/>
                <w:spacing w:val="-1"/>
                <w:sz w:val="18"/>
              </w:rPr>
              <w:t>49,165,937.46</w:t>
            </w:r>
          </w:p>
        </w:tc>
        <w:tc>
          <w:tcPr>
            <w:tcW w:w="318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0"/>
              <w:jc w:val="right"/>
              <w:rPr>
                <w:rFonts w:ascii="Times New Roman" w:hAnsi="Times New Roman" w:cs="Times New Roman" w:eastAsia="Times New Roman" w:hint="default"/>
                <w:sz w:val="18"/>
                <w:szCs w:val="18"/>
              </w:rPr>
            </w:pPr>
            <w:r>
              <w:rPr>
                <w:rFonts w:ascii="Times New Roman"/>
                <w:spacing w:val="-1"/>
                <w:sz w:val="18"/>
              </w:rPr>
              <w:t>107,579,431.40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50,991,089.55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128,242,098.76</w:t>
            </w:r>
          </w:p>
        </w:tc>
      </w:tr>
    </w:tbl>
    <w:p>
      <w:pPr>
        <w:spacing w:line="240" w:lineRule="auto" w:before="3"/>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1）应付利息" w:id="302"/>
      <w:bookmarkEnd w:id="302"/>
      <w:r>
        <w:rPr>
          <w:b w:val="0"/>
          <w:bCs w:val="0"/>
        </w:rPr>
      </w:r>
      <w:r>
        <w:rPr/>
        <w:t>（</w:t>
      </w:r>
      <w:r>
        <w:rPr>
          <w:rFonts w:ascii="Times New Roman" w:hAnsi="Times New Roman" w:cs="Times New Roman" w:eastAsia="Times New Roman" w:hint="default"/>
        </w:rPr>
        <w:t>1</w:t>
      </w:r>
      <w:r>
        <w:rPr/>
        <w:t>）应付利息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576,193.76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168,139.58</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超短期融资券利息</w:t>
            </w:r>
          </w:p>
        </w:tc>
        <w:tc>
          <w:tcPr>
            <w:tcW w:w="3206"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19,402,777.78</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长期借款利息</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157,208.33</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中期票据应付利息</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1,091,750.00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1,091,750.00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1,825,152.09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20,662,667.36</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p>
      <w:pPr>
        <w:pStyle w:val="Heading3"/>
        <w:spacing w:line="240" w:lineRule="auto" w:before="35"/>
        <w:ind w:left="114" w:right="1276"/>
        <w:jc w:val="left"/>
        <w:rPr>
          <w:b w:val="0"/>
          <w:bCs w:val="0"/>
        </w:rPr>
      </w:pPr>
      <w:bookmarkStart w:name="（2）其他应付款" w:id="303"/>
      <w:bookmarkEnd w:id="303"/>
      <w:r>
        <w:rPr>
          <w:b w:val="0"/>
          <w:bCs w:val="0"/>
        </w:rPr>
      </w:r>
      <w:r>
        <w:rPr/>
        <w:t>（</w:t>
      </w:r>
      <w:r>
        <w:rPr>
          <w:rFonts w:ascii="Times New Roman" w:hAnsi="Times New Roman" w:cs="Times New Roman" w:eastAsia="Times New Roman" w:hint="default"/>
        </w:rPr>
        <w:t>2</w:t>
      </w:r>
      <w:r>
        <w:rPr/>
        <w:t>）其他应付款</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114" w:right="1276"/>
        <w:jc w:val="left"/>
      </w:pPr>
      <w:r>
        <w:rPr>
          <w:rFonts w:ascii="Times New Roman" w:hAnsi="Times New Roman" w:cs="Times New Roman" w:eastAsia="Times New Roman" w:hint="default"/>
        </w:rPr>
        <w:t>1)</w:t>
      </w:r>
      <w:r>
        <w:rPr/>
        <w:t>按款项性质列示其他应付款</w:t>
      </w:r>
    </w:p>
    <w:p>
      <w:pPr>
        <w:pStyle w:val="BodyText"/>
        <w:spacing w:line="240" w:lineRule="auto" w:before="102"/>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应付股权收购款项</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8,191,017.48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56,139,001.62</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其他非大额、非特殊往来款项</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18,594,096.49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24,351,647.03</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11,440,630.03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11,297,768.00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社保、公积金</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4,107,642.60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2,958,610.93</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退个人所得税手续费</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6,832,550.86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6,832,403.82</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未付北京帝派科技有限公司投资款</w:t>
            </w:r>
          </w:p>
        </w:tc>
        <w:tc>
          <w:tcPr>
            <w:tcW w:w="3206"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6,000,000.00</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49,165,937.46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107,579,431.40</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34、持有待售负债" w:id="304"/>
      <w:bookmarkEnd w:id="304"/>
      <w:r>
        <w:rPr>
          <w:b w:val="0"/>
          <w:bCs w:val="0"/>
        </w:rPr>
      </w:r>
      <w:r>
        <w:rPr>
          <w:rFonts w:ascii="Times New Roman" w:hAnsi="Times New Roman" w:cs="Times New Roman" w:eastAsia="Times New Roman" w:hint="default"/>
        </w:rPr>
        <w:t>34</w:t>
      </w:r>
      <w:r>
        <w:rPr/>
        <w:t>、持有待售负债</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474" w:right="1276"/>
        <w:jc w:val="left"/>
      </w:pPr>
      <w:r>
        <w:rPr/>
        <w:t>无。</w:t>
      </w:r>
    </w:p>
    <w:p>
      <w:pPr>
        <w:spacing w:line="240" w:lineRule="auto" w:before="10"/>
        <w:rPr>
          <w:rFonts w:ascii="宋体" w:hAnsi="宋体" w:cs="宋体" w:eastAsia="宋体" w:hint="default"/>
          <w:sz w:val="26"/>
          <w:szCs w:val="26"/>
        </w:rPr>
      </w:pPr>
    </w:p>
    <w:p>
      <w:pPr>
        <w:pStyle w:val="Heading3"/>
        <w:spacing w:line="240" w:lineRule="auto"/>
        <w:ind w:left="114" w:right="1276"/>
        <w:jc w:val="left"/>
        <w:rPr>
          <w:b w:val="0"/>
          <w:bCs w:val="0"/>
        </w:rPr>
      </w:pPr>
      <w:bookmarkStart w:name="35、一年内到期的非流动负债" w:id="305"/>
      <w:bookmarkEnd w:id="305"/>
      <w:r>
        <w:rPr>
          <w:b w:val="0"/>
          <w:bCs w:val="0"/>
        </w:rPr>
      </w:r>
      <w:r>
        <w:rPr>
          <w:rFonts w:ascii="Times New Roman" w:hAnsi="Times New Roman" w:cs="Times New Roman" w:eastAsia="Times New Roman" w:hint="default"/>
        </w:rPr>
        <w:t>35</w:t>
      </w:r>
      <w:r>
        <w:rPr/>
        <w:t>、一年内到期的非流动负债</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一年内到期的长期借款（抵押借款）</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25,000,000.00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一年内到期的应付债券</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299,063,094.45</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管理费收入</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89,165.42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1,160,319.52</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1020" w:right="0"/>
        </w:sectPr>
      </w:pPr>
    </w:p>
    <w:p>
      <w:pPr>
        <w:spacing w:line="240" w:lineRule="auto" w:before="6"/>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15" w:hRule="exact"/>
        </w:trPr>
        <w:tc>
          <w:tcPr>
            <w:tcW w:w="3188"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left="2035" w:right="0"/>
              <w:jc w:val="left"/>
              <w:rPr>
                <w:rFonts w:ascii="Times New Roman" w:hAnsi="Times New Roman" w:cs="Times New Roman" w:eastAsia="Times New Roman" w:hint="default"/>
                <w:sz w:val="18"/>
                <w:szCs w:val="18"/>
              </w:rPr>
            </w:pPr>
            <w:r>
              <w:rPr>
                <w:rFonts w:ascii="Times New Roman"/>
                <w:sz w:val="18"/>
              </w:rPr>
              <w:t>324,152,259.87</w:t>
            </w:r>
          </w:p>
        </w:tc>
        <w:tc>
          <w:tcPr>
            <w:tcW w:w="318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0"/>
              <w:jc w:val="right"/>
              <w:rPr>
                <w:rFonts w:ascii="Times New Roman" w:hAnsi="Times New Roman" w:cs="Times New Roman" w:eastAsia="Times New Roman" w:hint="default"/>
                <w:sz w:val="18"/>
                <w:szCs w:val="18"/>
              </w:rPr>
            </w:pPr>
            <w:r>
              <w:rPr>
                <w:rFonts w:ascii="Times New Roman"/>
                <w:spacing w:val="-1"/>
                <w:sz w:val="18"/>
              </w:rPr>
              <w:t>1,160,319.52</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36、其他流动负债" w:id="306"/>
      <w:bookmarkEnd w:id="306"/>
      <w:r>
        <w:rPr>
          <w:b w:val="0"/>
          <w:bCs w:val="0"/>
        </w:rPr>
      </w:r>
      <w:r>
        <w:rPr>
          <w:rFonts w:ascii="Times New Roman" w:hAnsi="Times New Roman" w:cs="Times New Roman" w:eastAsia="Times New Roman" w:hint="default"/>
        </w:rPr>
        <w:t>36</w:t>
      </w:r>
      <w:r>
        <w:rPr/>
        <w:t>、其他流动负债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超短期融资券</w:t>
            </w:r>
          </w:p>
        </w:tc>
        <w:tc>
          <w:tcPr>
            <w:tcW w:w="3206"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500,000,000.00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500,000,000.00</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37、长期借款" w:id="307"/>
      <w:bookmarkEnd w:id="307"/>
      <w:r>
        <w:rPr>
          <w:b w:val="0"/>
          <w:bCs w:val="0"/>
        </w:rPr>
      </w:r>
      <w:r>
        <w:rPr>
          <w:rFonts w:ascii="Times New Roman" w:hAnsi="Times New Roman" w:cs="Times New Roman" w:eastAsia="Times New Roman" w:hint="default"/>
        </w:rPr>
        <w:t>37</w:t>
      </w:r>
      <w:r>
        <w:rPr/>
        <w:t>、长期借款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4" w:right="1276"/>
        <w:jc w:val="left"/>
        <w:rPr>
          <w:b w:val="0"/>
          <w:bCs w:val="0"/>
        </w:rPr>
      </w:pPr>
      <w:bookmarkStart w:name="（1）长期借款分类" w:id="308"/>
      <w:bookmarkEnd w:id="308"/>
      <w:r>
        <w:rPr>
          <w:b w:val="0"/>
          <w:bCs w:val="0"/>
        </w:rPr>
      </w:r>
      <w:r>
        <w:rPr/>
        <w:t>（</w:t>
      </w:r>
      <w:r>
        <w:rPr>
          <w:rFonts w:ascii="Times New Roman" w:hAnsi="Times New Roman" w:cs="Times New Roman" w:eastAsia="Times New Roman" w:hint="default"/>
        </w:rPr>
        <w:t>1</w:t>
      </w:r>
      <w:r>
        <w:rPr/>
        <w:t>）长期借款分类</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2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抵押借款</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62,500,000.00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62,500,000.00</w:t>
            </w:r>
          </w:p>
        </w:tc>
        <w:tc>
          <w:tcPr>
            <w:tcW w:w="318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38、应付债券" w:id="309"/>
      <w:bookmarkEnd w:id="309"/>
      <w:r>
        <w:rPr>
          <w:b w:val="0"/>
          <w:bCs w:val="0"/>
        </w:rPr>
      </w:r>
      <w:r>
        <w:rPr>
          <w:rFonts w:ascii="Times New Roman" w:hAnsi="Times New Roman" w:cs="Times New Roman" w:eastAsia="Times New Roman" w:hint="default"/>
        </w:rPr>
        <w:t>38</w:t>
      </w:r>
      <w:r>
        <w:rPr/>
        <w:t>、应付债券</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14" w:right="1276"/>
        <w:jc w:val="left"/>
        <w:rPr>
          <w:b w:val="0"/>
          <w:bCs w:val="0"/>
        </w:rPr>
      </w:pPr>
      <w:bookmarkStart w:name="（1）应付债券" w:id="310"/>
      <w:bookmarkEnd w:id="310"/>
      <w:r>
        <w:rPr>
          <w:b w:val="0"/>
          <w:bCs w:val="0"/>
        </w:rPr>
      </w:r>
      <w:r>
        <w:rPr/>
        <w:t>（</w:t>
      </w:r>
      <w:r>
        <w:rPr>
          <w:rFonts w:ascii="Times New Roman" w:hAnsi="Times New Roman" w:cs="Times New Roman" w:eastAsia="Times New Roman" w:hint="default"/>
        </w:rPr>
        <w:t>1</w:t>
      </w:r>
      <w:r>
        <w:rPr/>
        <w:t>）应付债券</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中期票据</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298,201,572.72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298,201,572.72</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2）应付债券的增减变动（不包括划分为金融负债的优先股、永续债等其他金融工具）" w:id="311"/>
      <w:bookmarkEnd w:id="311"/>
      <w:r>
        <w:rPr>
          <w:b w:val="0"/>
          <w:bCs w:val="0"/>
        </w:rPr>
      </w:r>
      <w:r>
        <w:rPr/>
        <w:t>（</w:t>
      </w:r>
      <w:r>
        <w:rPr>
          <w:rFonts w:ascii="Times New Roman" w:hAnsi="Times New Roman" w:cs="Times New Roman" w:eastAsia="Times New Roman" w:hint="default"/>
        </w:rPr>
        <w:t>2</w:t>
      </w:r>
      <w:r>
        <w:rPr/>
        <w:t>）应付债券的增减变动（不包括划分为金融负债的优先股、永续债等其他金融工具）</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776"/>
        <w:gridCol w:w="809"/>
        <w:gridCol w:w="532"/>
        <w:gridCol w:w="566"/>
        <w:gridCol w:w="1276"/>
        <w:gridCol w:w="1276"/>
        <w:gridCol w:w="425"/>
        <w:gridCol w:w="714"/>
        <w:gridCol w:w="988"/>
        <w:gridCol w:w="426"/>
        <w:gridCol w:w="1274"/>
        <w:gridCol w:w="504"/>
      </w:tblGrid>
      <w:tr>
        <w:trPr>
          <w:trHeight w:val="162" w:hRule="exact"/>
        </w:trPr>
        <w:tc>
          <w:tcPr>
            <w:tcW w:w="776" w:type="dxa"/>
            <w:vMerge w:val="restart"/>
            <w:tcBorders>
              <w:top w:val="single" w:sz="4" w:space="0" w:color="000000"/>
              <w:left w:val="single" w:sz="4" w:space="0" w:color="000000"/>
              <w:right w:val="single" w:sz="4" w:space="0" w:color="000000"/>
            </w:tcBorders>
            <w:shd w:val="clear" w:color="auto" w:fill="D2D2D2"/>
          </w:tcPr>
          <w:p>
            <w:pPr/>
          </w:p>
        </w:tc>
        <w:tc>
          <w:tcPr>
            <w:tcW w:w="809" w:type="dxa"/>
            <w:vMerge w:val="restart"/>
            <w:tcBorders>
              <w:top w:val="single" w:sz="4" w:space="0" w:color="000000"/>
              <w:left w:val="single" w:sz="4" w:space="0" w:color="000000"/>
              <w:right w:val="single" w:sz="4" w:space="0" w:color="000000"/>
            </w:tcBorders>
            <w:shd w:val="clear" w:color="auto" w:fill="D2D2D2"/>
          </w:tcPr>
          <w:p>
            <w:pPr/>
          </w:p>
        </w:tc>
        <w:tc>
          <w:tcPr>
            <w:tcW w:w="532" w:type="dxa"/>
            <w:tcBorders>
              <w:top w:val="single" w:sz="4" w:space="0" w:color="000000"/>
              <w:left w:val="single" w:sz="4" w:space="0" w:color="000000"/>
              <w:bottom w:val="nil" w:sz="6" w:space="0" w:color="auto"/>
              <w:right w:val="single" w:sz="4" w:space="0" w:color="000000"/>
            </w:tcBorders>
            <w:shd w:val="clear" w:color="auto" w:fill="D2D2D2"/>
          </w:tcPr>
          <w:p>
            <w:pPr/>
          </w:p>
        </w:tc>
        <w:tc>
          <w:tcPr>
            <w:tcW w:w="566"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6" w:type="dxa"/>
            <w:vMerge w:val="restart"/>
            <w:tcBorders>
              <w:top w:val="single" w:sz="4" w:space="0" w:color="000000"/>
              <w:left w:val="single" w:sz="4" w:space="0" w:color="000000"/>
              <w:right w:val="single" w:sz="4" w:space="0" w:color="000000"/>
            </w:tcBorders>
            <w:shd w:val="clear" w:color="auto" w:fill="D2D2D2"/>
          </w:tcPr>
          <w:p>
            <w:pPr/>
          </w:p>
        </w:tc>
        <w:tc>
          <w:tcPr>
            <w:tcW w:w="1276" w:type="dxa"/>
            <w:vMerge w:val="restart"/>
            <w:tcBorders>
              <w:top w:val="single" w:sz="4" w:space="0" w:color="000000"/>
              <w:left w:val="single" w:sz="4" w:space="0" w:color="000000"/>
              <w:right w:val="single" w:sz="4" w:space="0" w:color="000000"/>
            </w:tcBorders>
            <w:shd w:val="clear" w:color="auto" w:fill="D2D2D2"/>
          </w:tcPr>
          <w:p>
            <w:pPr/>
          </w:p>
        </w:tc>
        <w:tc>
          <w:tcPr>
            <w:tcW w:w="425" w:type="dxa"/>
            <w:tcBorders>
              <w:top w:val="single" w:sz="4" w:space="0" w:color="000000"/>
              <w:left w:val="single" w:sz="4" w:space="0" w:color="000000"/>
              <w:bottom w:val="nil" w:sz="6" w:space="0" w:color="auto"/>
              <w:right w:val="single" w:sz="4" w:space="0" w:color="000000"/>
            </w:tcBorders>
            <w:shd w:val="clear" w:color="auto" w:fill="D2D2D2"/>
          </w:tcPr>
          <w:p>
            <w:pPr/>
          </w:p>
        </w:tc>
        <w:tc>
          <w:tcPr>
            <w:tcW w:w="71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81" w:right="80"/>
              <w:jc w:val="center"/>
              <w:rPr>
                <w:rFonts w:ascii="宋体" w:hAnsi="宋体" w:cs="宋体" w:eastAsia="宋体" w:hint="default"/>
                <w:sz w:val="18"/>
                <w:szCs w:val="18"/>
              </w:rPr>
            </w:pPr>
            <w:r>
              <w:rPr>
                <w:rFonts w:ascii="宋体" w:hAnsi="宋体" w:cs="宋体" w:eastAsia="宋体" w:hint="default"/>
                <w:sz w:val="18"/>
                <w:szCs w:val="18"/>
              </w:rPr>
              <w:t>按面值 计提利 息</w:t>
            </w:r>
          </w:p>
        </w:tc>
        <w:tc>
          <w:tcPr>
            <w:tcW w:w="988" w:type="dxa"/>
            <w:vMerge w:val="restart"/>
            <w:tcBorders>
              <w:top w:val="single" w:sz="4" w:space="0" w:color="000000"/>
              <w:left w:val="single" w:sz="4" w:space="0" w:color="000000"/>
              <w:right w:val="single" w:sz="4" w:space="0" w:color="000000"/>
            </w:tcBorders>
            <w:shd w:val="clear" w:color="auto" w:fill="D2D2D2"/>
          </w:tcPr>
          <w:p>
            <w:pPr/>
          </w:p>
        </w:tc>
        <w:tc>
          <w:tcPr>
            <w:tcW w:w="426"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92" w:right="90"/>
              <w:jc w:val="center"/>
              <w:rPr>
                <w:rFonts w:ascii="宋体" w:hAnsi="宋体" w:cs="宋体" w:eastAsia="宋体" w:hint="default"/>
                <w:sz w:val="18"/>
                <w:szCs w:val="18"/>
              </w:rPr>
            </w:pPr>
            <w:r>
              <w:rPr>
                <w:rFonts w:ascii="宋体" w:hAnsi="宋体" w:cs="宋体" w:eastAsia="宋体" w:hint="default"/>
                <w:sz w:val="18"/>
                <w:szCs w:val="18"/>
              </w:rPr>
              <w:t>转入一年内到 期的非流动负 债</w:t>
            </w:r>
          </w:p>
        </w:tc>
        <w:tc>
          <w:tcPr>
            <w:tcW w:w="50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6" w:hRule="exact"/>
        </w:trPr>
        <w:tc>
          <w:tcPr>
            <w:tcW w:w="776" w:type="dxa"/>
            <w:vMerge/>
            <w:tcBorders>
              <w:left w:val="single" w:sz="4" w:space="0" w:color="000000"/>
              <w:bottom w:val="nil" w:sz="6" w:space="0" w:color="auto"/>
              <w:right w:val="single" w:sz="4" w:space="0" w:color="000000"/>
            </w:tcBorders>
            <w:shd w:val="clear" w:color="auto" w:fill="D2D2D2"/>
          </w:tcPr>
          <w:p>
            <w:pPr/>
          </w:p>
        </w:tc>
        <w:tc>
          <w:tcPr>
            <w:tcW w:w="809" w:type="dxa"/>
            <w:vMerge/>
            <w:tcBorders>
              <w:left w:val="single" w:sz="4" w:space="0" w:color="000000"/>
              <w:bottom w:val="nil" w:sz="6" w:space="0" w:color="auto"/>
              <w:right w:val="single" w:sz="4" w:space="0" w:color="000000"/>
            </w:tcBorders>
            <w:shd w:val="clear" w:color="auto" w:fill="D2D2D2"/>
          </w:tcPr>
          <w:p>
            <w:pPr/>
          </w:p>
        </w:tc>
        <w:tc>
          <w:tcPr>
            <w:tcW w:w="532"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80" w:right="79"/>
              <w:jc w:val="left"/>
              <w:rPr>
                <w:rFonts w:ascii="宋体" w:hAnsi="宋体" w:cs="宋体" w:eastAsia="宋体" w:hint="default"/>
                <w:sz w:val="18"/>
                <w:szCs w:val="18"/>
              </w:rPr>
            </w:pPr>
            <w:r>
              <w:rPr>
                <w:rFonts w:ascii="宋体" w:hAnsi="宋体" w:cs="宋体" w:eastAsia="宋体" w:hint="default"/>
                <w:sz w:val="18"/>
                <w:szCs w:val="18"/>
              </w:rPr>
              <w:t>发行 日期</w:t>
            </w:r>
          </w:p>
        </w:tc>
        <w:tc>
          <w:tcPr>
            <w:tcW w:w="56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98" w:right="96"/>
              <w:jc w:val="left"/>
              <w:rPr>
                <w:rFonts w:ascii="宋体" w:hAnsi="宋体" w:cs="宋体" w:eastAsia="宋体" w:hint="default"/>
                <w:sz w:val="18"/>
                <w:szCs w:val="18"/>
              </w:rPr>
            </w:pPr>
            <w:r>
              <w:rPr>
                <w:rFonts w:ascii="宋体" w:hAnsi="宋体" w:cs="宋体" w:eastAsia="宋体" w:hint="default"/>
                <w:sz w:val="18"/>
                <w:szCs w:val="18"/>
              </w:rPr>
              <w:t>债券 期限</w:t>
            </w:r>
          </w:p>
        </w:tc>
        <w:tc>
          <w:tcPr>
            <w:tcW w:w="1276" w:type="dxa"/>
            <w:vMerge/>
            <w:tcBorders>
              <w:left w:val="single" w:sz="4" w:space="0" w:color="000000"/>
              <w:bottom w:val="nil" w:sz="6" w:space="0" w:color="auto"/>
              <w:right w:val="single" w:sz="4" w:space="0" w:color="000000"/>
            </w:tcBorders>
            <w:shd w:val="clear" w:color="auto" w:fill="D2D2D2"/>
          </w:tcPr>
          <w:p>
            <w:pPr/>
          </w:p>
        </w:tc>
        <w:tc>
          <w:tcPr>
            <w:tcW w:w="1276" w:type="dxa"/>
            <w:vMerge/>
            <w:tcBorders>
              <w:left w:val="single" w:sz="4" w:space="0" w:color="000000"/>
              <w:bottom w:val="nil" w:sz="6" w:space="0" w:color="auto"/>
              <w:right w:val="single" w:sz="4" w:space="0" w:color="000000"/>
            </w:tcBorders>
            <w:shd w:val="clear" w:color="auto" w:fill="D2D2D2"/>
          </w:tcPr>
          <w:p>
            <w:pPr/>
          </w:p>
        </w:tc>
        <w:tc>
          <w:tcPr>
            <w:tcW w:w="42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6" w:right="26"/>
              <w:jc w:val="left"/>
              <w:rPr>
                <w:rFonts w:ascii="宋体" w:hAnsi="宋体" w:cs="宋体" w:eastAsia="宋体" w:hint="default"/>
                <w:sz w:val="18"/>
                <w:szCs w:val="18"/>
              </w:rPr>
            </w:pPr>
            <w:r>
              <w:rPr>
                <w:rFonts w:ascii="宋体" w:hAnsi="宋体" w:cs="宋体" w:eastAsia="宋体" w:hint="default"/>
                <w:sz w:val="18"/>
                <w:szCs w:val="18"/>
              </w:rPr>
              <w:t>本期 发行</w:t>
            </w:r>
          </w:p>
        </w:tc>
        <w:tc>
          <w:tcPr>
            <w:tcW w:w="714" w:type="dxa"/>
            <w:vMerge/>
            <w:tcBorders>
              <w:left w:val="single" w:sz="4" w:space="0" w:color="000000"/>
              <w:right w:val="single" w:sz="4" w:space="0" w:color="000000"/>
            </w:tcBorders>
            <w:shd w:val="clear" w:color="auto" w:fill="D2D2D2"/>
          </w:tcPr>
          <w:p>
            <w:pPr/>
          </w:p>
        </w:tc>
        <w:tc>
          <w:tcPr>
            <w:tcW w:w="988" w:type="dxa"/>
            <w:vMerge/>
            <w:tcBorders>
              <w:left w:val="single" w:sz="4" w:space="0" w:color="000000"/>
              <w:bottom w:val="nil" w:sz="6" w:space="0" w:color="auto"/>
              <w:right w:val="single" w:sz="4" w:space="0" w:color="000000"/>
            </w:tcBorders>
            <w:shd w:val="clear" w:color="auto" w:fill="D2D2D2"/>
          </w:tcPr>
          <w:p>
            <w:pPr/>
          </w:p>
        </w:tc>
        <w:tc>
          <w:tcPr>
            <w:tcW w:w="42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7" w:right="26"/>
              <w:jc w:val="left"/>
              <w:rPr>
                <w:rFonts w:ascii="宋体" w:hAnsi="宋体" w:cs="宋体" w:eastAsia="宋体" w:hint="default"/>
                <w:sz w:val="18"/>
                <w:szCs w:val="18"/>
              </w:rPr>
            </w:pPr>
            <w:r>
              <w:rPr>
                <w:rFonts w:ascii="宋体" w:hAnsi="宋体" w:cs="宋体" w:eastAsia="宋体" w:hint="default"/>
                <w:sz w:val="18"/>
                <w:szCs w:val="18"/>
              </w:rPr>
              <w:t>本期 偿还</w:t>
            </w:r>
          </w:p>
        </w:tc>
        <w:tc>
          <w:tcPr>
            <w:tcW w:w="1274" w:type="dxa"/>
            <w:vMerge/>
            <w:tcBorders>
              <w:left w:val="single" w:sz="4" w:space="0" w:color="000000"/>
              <w:right w:val="single" w:sz="4" w:space="0" w:color="000000"/>
            </w:tcBorders>
            <w:shd w:val="clear" w:color="auto" w:fill="D2D2D2"/>
          </w:tcPr>
          <w:p>
            <w:pPr/>
          </w:p>
        </w:tc>
        <w:tc>
          <w:tcPr>
            <w:tcW w:w="50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66" w:right="66"/>
              <w:jc w:val="left"/>
              <w:rPr>
                <w:rFonts w:ascii="宋体" w:hAnsi="宋体" w:cs="宋体" w:eastAsia="宋体" w:hint="default"/>
                <w:sz w:val="18"/>
                <w:szCs w:val="18"/>
              </w:rPr>
            </w:pPr>
            <w:r>
              <w:rPr>
                <w:rFonts w:ascii="宋体" w:hAnsi="宋体" w:cs="宋体" w:eastAsia="宋体" w:hint="default"/>
                <w:sz w:val="18"/>
                <w:szCs w:val="18"/>
              </w:rPr>
              <w:t>期末 余额</w:t>
            </w:r>
          </w:p>
        </w:tc>
      </w:tr>
      <w:tr>
        <w:trPr>
          <w:trHeight w:val="391" w:hRule="exact"/>
        </w:trPr>
        <w:tc>
          <w:tcPr>
            <w:tcW w:w="77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债券名称</w:t>
            </w:r>
          </w:p>
        </w:tc>
        <w:tc>
          <w:tcPr>
            <w:tcW w:w="80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4"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532" w:type="dxa"/>
            <w:vMerge/>
            <w:tcBorders>
              <w:left w:val="single" w:sz="4" w:space="0" w:color="000000"/>
              <w:right w:val="single" w:sz="4" w:space="0" w:color="000000"/>
            </w:tcBorders>
            <w:shd w:val="clear" w:color="auto" w:fill="D2D2D2"/>
          </w:tcPr>
          <w:p>
            <w:pPr/>
          </w:p>
        </w:tc>
        <w:tc>
          <w:tcPr>
            <w:tcW w:w="566" w:type="dxa"/>
            <w:vMerge/>
            <w:tcBorders>
              <w:left w:val="single" w:sz="4" w:space="0" w:color="000000"/>
              <w:right w:val="single" w:sz="4" w:space="0" w:color="000000"/>
            </w:tcBorders>
            <w:shd w:val="clear" w:color="auto" w:fill="D2D2D2"/>
          </w:tcPr>
          <w:p>
            <w:pPr/>
          </w:p>
        </w:tc>
        <w:tc>
          <w:tcPr>
            <w:tcW w:w="127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发行金额</w:t>
            </w:r>
          </w:p>
        </w:tc>
        <w:tc>
          <w:tcPr>
            <w:tcW w:w="127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425" w:type="dxa"/>
            <w:vMerge/>
            <w:tcBorders>
              <w:left w:val="single" w:sz="4" w:space="0" w:color="000000"/>
              <w:right w:val="single" w:sz="4" w:space="0" w:color="000000"/>
            </w:tcBorders>
            <w:shd w:val="clear" w:color="auto" w:fill="D2D2D2"/>
          </w:tcPr>
          <w:p>
            <w:pPr/>
          </w:p>
        </w:tc>
        <w:tc>
          <w:tcPr>
            <w:tcW w:w="714" w:type="dxa"/>
            <w:vMerge/>
            <w:tcBorders>
              <w:left w:val="single" w:sz="4" w:space="0" w:color="000000"/>
              <w:right w:val="single" w:sz="4" w:space="0" w:color="000000"/>
            </w:tcBorders>
            <w:shd w:val="clear" w:color="auto" w:fill="D2D2D2"/>
          </w:tcPr>
          <w:p>
            <w:pPr/>
          </w:p>
        </w:tc>
        <w:tc>
          <w:tcPr>
            <w:tcW w:w="98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39"/>
              <w:jc w:val="right"/>
              <w:rPr>
                <w:rFonts w:ascii="宋体" w:hAnsi="宋体" w:cs="宋体" w:eastAsia="宋体" w:hint="default"/>
                <w:sz w:val="18"/>
                <w:szCs w:val="18"/>
              </w:rPr>
            </w:pPr>
            <w:r>
              <w:rPr>
                <w:rFonts w:ascii="宋体" w:hAnsi="宋体" w:cs="宋体" w:eastAsia="宋体" w:hint="default"/>
                <w:sz w:val="18"/>
                <w:szCs w:val="18"/>
              </w:rPr>
              <w:t>溢折价摊销</w:t>
            </w:r>
          </w:p>
        </w:tc>
        <w:tc>
          <w:tcPr>
            <w:tcW w:w="426" w:type="dxa"/>
            <w:vMerge/>
            <w:tcBorders>
              <w:left w:val="single" w:sz="4" w:space="0" w:color="000000"/>
              <w:right w:val="single" w:sz="4" w:space="0" w:color="000000"/>
            </w:tcBorders>
            <w:shd w:val="clear" w:color="auto" w:fill="D2D2D2"/>
          </w:tcPr>
          <w:p>
            <w:pPr/>
          </w:p>
        </w:tc>
        <w:tc>
          <w:tcPr>
            <w:tcW w:w="1274" w:type="dxa"/>
            <w:vMerge/>
            <w:tcBorders>
              <w:left w:val="single" w:sz="4" w:space="0" w:color="000000"/>
              <w:right w:val="single" w:sz="4" w:space="0" w:color="000000"/>
            </w:tcBorders>
            <w:shd w:val="clear" w:color="auto" w:fill="D2D2D2"/>
          </w:tcPr>
          <w:p>
            <w:pPr/>
          </w:p>
        </w:tc>
        <w:tc>
          <w:tcPr>
            <w:tcW w:w="504" w:type="dxa"/>
            <w:vMerge/>
            <w:tcBorders>
              <w:left w:val="single" w:sz="4" w:space="0" w:color="000000"/>
              <w:right w:val="single" w:sz="4" w:space="0" w:color="000000"/>
            </w:tcBorders>
            <w:shd w:val="clear" w:color="auto" w:fill="D2D2D2"/>
          </w:tcPr>
          <w:p>
            <w:pPr/>
          </w:p>
        </w:tc>
      </w:tr>
      <w:tr>
        <w:trPr>
          <w:trHeight w:val="156" w:hRule="exact"/>
        </w:trPr>
        <w:tc>
          <w:tcPr>
            <w:tcW w:w="776" w:type="dxa"/>
            <w:vMerge w:val="restart"/>
            <w:tcBorders>
              <w:top w:val="nil" w:sz="6" w:space="0" w:color="auto"/>
              <w:left w:val="single" w:sz="4" w:space="0" w:color="000000"/>
              <w:right w:val="single" w:sz="4" w:space="0" w:color="000000"/>
            </w:tcBorders>
            <w:shd w:val="clear" w:color="auto" w:fill="D2D2D2"/>
          </w:tcPr>
          <w:p>
            <w:pPr/>
          </w:p>
        </w:tc>
        <w:tc>
          <w:tcPr>
            <w:tcW w:w="809" w:type="dxa"/>
            <w:vMerge w:val="restart"/>
            <w:tcBorders>
              <w:top w:val="nil" w:sz="6" w:space="0" w:color="auto"/>
              <w:left w:val="single" w:sz="4" w:space="0" w:color="000000"/>
              <w:right w:val="single" w:sz="4" w:space="0" w:color="000000"/>
            </w:tcBorders>
            <w:shd w:val="clear" w:color="auto" w:fill="D2D2D2"/>
          </w:tcPr>
          <w:p>
            <w:pPr/>
          </w:p>
        </w:tc>
        <w:tc>
          <w:tcPr>
            <w:tcW w:w="532" w:type="dxa"/>
            <w:vMerge/>
            <w:tcBorders>
              <w:left w:val="single" w:sz="4" w:space="0" w:color="000000"/>
              <w:bottom w:val="nil" w:sz="6" w:space="0" w:color="auto"/>
              <w:right w:val="single" w:sz="4" w:space="0" w:color="000000"/>
            </w:tcBorders>
            <w:shd w:val="clear" w:color="auto" w:fill="D2D2D2"/>
          </w:tcPr>
          <w:p>
            <w:pPr/>
          </w:p>
        </w:tc>
        <w:tc>
          <w:tcPr>
            <w:tcW w:w="566" w:type="dxa"/>
            <w:vMerge/>
            <w:tcBorders>
              <w:left w:val="single" w:sz="4" w:space="0" w:color="000000"/>
              <w:bottom w:val="nil" w:sz="6" w:space="0" w:color="auto"/>
              <w:right w:val="single" w:sz="4" w:space="0" w:color="000000"/>
            </w:tcBorders>
            <w:shd w:val="clear" w:color="auto" w:fill="D2D2D2"/>
          </w:tcPr>
          <w:p>
            <w:pPr/>
          </w:p>
        </w:tc>
        <w:tc>
          <w:tcPr>
            <w:tcW w:w="1276" w:type="dxa"/>
            <w:vMerge w:val="restart"/>
            <w:tcBorders>
              <w:top w:val="nil" w:sz="6" w:space="0" w:color="auto"/>
              <w:left w:val="single" w:sz="4" w:space="0" w:color="000000"/>
              <w:right w:val="single" w:sz="4" w:space="0" w:color="000000"/>
            </w:tcBorders>
            <w:shd w:val="clear" w:color="auto" w:fill="D2D2D2"/>
          </w:tcPr>
          <w:p>
            <w:pPr/>
          </w:p>
        </w:tc>
        <w:tc>
          <w:tcPr>
            <w:tcW w:w="1276" w:type="dxa"/>
            <w:vMerge w:val="restart"/>
            <w:tcBorders>
              <w:top w:val="nil" w:sz="6" w:space="0" w:color="auto"/>
              <w:left w:val="single" w:sz="4" w:space="0" w:color="000000"/>
              <w:right w:val="single" w:sz="4" w:space="0" w:color="000000"/>
            </w:tcBorders>
            <w:shd w:val="clear" w:color="auto" w:fill="D2D2D2"/>
          </w:tcPr>
          <w:p>
            <w:pPr/>
          </w:p>
        </w:tc>
        <w:tc>
          <w:tcPr>
            <w:tcW w:w="425" w:type="dxa"/>
            <w:vMerge/>
            <w:tcBorders>
              <w:left w:val="single" w:sz="4" w:space="0" w:color="000000"/>
              <w:bottom w:val="nil" w:sz="6" w:space="0" w:color="auto"/>
              <w:right w:val="single" w:sz="4" w:space="0" w:color="000000"/>
            </w:tcBorders>
            <w:shd w:val="clear" w:color="auto" w:fill="D2D2D2"/>
          </w:tcPr>
          <w:p>
            <w:pPr/>
          </w:p>
        </w:tc>
        <w:tc>
          <w:tcPr>
            <w:tcW w:w="714" w:type="dxa"/>
            <w:vMerge/>
            <w:tcBorders>
              <w:left w:val="single" w:sz="4" w:space="0" w:color="000000"/>
              <w:right w:val="single" w:sz="4" w:space="0" w:color="000000"/>
            </w:tcBorders>
            <w:shd w:val="clear" w:color="auto" w:fill="D2D2D2"/>
          </w:tcPr>
          <w:p>
            <w:pPr/>
          </w:p>
        </w:tc>
        <w:tc>
          <w:tcPr>
            <w:tcW w:w="988" w:type="dxa"/>
            <w:vMerge w:val="restart"/>
            <w:tcBorders>
              <w:top w:val="nil" w:sz="6" w:space="0" w:color="auto"/>
              <w:left w:val="single" w:sz="4" w:space="0" w:color="000000"/>
              <w:right w:val="single" w:sz="4" w:space="0" w:color="000000"/>
            </w:tcBorders>
            <w:shd w:val="clear" w:color="auto" w:fill="D2D2D2"/>
          </w:tcPr>
          <w:p>
            <w:pPr/>
          </w:p>
        </w:tc>
        <w:tc>
          <w:tcPr>
            <w:tcW w:w="426" w:type="dxa"/>
            <w:vMerge/>
            <w:tcBorders>
              <w:left w:val="single" w:sz="4" w:space="0" w:color="000000"/>
              <w:bottom w:val="nil" w:sz="6" w:space="0" w:color="auto"/>
              <w:right w:val="single" w:sz="4" w:space="0" w:color="000000"/>
            </w:tcBorders>
            <w:shd w:val="clear" w:color="auto" w:fill="D2D2D2"/>
          </w:tcPr>
          <w:p>
            <w:pPr/>
          </w:p>
        </w:tc>
        <w:tc>
          <w:tcPr>
            <w:tcW w:w="1274" w:type="dxa"/>
            <w:vMerge/>
            <w:tcBorders>
              <w:left w:val="single" w:sz="4" w:space="0" w:color="000000"/>
              <w:right w:val="single" w:sz="4" w:space="0" w:color="000000"/>
            </w:tcBorders>
            <w:shd w:val="clear" w:color="auto" w:fill="D2D2D2"/>
          </w:tcPr>
          <w:p>
            <w:pPr/>
          </w:p>
        </w:tc>
        <w:tc>
          <w:tcPr>
            <w:tcW w:w="504" w:type="dxa"/>
            <w:vMerge/>
            <w:tcBorders>
              <w:left w:val="single" w:sz="4" w:space="0" w:color="000000"/>
              <w:bottom w:val="nil" w:sz="6" w:space="0" w:color="auto"/>
              <w:right w:val="single" w:sz="4" w:space="0" w:color="000000"/>
            </w:tcBorders>
            <w:shd w:val="clear" w:color="auto" w:fill="D2D2D2"/>
          </w:tcPr>
          <w:p>
            <w:pPr/>
          </w:p>
        </w:tc>
      </w:tr>
      <w:tr>
        <w:trPr>
          <w:trHeight w:val="161" w:hRule="exact"/>
        </w:trPr>
        <w:tc>
          <w:tcPr>
            <w:tcW w:w="776" w:type="dxa"/>
            <w:vMerge/>
            <w:tcBorders>
              <w:left w:val="single" w:sz="4" w:space="0" w:color="000000"/>
              <w:bottom w:val="single" w:sz="4" w:space="0" w:color="000000"/>
              <w:right w:val="single" w:sz="4" w:space="0" w:color="000000"/>
            </w:tcBorders>
            <w:shd w:val="clear" w:color="auto" w:fill="D2D2D2"/>
          </w:tcPr>
          <w:p>
            <w:pPr/>
          </w:p>
        </w:tc>
        <w:tc>
          <w:tcPr>
            <w:tcW w:w="809" w:type="dxa"/>
            <w:vMerge/>
            <w:tcBorders>
              <w:left w:val="single" w:sz="4" w:space="0" w:color="000000"/>
              <w:bottom w:val="single" w:sz="4" w:space="0" w:color="000000"/>
              <w:right w:val="single" w:sz="4" w:space="0" w:color="000000"/>
            </w:tcBorders>
            <w:shd w:val="clear" w:color="auto" w:fill="D2D2D2"/>
          </w:tcPr>
          <w:p>
            <w:pPr/>
          </w:p>
        </w:tc>
        <w:tc>
          <w:tcPr>
            <w:tcW w:w="532" w:type="dxa"/>
            <w:tcBorders>
              <w:top w:val="nil" w:sz="6" w:space="0" w:color="auto"/>
              <w:left w:val="single" w:sz="4" w:space="0" w:color="000000"/>
              <w:bottom w:val="single" w:sz="4" w:space="0" w:color="000000"/>
              <w:right w:val="single" w:sz="4" w:space="0" w:color="000000"/>
            </w:tcBorders>
            <w:shd w:val="clear" w:color="auto" w:fill="D2D2D2"/>
          </w:tcPr>
          <w:p>
            <w:pPr/>
          </w:p>
        </w:tc>
        <w:tc>
          <w:tcPr>
            <w:tcW w:w="566"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6" w:type="dxa"/>
            <w:vMerge/>
            <w:tcBorders>
              <w:left w:val="single" w:sz="4" w:space="0" w:color="000000"/>
              <w:bottom w:val="single" w:sz="4" w:space="0" w:color="000000"/>
              <w:right w:val="single" w:sz="4" w:space="0" w:color="000000"/>
            </w:tcBorders>
            <w:shd w:val="clear" w:color="auto" w:fill="D2D2D2"/>
          </w:tcPr>
          <w:p>
            <w:pPr/>
          </w:p>
        </w:tc>
        <w:tc>
          <w:tcPr>
            <w:tcW w:w="1276" w:type="dxa"/>
            <w:vMerge/>
            <w:tcBorders>
              <w:left w:val="single" w:sz="4" w:space="0" w:color="000000"/>
              <w:bottom w:val="single" w:sz="4" w:space="0" w:color="000000"/>
              <w:right w:val="single" w:sz="4" w:space="0" w:color="000000"/>
            </w:tcBorders>
            <w:shd w:val="clear" w:color="auto" w:fill="D2D2D2"/>
          </w:tcPr>
          <w:p>
            <w:pPr/>
          </w:p>
        </w:tc>
        <w:tc>
          <w:tcPr>
            <w:tcW w:w="425" w:type="dxa"/>
            <w:tcBorders>
              <w:top w:val="nil" w:sz="6" w:space="0" w:color="auto"/>
              <w:left w:val="single" w:sz="4" w:space="0" w:color="000000"/>
              <w:bottom w:val="single" w:sz="4" w:space="0" w:color="000000"/>
              <w:right w:val="single" w:sz="4" w:space="0" w:color="000000"/>
            </w:tcBorders>
            <w:shd w:val="clear" w:color="auto" w:fill="D2D2D2"/>
          </w:tcPr>
          <w:p>
            <w:pPr/>
          </w:p>
        </w:tc>
        <w:tc>
          <w:tcPr>
            <w:tcW w:w="714" w:type="dxa"/>
            <w:vMerge/>
            <w:tcBorders>
              <w:left w:val="single" w:sz="4" w:space="0" w:color="000000"/>
              <w:bottom w:val="single" w:sz="4" w:space="0" w:color="000000"/>
              <w:right w:val="single" w:sz="4" w:space="0" w:color="000000"/>
            </w:tcBorders>
            <w:shd w:val="clear" w:color="auto" w:fill="D2D2D2"/>
          </w:tcPr>
          <w:p>
            <w:pPr/>
          </w:p>
        </w:tc>
        <w:tc>
          <w:tcPr>
            <w:tcW w:w="988" w:type="dxa"/>
            <w:vMerge/>
            <w:tcBorders>
              <w:left w:val="single" w:sz="4" w:space="0" w:color="000000"/>
              <w:bottom w:val="single" w:sz="4" w:space="0" w:color="000000"/>
              <w:right w:val="single" w:sz="4" w:space="0" w:color="000000"/>
            </w:tcBorders>
            <w:shd w:val="clear" w:color="auto" w:fill="D2D2D2"/>
          </w:tcPr>
          <w:p>
            <w:pPr/>
          </w:p>
        </w:tc>
        <w:tc>
          <w:tcPr>
            <w:tcW w:w="426"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4" w:type="dxa"/>
            <w:vMerge/>
            <w:tcBorders>
              <w:left w:val="single" w:sz="4" w:space="0" w:color="000000"/>
              <w:bottom w:val="single" w:sz="4" w:space="0" w:color="000000"/>
              <w:right w:val="single" w:sz="4" w:space="0" w:color="000000"/>
            </w:tcBorders>
            <w:shd w:val="clear" w:color="auto" w:fill="D2D2D2"/>
          </w:tcPr>
          <w:p>
            <w:pPr/>
          </w:p>
        </w:tc>
        <w:tc>
          <w:tcPr>
            <w:tcW w:w="50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2276" w:hRule="exact"/>
        </w:trPr>
        <w:tc>
          <w:tcPr>
            <w:tcW w:w="7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32"/>
              <w:jc w:val="both"/>
              <w:rPr>
                <w:rFonts w:ascii="宋体" w:hAnsi="宋体" w:cs="宋体" w:eastAsia="宋体" w:hint="default"/>
                <w:sz w:val="18"/>
                <w:szCs w:val="18"/>
              </w:rPr>
            </w:pPr>
            <w:r>
              <w:rPr>
                <w:rFonts w:ascii="宋体" w:hAnsi="宋体" w:cs="宋体" w:eastAsia="宋体" w:hint="default"/>
                <w:sz w:val="18"/>
                <w:szCs w:val="18"/>
              </w:rPr>
              <w:t>北京神州 泰岳软件 股份有限 公司</w:t>
            </w:r>
          </w:p>
          <w:p>
            <w:pPr>
              <w:pStyle w:val="TableParagraph"/>
              <w:spacing w:line="240" w:lineRule="auto" w:before="19"/>
              <w:ind w:left="11"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319" w:lineRule="auto" w:before="63"/>
              <w:ind w:left="11" w:right="32"/>
              <w:jc w:val="both"/>
              <w:rPr>
                <w:rFonts w:ascii="宋体" w:hAnsi="宋体" w:cs="宋体" w:eastAsia="宋体" w:hint="default"/>
                <w:sz w:val="18"/>
                <w:szCs w:val="18"/>
              </w:rPr>
            </w:pPr>
            <w:r>
              <w:rPr>
                <w:rFonts w:ascii="宋体" w:hAnsi="宋体" w:cs="宋体" w:eastAsia="宋体" w:hint="default"/>
                <w:sz w:val="18"/>
                <w:szCs w:val="18"/>
              </w:rPr>
              <w:t>度第一期 中期票据</w:t>
            </w:r>
          </w:p>
        </w:tc>
        <w:tc>
          <w:tcPr>
            <w:tcW w:w="80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300,000,0</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00.00</w:t>
            </w:r>
          </w:p>
        </w:tc>
        <w:tc>
          <w:tcPr>
            <w:tcW w:w="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2016/</w:t>
            </w:r>
          </w:p>
          <w:p>
            <w:pPr>
              <w:pStyle w:val="TableParagraph"/>
              <w:spacing w:line="240" w:lineRule="auto" w:before="105"/>
              <w:ind w:left="22" w:right="0"/>
              <w:jc w:val="left"/>
              <w:rPr>
                <w:rFonts w:ascii="Times New Roman" w:hAnsi="Times New Roman" w:cs="Times New Roman" w:eastAsia="Times New Roman" w:hint="default"/>
                <w:sz w:val="18"/>
                <w:szCs w:val="18"/>
              </w:rPr>
            </w:pPr>
            <w:r>
              <w:rPr>
                <w:rFonts w:ascii="Times New Roman"/>
                <w:sz w:val="18"/>
              </w:rPr>
              <w:t>11/24</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93" w:right="0"/>
              <w:jc w:val="center"/>
              <w:rPr>
                <w:rFonts w:ascii="Times New Roman" w:hAnsi="Times New Roman" w:cs="Times New Roman" w:eastAsia="Times New Roman" w:hint="default"/>
                <w:sz w:val="18"/>
                <w:szCs w:val="18"/>
              </w:rPr>
            </w:pPr>
            <w:r>
              <w:rPr>
                <w:rFonts w:ascii="Times New Roman"/>
                <w:sz w:val="18"/>
              </w:rPr>
              <w:t>297,300,000.00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96" w:right="0"/>
              <w:jc w:val="center"/>
              <w:rPr>
                <w:rFonts w:ascii="Times New Roman" w:hAnsi="Times New Roman" w:cs="Times New Roman" w:eastAsia="Times New Roman" w:hint="default"/>
                <w:sz w:val="18"/>
                <w:szCs w:val="18"/>
              </w:rPr>
            </w:pPr>
            <w:r>
              <w:rPr>
                <w:rFonts w:ascii="Times New Roman"/>
                <w:sz w:val="18"/>
              </w:rPr>
              <w:t>298,201,572.72</w:t>
            </w:r>
          </w:p>
        </w:tc>
        <w:tc>
          <w:tcPr>
            <w:tcW w:w="425" w:type="dxa"/>
            <w:tcBorders>
              <w:top w:val="single" w:sz="4" w:space="0" w:color="000000"/>
              <w:left w:val="single" w:sz="4" w:space="0" w:color="000000"/>
              <w:bottom w:val="single" w:sz="4" w:space="0" w:color="000000"/>
              <w:right w:val="single" w:sz="4" w:space="0" w:color="000000"/>
            </w:tcBorders>
          </w:tcPr>
          <w:p>
            <w:pPr/>
          </w:p>
        </w:tc>
        <w:tc>
          <w:tcPr>
            <w:tcW w:w="714" w:type="dxa"/>
            <w:tcBorders>
              <w:top w:val="single" w:sz="4" w:space="0" w:color="000000"/>
              <w:left w:val="single" w:sz="4" w:space="0" w:color="000000"/>
              <w:bottom w:val="single" w:sz="4" w:space="0" w:color="000000"/>
              <w:right w:val="single" w:sz="4" w:space="0" w:color="000000"/>
            </w:tcBorders>
          </w:tcPr>
          <w:p>
            <w:pPr/>
          </w:p>
        </w:tc>
        <w:tc>
          <w:tcPr>
            <w:tcW w:w="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861,521.73</w:t>
            </w:r>
          </w:p>
        </w:tc>
        <w:tc>
          <w:tcPr>
            <w:tcW w:w="4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17" w:right="0"/>
              <w:jc w:val="left"/>
              <w:rPr>
                <w:rFonts w:ascii="Times New Roman" w:hAnsi="Times New Roman" w:cs="Times New Roman" w:eastAsia="Times New Roman" w:hint="default"/>
                <w:sz w:val="18"/>
                <w:szCs w:val="18"/>
              </w:rPr>
            </w:pPr>
            <w:r>
              <w:rPr>
                <w:rFonts w:ascii="Times New Roman"/>
                <w:sz w:val="18"/>
              </w:rPr>
              <w:t>299,063,094.45</w:t>
            </w:r>
          </w:p>
        </w:tc>
        <w:tc>
          <w:tcPr>
            <w:tcW w:w="50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400" w:bottom="1160" w:left="1020" w:right="0"/>
        </w:sectPr>
      </w:pPr>
    </w:p>
    <w:p>
      <w:pPr>
        <w:spacing w:line="240" w:lineRule="auto" w:before="6"/>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798"/>
        <w:gridCol w:w="798"/>
        <w:gridCol w:w="532"/>
        <w:gridCol w:w="566"/>
        <w:gridCol w:w="1276"/>
        <w:gridCol w:w="1276"/>
        <w:gridCol w:w="425"/>
        <w:gridCol w:w="714"/>
        <w:gridCol w:w="988"/>
        <w:gridCol w:w="426"/>
        <w:gridCol w:w="1274"/>
        <w:gridCol w:w="504"/>
      </w:tblGrid>
      <w:tr>
        <w:trPr>
          <w:trHeight w:val="415" w:hRule="exact"/>
        </w:trPr>
        <w:tc>
          <w:tcPr>
            <w:tcW w:w="798"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1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8"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7"/>
              <w:ind w:right="1"/>
              <w:jc w:val="center"/>
              <w:rPr>
                <w:rFonts w:ascii="Times New Roman" w:hAnsi="Times New Roman" w:cs="Times New Roman" w:eastAsia="Times New Roman" w:hint="default"/>
                <w:sz w:val="18"/>
                <w:szCs w:val="18"/>
              </w:rPr>
            </w:pPr>
            <w:r>
              <w:rPr>
                <w:rFonts w:ascii="Times New Roman"/>
                <w:sz w:val="18"/>
              </w:rPr>
              <w:t>--</w:t>
            </w:r>
          </w:p>
        </w:tc>
        <w:tc>
          <w:tcPr>
            <w:tcW w:w="53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7"/>
              <w:ind w:right="1"/>
              <w:jc w:val="center"/>
              <w:rPr>
                <w:rFonts w:ascii="Times New Roman" w:hAnsi="Times New Roman" w:cs="Times New Roman" w:eastAsia="Times New Roman" w:hint="default"/>
                <w:sz w:val="18"/>
                <w:szCs w:val="18"/>
              </w:rPr>
            </w:pPr>
            <w:r>
              <w:rPr>
                <w:rFonts w:ascii="Times New Roman"/>
                <w:sz w:val="18"/>
              </w:rPr>
              <w:t>--</w:t>
            </w:r>
          </w:p>
        </w:tc>
        <w:tc>
          <w:tcPr>
            <w:tcW w:w="566"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7"/>
              <w:ind w:right="0"/>
              <w:jc w:val="center"/>
              <w:rPr>
                <w:rFonts w:ascii="Times New Roman" w:hAnsi="Times New Roman" w:cs="Times New Roman" w:eastAsia="Times New Roman" w:hint="default"/>
                <w:sz w:val="18"/>
                <w:szCs w:val="18"/>
              </w:rPr>
            </w:pPr>
            <w:r>
              <w:rPr>
                <w:rFonts w:ascii="Times New Roman"/>
                <w:sz w:val="18"/>
              </w:rPr>
              <w:t>--</w:t>
            </w:r>
          </w:p>
        </w:tc>
        <w:tc>
          <w:tcPr>
            <w:tcW w:w="127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left="117" w:right="0"/>
              <w:jc w:val="left"/>
              <w:rPr>
                <w:rFonts w:ascii="Times New Roman" w:hAnsi="Times New Roman" w:cs="Times New Roman" w:eastAsia="Times New Roman" w:hint="default"/>
                <w:sz w:val="18"/>
                <w:szCs w:val="18"/>
              </w:rPr>
            </w:pPr>
            <w:r>
              <w:rPr>
                <w:rFonts w:ascii="Times New Roman"/>
                <w:sz w:val="18"/>
              </w:rPr>
              <w:t>297,300,000.00</w:t>
            </w:r>
          </w:p>
        </w:tc>
        <w:tc>
          <w:tcPr>
            <w:tcW w:w="127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left="118" w:right="0"/>
              <w:jc w:val="left"/>
              <w:rPr>
                <w:rFonts w:ascii="Times New Roman" w:hAnsi="Times New Roman" w:cs="Times New Roman" w:eastAsia="Times New Roman" w:hint="default"/>
                <w:sz w:val="18"/>
                <w:szCs w:val="18"/>
              </w:rPr>
            </w:pPr>
            <w:r>
              <w:rPr>
                <w:rFonts w:ascii="Times New Roman"/>
                <w:sz w:val="18"/>
              </w:rPr>
              <w:t>298,201,572.72</w:t>
            </w:r>
          </w:p>
        </w:tc>
        <w:tc>
          <w:tcPr>
            <w:tcW w:w="425" w:type="dxa"/>
            <w:tcBorders>
              <w:top w:val="single" w:sz="10" w:space="0" w:color="000000"/>
              <w:left w:val="single" w:sz="4" w:space="0" w:color="000000"/>
              <w:bottom w:val="single" w:sz="4" w:space="0" w:color="000000"/>
              <w:right w:val="single" w:sz="4" w:space="0" w:color="000000"/>
            </w:tcBorders>
          </w:tcPr>
          <w:p>
            <w:pPr/>
          </w:p>
        </w:tc>
        <w:tc>
          <w:tcPr>
            <w:tcW w:w="714" w:type="dxa"/>
            <w:tcBorders>
              <w:top w:val="single" w:sz="10" w:space="0" w:color="000000"/>
              <w:left w:val="single" w:sz="4" w:space="0" w:color="000000"/>
              <w:bottom w:val="single" w:sz="4" w:space="0" w:color="000000"/>
              <w:right w:val="single" w:sz="4" w:space="0" w:color="000000"/>
            </w:tcBorders>
          </w:tcPr>
          <w:p>
            <w:pPr/>
          </w:p>
        </w:tc>
        <w:tc>
          <w:tcPr>
            <w:tcW w:w="98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left="143" w:right="0"/>
              <w:jc w:val="left"/>
              <w:rPr>
                <w:rFonts w:ascii="Times New Roman" w:hAnsi="Times New Roman" w:cs="Times New Roman" w:eastAsia="Times New Roman" w:hint="default"/>
                <w:sz w:val="18"/>
                <w:szCs w:val="18"/>
              </w:rPr>
            </w:pPr>
            <w:r>
              <w:rPr>
                <w:rFonts w:ascii="Times New Roman"/>
                <w:sz w:val="18"/>
              </w:rPr>
              <w:t>861,521.73</w:t>
            </w:r>
          </w:p>
        </w:tc>
        <w:tc>
          <w:tcPr>
            <w:tcW w:w="426" w:type="dxa"/>
            <w:tcBorders>
              <w:top w:val="single" w:sz="10" w:space="0" w:color="000000"/>
              <w:left w:val="single" w:sz="4" w:space="0" w:color="000000"/>
              <w:bottom w:val="single" w:sz="4" w:space="0" w:color="000000"/>
              <w:right w:val="single" w:sz="4" w:space="0" w:color="000000"/>
            </w:tcBorders>
          </w:tcPr>
          <w:p>
            <w:pPr/>
          </w:p>
        </w:tc>
        <w:tc>
          <w:tcPr>
            <w:tcW w:w="127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left="117" w:right="0"/>
              <w:jc w:val="left"/>
              <w:rPr>
                <w:rFonts w:ascii="Times New Roman" w:hAnsi="Times New Roman" w:cs="Times New Roman" w:eastAsia="Times New Roman" w:hint="default"/>
                <w:sz w:val="18"/>
                <w:szCs w:val="18"/>
              </w:rPr>
            </w:pPr>
            <w:r>
              <w:rPr>
                <w:rFonts w:ascii="Times New Roman"/>
                <w:sz w:val="18"/>
              </w:rPr>
              <w:t>299,063,094.45</w:t>
            </w:r>
          </w:p>
        </w:tc>
        <w:tc>
          <w:tcPr>
            <w:tcW w:w="504" w:type="dxa"/>
            <w:tcBorders>
              <w:top w:val="single" w:sz="10"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39、长期应付款" w:id="312"/>
      <w:bookmarkEnd w:id="312"/>
      <w:r>
        <w:rPr>
          <w:b w:val="0"/>
          <w:bCs w:val="0"/>
        </w:rPr>
      </w:r>
      <w:r>
        <w:rPr>
          <w:rFonts w:ascii="Times New Roman" w:hAnsi="Times New Roman" w:cs="Times New Roman" w:eastAsia="Times New Roman" w:hint="default"/>
        </w:rPr>
        <w:t>39</w:t>
      </w:r>
      <w:r>
        <w:rPr/>
        <w:t>、长期应付款</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94" w:right="9670"/>
        <w:jc w:val="center"/>
      </w:pPr>
      <w:r>
        <w:rPr/>
        <w:t>无。</w:t>
      </w:r>
    </w:p>
    <w:p>
      <w:pPr>
        <w:spacing w:line="240" w:lineRule="auto" w:before="10"/>
        <w:rPr>
          <w:rFonts w:ascii="宋体" w:hAnsi="宋体" w:cs="宋体" w:eastAsia="宋体" w:hint="default"/>
          <w:sz w:val="26"/>
          <w:szCs w:val="26"/>
        </w:rPr>
      </w:pPr>
    </w:p>
    <w:p>
      <w:pPr>
        <w:pStyle w:val="Heading3"/>
        <w:spacing w:line="240" w:lineRule="auto"/>
        <w:ind w:left="114" w:right="1276"/>
        <w:jc w:val="left"/>
        <w:rPr>
          <w:b w:val="0"/>
          <w:bCs w:val="0"/>
        </w:rPr>
      </w:pPr>
      <w:bookmarkStart w:name="40、长期应付职工薪酬" w:id="313"/>
      <w:bookmarkEnd w:id="313"/>
      <w:r>
        <w:rPr>
          <w:b w:val="0"/>
          <w:bCs w:val="0"/>
        </w:rPr>
      </w:r>
      <w:r>
        <w:rPr>
          <w:rFonts w:ascii="Times New Roman" w:hAnsi="Times New Roman" w:cs="Times New Roman" w:eastAsia="Times New Roman" w:hint="default"/>
        </w:rPr>
        <w:t>40</w:t>
      </w:r>
      <w:r>
        <w:rPr/>
        <w:t>、长期应付职工薪酬</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94" w:right="9670"/>
        <w:jc w:val="center"/>
      </w:pPr>
      <w:r>
        <w:rPr/>
        <w:t>无。</w:t>
      </w:r>
    </w:p>
    <w:p>
      <w:pPr>
        <w:spacing w:line="240" w:lineRule="auto" w:before="10"/>
        <w:rPr>
          <w:rFonts w:ascii="宋体" w:hAnsi="宋体" w:cs="宋体" w:eastAsia="宋体" w:hint="default"/>
          <w:sz w:val="26"/>
          <w:szCs w:val="26"/>
        </w:rPr>
      </w:pPr>
    </w:p>
    <w:p>
      <w:pPr>
        <w:pStyle w:val="Heading3"/>
        <w:spacing w:line="240" w:lineRule="auto"/>
        <w:ind w:left="114" w:right="1276"/>
        <w:jc w:val="left"/>
        <w:rPr>
          <w:b w:val="0"/>
          <w:bCs w:val="0"/>
        </w:rPr>
      </w:pPr>
      <w:bookmarkStart w:name="41、预计负债" w:id="314"/>
      <w:bookmarkEnd w:id="314"/>
      <w:r>
        <w:rPr>
          <w:b w:val="0"/>
          <w:bCs w:val="0"/>
        </w:rPr>
      </w:r>
      <w:r>
        <w:rPr>
          <w:rFonts w:ascii="Times New Roman" w:hAnsi="Times New Roman" w:cs="Times New Roman" w:eastAsia="Times New Roman" w:hint="default"/>
        </w:rPr>
        <w:t>41</w:t>
      </w:r>
      <w:r>
        <w:rPr/>
        <w:t>、预计负债</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2366"/>
        <w:gridCol w:w="2408"/>
        <w:gridCol w:w="2392"/>
        <w:gridCol w:w="2392"/>
      </w:tblGrid>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产品质量保证</w:t>
            </w:r>
          </w:p>
        </w:tc>
        <w:tc>
          <w:tcPr>
            <w:tcW w:w="240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26,561,687.31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19,147,291.50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产品质量保证金</w:t>
            </w:r>
          </w:p>
        </w:tc>
      </w:tr>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40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26,561,687.31</w:t>
            </w:r>
          </w:p>
        </w:tc>
        <w:tc>
          <w:tcPr>
            <w:tcW w:w="2392"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19,147,291.50</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42、递延收益" w:id="315"/>
      <w:bookmarkEnd w:id="315"/>
      <w:r>
        <w:rPr>
          <w:b w:val="0"/>
          <w:bCs w:val="0"/>
        </w:rPr>
      </w:r>
      <w:r>
        <w:rPr>
          <w:rFonts w:ascii="Times New Roman" w:hAnsi="Times New Roman" w:cs="Times New Roman" w:eastAsia="Times New Roman" w:hint="default"/>
        </w:rPr>
        <w:t>42</w:t>
      </w:r>
      <w:r>
        <w:rPr/>
        <w:t>、递延收益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83"/>
        <w:gridCol w:w="1607"/>
        <w:gridCol w:w="1595"/>
        <w:gridCol w:w="1594"/>
        <w:gridCol w:w="1594"/>
        <w:gridCol w:w="1595"/>
      </w:tblGrid>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4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60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2,005,966.64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74,700.00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469,000.04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1,611,666.60</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0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2,005,966.64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74,700.00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469,000.04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1,611,666.60</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left="114" w:right="1276"/>
        <w:jc w:val="left"/>
      </w:pPr>
      <w:r>
        <w:rPr/>
        <w:t>涉及政府补助的项目：</w:t>
      </w:r>
    </w:p>
    <w:p>
      <w:pPr>
        <w:pStyle w:val="BodyText"/>
        <w:spacing w:line="240" w:lineRule="auto" w:before="117"/>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1962"/>
        <w:gridCol w:w="1145"/>
        <w:gridCol w:w="993"/>
        <w:gridCol w:w="851"/>
        <w:gridCol w:w="992"/>
        <w:gridCol w:w="991"/>
        <w:gridCol w:w="498"/>
        <w:gridCol w:w="1062"/>
        <w:gridCol w:w="1063"/>
      </w:tblGrid>
      <w:tr>
        <w:trPr>
          <w:trHeight w:val="161" w:hRule="exact"/>
        </w:trPr>
        <w:tc>
          <w:tcPr>
            <w:tcW w:w="1962" w:type="dxa"/>
            <w:vMerge w:val="restart"/>
            <w:tcBorders>
              <w:top w:val="single" w:sz="4" w:space="0" w:color="000000"/>
              <w:left w:val="single" w:sz="4" w:space="0" w:color="000000"/>
              <w:right w:val="single" w:sz="4" w:space="0" w:color="000000"/>
            </w:tcBorders>
            <w:shd w:val="clear" w:color="auto" w:fill="D2D2D2"/>
          </w:tcPr>
          <w:p>
            <w:pPr/>
          </w:p>
        </w:tc>
        <w:tc>
          <w:tcPr>
            <w:tcW w:w="1145" w:type="dxa"/>
            <w:vMerge w:val="restart"/>
            <w:tcBorders>
              <w:top w:val="single" w:sz="4" w:space="0" w:color="000000"/>
              <w:left w:val="single" w:sz="4" w:space="0" w:color="000000"/>
              <w:right w:val="single" w:sz="4" w:space="0" w:color="FFFFFF"/>
            </w:tcBorders>
            <w:shd w:val="clear" w:color="auto" w:fill="D2D2D2"/>
          </w:tcPr>
          <w:p>
            <w:pPr/>
          </w:p>
        </w:tc>
        <w:tc>
          <w:tcPr>
            <w:tcW w:w="993" w:type="dxa"/>
            <w:tcBorders>
              <w:top w:val="single" w:sz="4" w:space="0" w:color="000000"/>
              <w:left w:val="single" w:sz="4" w:space="0" w:color="FFFFFF"/>
              <w:bottom w:val="nil" w:sz="6" w:space="0" w:color="auto"/>
              <w:right w:val="single" w:sz="4" w:space="0" w:color="000000"/>
            </w:tcBorders>
            <w:shd w:val="clear" w:color="auto" w:fill="D2D2D2"/>
          </w:tcPr>
          <w:p>
            <w:pPr/>
          </w:p>
        </w:tc>
        <w:tc>
          <w:tcPr>
            <w:tcW w:w="851"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59" w:right="59"/>
              <w:jc w:val="both"/>
              <w:rPr>
                <w:rFonts w:ascii="宋体" w:hAnsi="宋体" w:cs="宋体" w:eastAsia="宋体" w:hint="default"/>
                <w:sz w:val="18"/>
                <w:szCs w:val="18"/>
              </w:rPr>
            </w:pPr>
            <w:r>
              <w:rPr>
                <w:rFonts w:ascii="宋体" w:hAnsi="宋体" w:cs="宋体" w:eastAsia="宋体" w:hint="default"/>
                <w:sz w:val="18"/>
                <w:szCs w:val="18"/>
              </w:rPr>
              <w:t>本期计入 营业外收 入金额</w:t>
            </w:r>
          </w:p>
        </w:tc>
        <w:tc>
          <w:tcPr>
            <w:tcW w:w="992" w:type="dxa"/>
            <w:tcBorders>
              <w:top w:val="single" w:sz="4" w:space="0" w:color="000000"/>
              <w:left w:val="single" w:sz="4" w:space="0" w:color="000000"/>
              <w:bottom w:val="nil" w:sz="6" w:space="0" w:color="auto"/>
              <w:right w:val="single" w:sz="4" w:space="0" w:color="000000"/>
            </w:tcBorders>
            <w:shd w:val="clear" w:color="auto" w:fill="D2D2D2"/>
          </w:tcPr>
          <w:p>
            <w:pPr/>
          </w:p>
        </w:tc>
        <w:tc>
          <w:tcPr>
            <w:tcW w:w="991" w:type="dxa"/>
            <w:tcBorders>
              <w:top w:val="single" w:sz="4" w:space="0" w:color="000000"/>
              <w:left w:val="single" w:sz="4" w:space="0" w:color="000000"/>
              <w:bottom w:val="nil" w:sz="6" w:space="0" w:color="auto"/>
              <w:right w:val="single" w:sz="4" w:space="0" w:color="000000"/>
            </w:tcBorders>
            <w:shd w:val="clear" w:color="auto" w:fill="D2D2D2"/>
          </w:tcPr>
          <w:p>
            <w:pPr/>
          </w:p>
        </w:tc>
        <w:tc>
          <w:tcPr>
            <w:tcW w:w="498"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2" w:type="dxa"/>
            <w:vMerge w:val="restart"/>
            <w:tcBorders>
              <w:top w:val="single" w:sz="4" w:space="0" w:color="000000"/>
              <w:left w:val="single" w:sz="4" w:space="0" w:color="000000"/>
              <w:right w:val="single" w:sz="4" w:space="0" w:color="000000"/>
            </w:tcBorders>
            <w:shd w:val="clear" w:color="auto" w:fill="D2D2D2"/>
          </w:tcPr>
          <w:p>
            <w:pPr/>
          </w:p>
        </w:tc>
        <w:tc>
          <w:tcPr>
            <w:tcW w:w="1063"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6" w:hRule="exact"/>
        </w:trPr>
        <w:tc>
          <w:tcPr>
            <w:tcW w:w="1962" w:type="dxa"/>
            <w:vMerge/>
            <w:tcBorders>
              <w:left w:val="single" w:sz="4" w:space="0" w:color="000000"/>
              <w:bottom w:val="nil" w:sz="6" w:space="0" w:color="auto"/>
              <w:right w:val="single" w:sz="4" w:space="0" w:color="000000"/>
            </w:tcBorders>
            <w:shd w:val="clear" w:color="auto" w:fill="D2D2D2"/>
          </w:tcPr>
          <w:p>
            <w:pPr/>
          </w:p>
        </w:tc>
        <w:tc>
          <w:tcPr>
            <w:tcW w:w="1145" w:type="dxa"/>
            <w:vMerge/>
            <w:tcBorders>
              <w:left w:val="single" w:sz="4" w:space="0" w:color="000000"/>
              <w:bottom w:val="nil" w:sz="6" w:space="0" w:color="auto"/>
              <w:right w:val="single" w:sz="4" w:space="0" w:color="FFFFFF"/>
            </w:tcBorders>
            <w:shd w:val="clear" w:color="auto" w:fill="D2D2D2"/>
          </w:tcPr>
          <w:p>
            <w:pPr/>
          </w:p>
        </w:tc>
        <w:tc>
          <w:tcPr>
            <w:tcW w:w="993" w:type="dxa"/>
            <w:vMerge w:val="restart"/>
            <w:tcBorders>
              <w:top w:val="nil" w:sz="6" w:space="0" w:color="auto"/>
              <w:left w:val="single" w:sz="4" w:space="0" w:color="FFFFFF"/>
              <w:right w:val="single" w:sz="4" w:space="0" w:color="000000"/>
            </w:tcBorders>
            <w:shd w:val="clear" w:color="auto" w:fill="D2D2D2"/>
          </w:tcPr>
          <w:p>
            <w:pPr>
              <w:pStyle w:val="TableParagraph"/>
              <w:spacing w:line="319" w:lineRule="auto" w:before="51"/>
              <w:ind w:left="220" w:right="40" w:hanging="180"/>
              <w:jc w:val="left"/>
              <w:rPr>
                <w:rFonts w:ascii="宋体" w:hAnsi="宋体" w:cs="宋体" w:eastAsia="宋体" w:hint="default"/>
                <w:sz w:val="18"/>
                <w:szCs w:val="18"/>
              </w:rPr>
            </w:pPr>
            <w:r>
              <w:rPr>
                <w:rFonts w:ascii="宋体" w:hAnsi="宋体" w:cs="宋体" w:eastAsia="宋体" w:hint="default"/>
                <w:sz w:val="18"/>
                <w:szCs w:val="18"/>
              </w:rPr>
              <w:t>本期新增补 助金额</w:t>
            </w:r>
          </w:p>
        </w:tc>
        <w:tc>
          <w:tcPr>
            <w:tcW w:w="851" w:type="dxa"/>
            <w:vMerge/>
            <w:tcBorders>
              <w:left w:val="single" w:sz="4" w:space="0" w:color="000000"/>
              <w:right w:val="single" w:sz="4" w:space="0" w:color="000000"/>
            </w:tcBorders>
            <w:shd w:val="clear" w:color="auto" w:fill="D2D2D2"/>
          </w:tcPr>
          <w:p>
            <w:pPr/>
          </w:p>
        </w:tc>
        <w:tc>
          <w:tcPr>
            <w:tcW w:w="992"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40" w:right="41"/>
              <w:jc w:val="left"/>
              <w:rPr>
                <w:rFonts w:ascii="宋体" w:hAnsi="宋体" w:cs="宋体" w:eastAsia="宋体" w:hint="default"/>
                <w:sz w:val="18"/>
                <w:szCs w:val="18"/>
              </w:rPr>
            </w:pPr>
            <w:r>
              <w:rPr>
                <w:rFonts w:ascii="宋体" w:hAnsi="宋体" w:cs="宋体" w:eastAsia="宋体" w:hint="default"/>
                <w:sz w:val="18"/>
                <w:szCs w:val="18"/>
              </w:rPr>
              <w:t>本期计入其 他收益金额</w:t>
            </w:r>
          </w:p>
        </w:tc>
        <w:tc>
          <w:tcPr>
            <w:tcW w:w="991"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40" w:right="38"/>
              <w:jc w:val="left"/>
              <w:rPr>
                <w:rFonts w:ascii="宋体" w:hAnsi="宋体" w:cs="宋体" w:eastAsia="宋体" w:hint="default"/>
                <w:sz w:val="18"/>
                <w:szCs w:val="18"/>
              </w:rPr>
            </w:pPr>
            <w:r>
              <w:rPr>
                <w:rFonts w:ascii="宋体" w:hAnsi="宋体" w:cs="宋体" w:eastAsia="宋体" w:hint="default"/>
                <w:sz w:val="18"/>
                <w:szCs w:val="18"/>
              </w:rPr>
              <w:t>本期冲减成 本费用金额</w:t>
            </w:r>
          </w:p>
        </w:tc>
        <w:tc>
          <w:tcPr>
            <w:tcW w:w="498"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65" w:right="61"/>
              <w:jc w:val="left"/>
              <w:rPr>
                <w:rFonts w:ascii="宋体" w:hAnsi="宋体" w:cs="宋体" w:eastAsia="宋体" w:hint="default"/>
                <w:sz w:val="18"/>
                <w:szCs w:val="18"/>
              </w:rPr>
            </w:pPr>
            <w:r>
              <w:rPr>
                <w:rFonts w:ascii="宋体" w:hAnsi="宋体" w:cs="宋体" w:eastAsia="宋体" w:hint="default"/>
                <w:sz w:val="18"/>
                <w:szCs w:val="18"/>
              </w:rPr>
              <w:t>其他 变动</w:t>
            </w:r>
          </w:p>
        </w:tc>
        <w:tc>
          <w:tcPr>
            <w:tcW w:w="1062" w:type="dxa"/>
            <w:vMerge/>
            <w:tcBorders>
              <w:left w:val="single" w:sz="4" w:space="0" w:color="000000"/>
              <w:bottom w:val="nil" w:sz="6" w:space="0" w:color="auto"/>
              <w:right w:val="single" w:sz="4" w:space="0" w:color="000000"/>
            </w:tcBorders>
            <w:shd w:val="clear" w:color="auto" w:fill="D2D2D2"/>
          </w:tcPr>
          <w:p>
            <w:pPr/>
          </w:p>
        </w:tc>
        <w:tc>
          <w:tcPr>
            <w:tcW w:w="1063" w:type="dxa"/>
            <w:vMerge w:val="restart"/>
            <w:tcBorders>
              <w:top w:val="nil" w:sz="6" w:space="0" w:color="auto"/>
              <w:left w:val="single" w:sz="4" w:space="0" w:color="000000"/>
              <w:right w:val="single" w:sz="4" w:space="0" w:color="000000"/>
            </w:tcBorders>
            <w:shd w:val="clear" w:color="auto" w:fill="D2D2D2"/>
          </w:tcPr>
          <w:p>
            <w:pPr>
              <w:pStyle w:val="TableParagraph"/>
              <w:spacing w:line="302" w:lineRule="auto" w:before="51"/>
              <w:ind w:left="76" w:right="51" w:hanging="2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392" w:hRule="exact"/>
        </w:trPr>
        <w:tc>
          <w:tcPr>
            <w:tcW w:w="196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615" w:right="0"/>
              <w:jc w:val="left"/>
              <w:rPr>
                <w:rFonts w:ascii="宋体" w:hAnsi="宋体" w:cs="宋体" w:eastAsia="宋体" w:hint="default"/>
                <w:sz w:val="18"/>
                <w:szCs w:val="18"/>
              </w:rPr>
            </w:pPr>
            <w:r>
              <w:rPr>
                <w:rFonts w:ascii="宋体" w:hAnsi="宋体" w:cs="宋体" w:eastAsia="宋体" w:hint="default"/>
                <w:sz w:val="18"/>
                <w:szCs w:val="18"/>
              </w:rPr>
              <w:t>负债项目</w:t>
            </w:r>
          </w:p>
        </w:tc>
        <w:tc>
          <w:tcPr>
            <w:tcW w:w="1145" w:type="dxa"/>
            <w:tcBorders>
              <w:top w:val="nil" w:sz="6" w:space="0" w:color="auto"/>
              <w:left w:val="single" w:sz="4" w:space="0" w:color="000000"/>
              <w:bottom w:val="nil" w:sz="6" w:space="0" w:color="auto"/>
              <w:right w:val="single" w:sz="4" w:space="0" w:color="FFFFFF"/>
            </w:tcBorders>
            <w:shd w:val="clear" w:color="auto" w:fill="D2D2D2"/>
          </w:tcPr>
          <w:p>
            <w:pPr>
              <w:pStyle w:val="TableParagraph"/>
              <w:spacing w:line="240" w:lineRule="auto" w:before="51"/>
              <w:ind w:left="21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993" w:type="dxa"/>
            <w:vMerge/>
            <w:tcBorders>
              <w:left w:val="single" w:sz="4" w:space="0" w:color="FFFFFF"/>
              <w:right w:val="single" w:sz="4" w:space="0" w:color="000000"/>
            </w:tcBorders>
            <w:shd w:val="clear" w:color="auto" w:fill="D2D2D2"/>
          </w:tcPr>
          <w:p>
            <w:pPr/>
          </w:p>
        </w:tc>
        <w:tc>
          <w:tcPr>
            <w:tcW w:w="851" w:type="dxa"/>
            <w:vMerge/>
            <w:tcBorders>
              <w:left w:val="single" w:sz="4" w:space="0" w:color="000000"/>
              <w:right w:val="single" w:sz="4" w:space="0" w:color="000000"/>
            </w:tcBorders>
            <w:shd w:val="clear" w:color="auto" w:fill="D2D2D2"/>
          </w:tcPr>
          <w:p>
            <w:pPr/>
          </w:p>
        </w:tc>
        <w:tc>
          <w:tcPr>
            <w:tcW w:w="992" w:type="dxa"/>
            <w:vMerge/>
            <w:tcBorders>
              <w:left w:val="single" w:sz="4" w:space="0" w:color="000000"/>
              <w:right w:val="single" w:sz="4" w:space="0" w:color="000000"/>
            </w:tcBorders>
            <w:shd w:val="clear" w:color="auto" w:fill="D2D2D2"/>
          </w:tcPr>
          <w:p>
            <w:pPr/>
          </w:p>
        </w:tc>
        <w:tc>
          <w:tcPr>
            <w:tcW w:w="991" w:type="dxa"/>
            <w:vMerge/>
            <w:tcBorders>
              <w:left w:val="single" w:sz="4" w:space="0" w:color="000000"/>
              <w:right w:val="single" w:sz="4" w:space="0" w:color="000000"/>
            </w:tcBorders>
            <w:shd w:val="clear" w:color="auto" w:fill="D2D2D2"/>
          </w:tcPr>
          <w:p>
            <w:pPr/>
          </w:p>
        </w:tc>
        <w:tc>
          <w:tcPr>
            <w:tcW w:w="498" w:type="dxa"/>
            <w:vMerge/>
            <w:tcBorders>
              <w:left w:val="single" w:sz="4" w:space="0" w:color="000000"/>
              <w:right w:val="single" w:sz="4" w:space="0" w:color="000000"/>
            </w:tcBorders>
            <w:shd w:val="clear" w:color="auto" w:fill="D2D2D2"/>
          </w:tcPr>
          <w:p>
            <w:pPr/>
          </w:p>
        </w:tc>
        <w:tc>
          <w:tcPr>
            <w:tcW w:w="106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63" w:type="dxa"/>
            <w:vMerge/>
            <w:tcBorders>
              <w:left w:val="single" w:sz="4" w:space="0" w:color="000000"/>
              <w:right w:val="single" w:sz="4" w:space="0" w:color="000000"/>
            </w:tcBorders>
            <w:shd w:val="clear" w:color="auto" w:fill="D2D2D2"/>
          </w:tcPr>
          <w:p>
            <w:pPr/>
          </w:p>
        </w:tc>
      </w:tr>
      <w:tr>
        <w:trPr>
          <w:trHeight w:val="156" w:hRule="exact"/>
        </w:trPr>
        <w:tc>
          <w:tcPr>
            <w:tcW w:w="1962" w:type="dxa"/>
            <w:vMerge w:val="restart"/>
            <w:tcBorders>
              <w:top w:val="nil" w:sz="6" w:space="0" w:color="auto"/>
              <w:left w:val="single" w:sz="4" w:space="0" w:color="000000"/>
              <w:right w:val="single" w:sz="4" w:space="0" w:color="000000"/>
            </w:tcBorders>
            <w:shd w:val="clear" w:color="auto" w:fill="D2D2D2"/>
          </w:tcPr>
          <w:p>
            <w:pPr/>
          </w:p>
        </w:tc>
        <w:tc>
          <w:tcPr>
            <w:tcW w:w="1145" w:type="dxa"/>
            <w:vMerge w:val="restart"/>
            <w:tcBorders>
              <w:top w:val="nil" w:sz="6" w:space="0" w:color="auto"/>
              <w:left w:val="single" w:sz="4" w:space="0" w:color="000000"/>
              <w:right w:val="single" w:sz="4" w:space="0" w:color="FFFFFF"/>
            </w:tcBorders>
            <w:shd w:val="clear" w:color="auto" w:fill="D2D2D2"/>
          </w:tcPr>
          <w:p>
            <w:pPr/>
          </w:p>
        </w:tc>
        <w:tc>
          <w:tcPr>
            <w:tcW w:w="993" w:type="dxa"/>
            <w:vMerge/>
            <w:tcBorders>
              <w:left w:val="single" w:sz="4" w:space="0" w:color="FFFFFF"/>
              <w:bottom w:val="nil" w:sz="6" w:space="0" w:color="auto"/>
              <w:right w:val="single" w:sz="4" w:space="0" w:color="000000"/>
            </w:tcBorders>
            <w:shd w:val="clear" w:color="auto" w:fill="D2D2D2"/>
          </w:tcPr>
          <w:p>
            <w:pPr/>
          </w:p>
        </w:tc>
        <w:tc>
          <w:tcPr>
            <w:tcW w:w="851" w:type="dxa"/>
            <w:vMerge/>
            <w:tcBorders>
              <w:left w:val="single" w:sz="4" w:space="0" w:color="000000"/>
              <w:right w:val="single" w:sz="4" w:space="0" w:color="000000"/>
            </w:tcBorders>
            <w:shd w:val="clear" w:color="auto" w:fill="D2D2D2"/>
          </w:tcPr>
          <w:p>
            <w:pPr/>
          </w:p>
        </w:tc>
        <w:tc>
          <w:tcPr>
            <w:tcW w:w="992" w:type="dxa"/>
            <w:vMerge/>
            <w:tcBorders>
              <w:left w:val="single" w:sz="4" w:space="0" w:color="000000"/>
              <w:bottom w:val="nil" w:sz="6" w:space="0" w:color="auto"/>
              <w:right w:val="single" w:sz="4" w:space="0" w:color="000000"/>
            </w:tcBorders>
            <w:shd w:val="clear" w:color="auto" w:fill="D2D2D2"/>
          </w:tcPr>
          <w:p>
            <w:pPr/>
          </w:p>
        </w:tc>
        <w:tc>
          <w:tcPr>
            <w:tcW w:w="991" w:type="dxa"/>
            <w:vMerge/>
            <w:tcBorders>
              <w:left w:val="single" w:sz="4" w:space="0" w:color="000000"/>
              <w:bottom w:val="nil" w:sz="6" w:space="0" w:color="auto"/>
              <w:right w:val="single" w:sz="4" w:space="0" w:color="000000"/>
            </w:tcBorders>
            <w:shd w:val="clear" w:color="auto" w:fill="D2D2D2"/>
          </w:tcPr>
          <w:p>
            <w:pPr/>
          </w:p>
        </w:tc>
        <w:tc>
          <w:tcPr>
            <w:tcW w:w="498" w:type="dxa"/>
            <w:vMerge/>
            <w:tcBorders>
              <w:left w:val="single" w:sz="4" w:space="0" w:color="000000"/>
              <w:bottom w:val="nil" w:sz="6" w:space="0" w:color="auto"/>
              <w:right w:val="single" w:sz="4" w:space="0" w:color="000000"/>
            </w:tcBorders>
            <w:shd w:val="clear" w:color="auto" w:fill="D2D2D2"/>
          </w:tcPr>
          <w:p>
            <w:pPr/>
          </w:p>
        </w:tc>
        <w:tc>
          <w:tcPr>
            <w:tcW w:w="1062" w:type="dxa"/>
            <w:vMerge w:val="restart"/>
            <w:tcBorders>
              <w:top w:val="nil" w:sz="6" w:space="0" w:color="auto"/>
              <w:left w:val="single" w:sz="4" w:space="0" w:color="000000"/>
              <w:right w:val="single" w:sz="4" w:space="0" w:color="000000"/>
            </w:tcBorders>
            <w:shd w:val="clear" w:color="auto" w:fill="D2D2D2"/>
          </w:tcPr>
          <w:p>
            <w:pPr/>
          </w:p>
        </w:tc>
        <w:tc>
          <w:tcPr>
            <w:tcW w:w="1063" w:type="dxa"/>
            <w:vMerge/>
            <w:tcBorders>
              <w:left w:val="single" w:sz="4" w:space="0" w:color="000000"/>
              <w:bottom w:val="nil" w:sz="6" w:space="0" w:color="auto"/>
              <w:right w:val="single" w:sz="4" w:space="0" w:color="000000"/>
            </w:tcBorders>
            <w:shd w:val="clear" w:color="auto" w:fill="D2D2D2"/>
          </w:tcPr>
          <w:p>
            <w:pPr/>
          </w:p>
        </w:tc>
      </w:tr>
      <w:tr>
        <w:trPr>
          <w:trHeight w:val="161" w:hRule="exact"/>
        </w:trPr>
        <w:tc>
          <w:tcPr>
            <w:tcW w:w="1962" w:type="dxa"/>
            <w:vMerge/>
            <w:tcBorders>
              <w:left w:val="single" w:sz="4" w:space="0" w:color="000000"/>
              <w:bottom w:val="single" w:sz="4" w:space="0" w:color="000000"/>
              <w:right w:val="single" w:sz="4" w:space="0" w:color="000000"/>
            </w:tcBorders>
            <w:shd w:val="clear" w:color="auto" w:fill="D2D2D2"/>
          </w:tcPr>
          <w:p>
            <w:pPr/>
          </w:p>
        </w:tc>
        <w:tc>
          <w:tcPr>
            <w:tcW w:w="1145" w:type="dxa"/>
            <w:vMerge/>
            <w:tcBorders>
              <w:left w:val="single" w:sz="4" w:space="0" w:color="000000"/>
              <w:bottom w:val="single" w:sz="4" w:space="0" w:color="000000"/>
              <w:right w:val="single" w:sz="4" w:space="0" w:color="FFFFFF"/>
            </w:tcBorders>
            <w:shd w:val="clear" w:color="auto" w:fill="D2D2D2"/>
          </w:tcPr>
          <w:p>
            <w:pPr/>
          </w:p>
        </w:tc>
        <w:tc>
          <w:tcPr>
            <w:tcW w:w="993" w:type="dxa"/>
            <w:tcBorders>
              <w:top w:val="nil" w:sz="6" w:space="0" w:color="auto"/>
              <w:left w:val="single" w:sz="4" w:space="0" w:color="FFFFFF"/>
              <w:bottom w:val="single" w:sz="4" w:space="0" w:color="000000"/>
              <w:right w:val="single" w:sz="4" w:space="0" w:color="000000"/>
            </w:tcBorders>
            <w:shd w:val="clear" w:color="auto" w:fill="D2D2D2"/>
          </w:tcPr>
          <w:p>
            <w:pPr/>
          </w:p>
        </w:tc>
        <w:tc>
          <w:tcPr>
            <w:tcW w:w="851" w:type="dxa"/>
            <w:vMerge/>
            <w:tcBorders>
              <w:left w:val="single" w:sz="4" w:space="0" w:color="000000"/>
              <w:bottom w:val="single" w:sz="4" w:space="0" w:color="000000"/>
              <w:right w:val="single" w:sz="4" w:space="0" w:color="000000"/>
            </w:tcBorders>
            <w:shd w:val="clear" w:color="auto" w:fill="D2D2D2"/>
          </w:tcPr>
          <w:p>
            <w:pPr/>
          </w:p>
        </w:tc>
        <w:tc>
          <w:tcPr>
            <w:tcW w:w="992" w:type="dxa"/>
            <w:tcBorders>
              <w:top w:val="nil" w:sz="6" w:space="0" w:color="auto"/>
              <w:left w:val="single" w:sz="4" w:space="0" w:color="000000"/>
              <w:bottom w:val="single" w:sz="4" w:space="0" w:color="000000"/>
              <w:right w:val="single" w:sz="4" w:space="0" w:color="000000"/>
            </w:tcBorders>
            <w:shd w:val="clear" w:color="auto" w:fill="D2D2D2"/>
          </w:tcPr>
          <w:p>
            <w:pPr/>
          </w:p>
        </w:tc>
        <w:tc>
          <w:tcPr>
            <w:tcW w:w="991" w:type="dxa"/>
            <w:tcBorders>
              <w:top w:val="nil" w:sz="6" w:space="0" w:color="auto"/>
              <w:left w:val="single" w:sz="4" w:space="0" w:color="000000"/>
              <w:bottom w:val="single" w:sz="4" w:space="0" w:color="000000"/>
              <w:right w:val="single" w:sz="4" w:space="0" w:color="000000"/>
            </w:tcBorders>
            <w:shd w:val="clear" w:color="auto" w:fill="D2D2D2"/>
          </w:tcPr>
          <w:p>
            <w:pPr/>
          </w:p>
        </w:tc>
        <w:tc>
          <w:tcPr>
            <w:tcW w:w="498"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2" w:type="dxa"/>
            <w:vMerge/>
            <w:tcBorders>
              <w:left w:val="single" w:sz="4" w:space="0" w:color="000000"/>
              <w:bottom w:val="single" w:sz="4" w:space="0" w:color="000000"/>
              <w:right w:val="single" w:sz="4" w:space="0" w:color="000000"/>
            </w:tcBorders>
            <w:shd w:val="clear" w:color="auto" w:fill="D2D2D2"/>
          </w:tcPr>
          <w:p>
            <w:pPr/>
          </w:p>
        </w:tc>
        <w:tc>
          <w:tcPr>
            <w:tcW w:w="1063"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714"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39"/>
              <w:jc w:val="left"/>
              <w:rPr>
                <w:rFonts w:ascii="宋体" w:hAnsi="宋体" w:cs="宋体" w:eastAsia="宋体" w:hint="default"/>
                <w:sz w:val="18"/>
                <w:szCs w:val="18"/>
              </w:rPr>
            </w:pPr>
            <w:r>
              <w:rPr>
                <w:rFonts w:ascii="宋体" w:hAnsi="宋体" w:cs="宋体" w:eastAsia="宋体" w:hint="default"/>
                <w:sz w:val="18"/>
                <w:szCs w:val="18"/>
              </w:rPr>
              <w:t>农作物信息与气象服务 智能联动综合管理平台</w:t>
            </w:r>
          </w:p>
        </w:tc>
        <w:tc>
          <w:tcPr>
            <w:tcW w:w="1145" w:type="dxa"/>
            <w:tcBorders>
              <w:top w:val="single" w:sz="4" w:space="0" w:color="000000"/>
              <w:left w:val="single" w:sz="9" w:space="0" w:color="D2D2D2"/>
              <w:bottom w:val="single" w:sz="4" w:space="0" w:color="000000"/>
              <w:right w:val="single" w:sz="4" w:space="0" w:color="FFFFFF"/>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242,666.64</w:t>
            </w:r>
          </w:p>
        </w:tc>
        <w:tc>
          <w:tcPr>
            <w:tcW w:w="993" w:type="dxa"/>
            <w:tcBorders>
              <w:top w:val="single" w:sz="4" w:space="0" w:color="000000"/>
              <w:left w:val="single" w:sz="4" w:space="0" w:color="FFFFFF"/>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56,000.04</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186,666.60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6"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39"/>
              <w:jc w:val="both"/>
              <w:rPr>
                <w:rFonts w:ascii="宋体" w:hAnsi="宋体" w:cs="宋体" w:eastAsia="宋体" w:hint="default"/>
                <w:sz w:val="18"/>
                <w:szCs w:val="18"/>
              </w:rPr>
            </w:pPr>
            <w:r>
              <w:rPr>
                <w:rFonts w:ascii="宋体" w:hAnsi="宋体" w:cs="宋体" w:eastAsia="宋体" w:hint="default"/>
                <w:sz w:val="18"/>
                <w:szCs w:val="18"/>
              </w:rPr>
              <w:t>煤矿典型动力灾害风险 判识及监控预警技术研 究</w:t>
            </w:r>
          </w:p>
        </w:tc>
        <w:tc>
          <w:tcPr>
            <w:tcW w:w="1145" w:type="dxa"/>
            <w:tcBorders>
              <w:top w:val="single" w:sz="4" w:space="0" w:color="000000"/>
              <w:left w:val="single" w:sz="9" w:space="0" w:color="D2D2D2"/>
              <w:bottom w:val="single" w:sz="4" w:space="0" w:color="000000"/>
              <w:right w:val="single" w:sz="4" w:space="0" w:color="FFFFFF"/>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155,300.00</w:t>
            </w:r>
          </w:p>
        </w:tc>
        <w:tc>
          <w:tcPr>
            <w:tcW w:w="993" w:type="dxa"/>
            <w:tcBorders>
              <w:top w:val="single" w:sz="4" w:space="0" w:color="000000"/>
              <w:left w:val="single" w:sz="4" w:space="0" w:color="FFFFFF"/>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74,700.00</w:t>
            </w:r>
          </w:p>
        </w:tc>
        <w:tc>
          <w:tcPr>
            <w:tcW w:w="85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230,000.00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固定资产装修补贴</w:t>
            </w:r>
          </w:p>
        </w:tc>
        <w:tc>
          <w:tcPr>
            <w:tcW w:w="1145" w:type="dxa"/>
            <w:tcBorders>
              <w:top w:val="single" w:sz="4" w:space="0" w:color="000000"/>
              <w:left w:val="single" w:sz="9" w:space="0" w:color="D2D2D2"/>
              <w:bottom w:val="single" w:sz="4" w:space="0" w:color="000000"/>
              <w:right w:val="single" w:sz="4" w:space="0" w:color="FFFFFF"/>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210,000.00</w:t>
            </w:r>
          </w:p>
        </w:tc>
        <w:tc>
          <w:tcPr>
            <w:tcW w:w="993" w:type="dxa"/>
            <w:tcBorders>
              <w:top w:val="single" w:sz="4" w:space="0" w:color="000000"/>
              <w:left w:val="single" w:sz="4" w:space="0" w:color="FFFFFF"/>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15,000.00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195,000.00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4"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39"/>
              <w:jc w:val="left"/>
              <w:rPr>
                <w:rFonts w:ascii="宋体" w:hAnsi="宋体" w:cs="宋体" w:eastAsia="宋体" w:hint="default"/>
                <w:sz w:val="18"/>
                <w:szCs w:val="18"/>
              </w:rPr>
            </w:pPr>
            <w:r>
              <w:rPr>
                <w:rFonts w:ascii="宋体" w:hAnsi="宋体" w:cs="宋体" w:eastAsia="宋体" w:hint="default"/>
                <w:sz w:val="18"/>
                <w:szCs w:val="18"/>
              </w:rPr>
              <w:t>电动汽车智能交互系统 研制及产业化</w:t>
            </w:r>
          </w:p>
        </w:tc>
        <w:tc>
          <w:tcPr>
            <w:tcW w:w="1145" w:type="dxa"/>
            <w:tcBorders>
              <w:top w:val="single" w:sz="4" w:space="0" w:color="000000"/>
              <w:left w:val="single" w:sz="9" w:space="0" w:color="D2D2D2"/>
              <w:bottom w:val="single" w:sz="4" w:space="0" w:color="000000"/>
              <w:right w:val="single" w:sz="4" w:space="0" w:color="FFFFFF"/>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198,000.00</w:t>
            </w:r>
          </w:p>
        </w:tc>
        <w:tc>
          <w:tcPr>
            <w:tcW w:w="993" w:type="dxa"/>
            <w:tcBorders>
              <w:top w:val="single" w:sz="4" w:space="0" w:color="000000"/>
              <w:left w:val="single" w:sz="4" w:space="0" w:color="FFFFFF"/>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198,000.00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4"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39"/>
              <w:jc w:val="left"/>
              <w:rPr>
                <w:rFonts w:ascii="宋体" w:hAnsi="宋体" w:cs="宋体" w:eastAsia="宋体" w:hint="default"/>
                <w:sz w:val="18"/>
                <w:szCs w:val="18"/>
              </w:rPr>
            </w:pPr>
            <w:r>
              <w:rPr>
                <w:rFonts w:ascii="宋体" w:hAnsi="宋体" w:cs="宋体" w:eastAsia="宋体" w:hint="default"/>
                <w:sz w:val="18"/>
                <w:szCs w:val="18"/>
              </w:rPr>
              <w:t>面向精确定位与移动通 信的智慧线设备研制</w:t>
            </w:r>
          </w:p>
        </w:tc>
        <w:tc>
          <w:tcPr>
            <w:tcW w:w="1145" w:type="dxa"/>
            <w:tcBorders>
              <w:top w:val="single" w:sz="4" w:space="0" w:color="000000"/>
              <w:left w:val="single" w:sz="9" w:space="0" w:color="D2D2D2"/>
              <w:bottom w:val="single" w:sz="4" w:space="0" w:color="000000"/>
              <w:right w:val="single" w:sz="4" w:space="0" w:color="FFFFFF"/>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1,200,000.00</w:t>
            </w:r>
          </w:p>
        </w:tc>
        <w:tc>
          <w:tcPr>
            <w:tcW w:w="993" w:type="dxa"/>
            <w:tcBorders>
              <w:top w:val="single" w:sz="4" w:space="0" w:color="000000"/>
              <w:left w:val="single" w:sz="4" w:space="0" w:color="FFFFFF"/>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200,000.00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45" w:type="dxa"/>
            <w:tcBorders>
              <w:top w:val="single" w:sz="4" w:space="0" w:color="000000"/>
              <w:left w:val="single" w:sz="9" w:space="0" w:color="D2D2D2"/>
              <w:bottom w:val="single" w:sz="4" w:space="0" w:color="000000"/>
              <w:right w:val="single" w:sz="4" w:space="0" w:color="FFFFFF"/>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2,005,966.64</w:t>
            </w:r>
          </w:p>
        </w:tc>
        <w:tc>
          <w:tcPr>
            <w:tcW w:w="993" w:type="dxa"/>
            <w:tcBorders>
              <w:top w:val="single" w:sz="4" w:space="0" w:color="000000"/>
              <w:left w:val="single" w:sz="4" w:space="0" w:color="FFFFFF"/>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74,700.00</w:t>
            </w:r>
          </w:p>
        </w:tc>
        <w:tc>
          <w:tcPr>
            <w:tcW w:w="851"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469,000.04</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1,611,666.60</w:t>
            </w:r>
          </w:p>
        </w:tc>
        <w:tc>
          <w:tcPr>
            <w:tcW w:w="106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400" w:bottom="1160" w:left="102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43、其他非流动负债" w:id="316"/>
      <w:bookmarkEnd w:id="316"/>
      <w:r>
        <w:rPr>
          <w:b w:val="0"/>
          <w:bCs w:val="0"/>
        </w:rPr>
      </w:r>
      <w:r>
        <w:rPr>
          <w:rFonts w:ascii="Times New Roman" w:hAnsi="Times New Roman" w:cs="Times New Roman" w:eastAsia="Times New Roman" w:hint="default"/>
        </w:rPr>
        <w:t>43</w:t>
      </w:r>
      <w:r>
        <w:rPr/>
        <w:t>、其他非流动负债</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14" w:right="0"/>
        <w:jc w:val="left"/>
      </w:pPr>
      <w:r>
        <w:rPr/>
        <w:t>无。</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44、股本" w:id="317"/>
      <w:bookmarkEnd w:id="317"/>
      <w:r>
        <w:rPr>
          <w:b w:val="0"/>
          <w:bCs w:val="0"/>
        </w:rPr>
      </w:r>
      <w:r>
        <w:rPr>
          <w:rFonts w:ascii="Times New Roman" w:hAnsi="Times New Roman" w:cs="Times New Roman" w:eastAsia="Times New Roman" w:hint="default"/>
        </w:rPr>
        <w:t>44</w:t>
      </w:r>
      <w:r>
        <w:rPr/>
        <w:t>、股本</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184"/>
        <w:gridCol w:w="1357"/>
        <w:gridCol w:w="1036"/>
        <w:gridCol w:w="1197"/>
        <w:gridCol w:w="1195"/>
        <w:gridCol w:w="1197"/>
        <w:gridCol w:w="1034"/>
        <w:gridCol w:w="1357"/>
      </w:tblGrid>
      <w:tr>
        <w:trPr>
          <w:trHeight w:val="206" w:hRule="exact"/>
        </w:trPr>
        <w:tc>
          <w:tcPr>
            <w:tcW w:w="1184" w:type="dxa"/>
            <w:tcBorders>
              <w:top w:val="single" w:sz="4" w:space="0" w:color="000000"/>
              <w:left w:val="single" w:sz="4" w:space="0" w:color="000000"/>
              <w:bottom w:val="nil" w:sz="6" w:space="0" w:color="auto"/>
              <w:right w:val="single" w:sz="4" w:space="0" w:color="000000"/>
            </w:tcBorders>
            <w:shd w:val="clear" w:color="auto" w:fill="D2D2D2"/>
          </w:tcPr>
          <w:p>
            <w:pPr/>
          </w:p>
        </w:tc>
        <w:tc>
          <w:tcPr>
            <w:tcW w:w="1357" w:type="dxa"/>
            <w:tcBorders>
              <w:top w:val="single" w:sz="4" w:space="0" w:color="000000"/>
              <w:left w:val="single" w:sz="4" w:space="0" w:color="000000"/>
              <w:bottom w:val="nil" w:sz="6" w:space="0" w:color="auto"/>
              <w:right w:val="single" w:sz="4" w:space="0" w:color="000000"/>
            </w:tcBorders>
            <w:shd w:val="clear" w:color="auto" w:fill="D2D2D2"/>
          </w:tcPr>
          <w:p>
            <w:pPr/>
          </w:p>
        </w:tc>
        <w:tc>
          <w:tcPr>
            <w:tcW w:w="5659"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878"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5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1" w:hRule="exact"/>
        </w:trPr>
        <w:tc>
          <w:tcPr>
            <w:tcW w:w="1184" w:type="dxa"/>
            <w:vMerge w:val="restart"/>
            <w:tcBorders>
              <w:top w:val="nil" w:sz="6" w:space="0" w:color="auto"/>
              <w:left w:val="single" w:sz="4" w:space="0" w:color="000000"/>
              <w:right w:val="single" w:sz="4" w:space="0" w:color="000000"/>
            </w:tcBorders>
            <w:shd w:val="clear" w:color="auto" w:fill="D2D2D2"/>
          </w:tcPr>
          <w:p>
            <w:pPr/>
          </w:p>
        </w:tc>
        <w:tc>
          <w:tcPr>
            <w:tcW w:w="135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1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659" w:type="dxa"/>
            <w:gridSpan w:val="5"/>
            <w:vMerge/>
            <w:tcBorders>
              <w:left w:val="single" w:sz="4" w:space="0" w:color="000000"/>
              <w:bottom w:val="single" w:sz="4" w:space="0" w:color="000000"/>
              <w:right w:val="single" w:sz="4" w:space="0" w:color="000000"/>
            </w:tcBorders>
            <w:shd w:val="clear" w:color="auto" w:fill="D2D2D2"/>
          </w:tcPr>
          <w:p>
            <w:pPr/>
          </w:p>
        </w:tc>
        <w:tc>
          <w:tcPr>
            <w:tcW w:w="135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200" w:hRule="exact"/>
        </w:trPr>
        <w:tc>
          <w:tcPr>
            <w:tcW w:w="1184" w:type="dxa"/>
            <w:vMerge/>
            <w:tcBorders>
              <w:left w:val="single" w:sz="4" w:space="0" w:color="000000"/>
              <w:bottom w:val="nil" w:sz="6" w:space="0" w:color="auto"/>
              <w:right w:val="single" w:sz="4" w:space="0" w:color="000000"/>
            </w:tcBorders>
            <w:shd w:val="clear" w:color="auto" w:fill="D2D2D2"/>
          </w:tcPr>
          <w:p>
            <w:pPr/>
          </w:p>
        </w:tc>
        <w:tc>
          <w:tcPr>
            <w:tcW w:w="1357" w:type="dxa"/>
            <w:vMerge/>
            <w:tcBorders>
              <w:left w:val="single" w:sz="4" w:space="0" w:color="000000"/>
              <w:bottom w:val="nil" w:sz="6" w:space="0" w:color="auto"/>
              <w:right w:val="single" w:sz="4" w:space="0" w:color="000000"/>
            </w:tcBorders>
            <w:shd w:val="clear" w:color="auto" w:fill="D2D2D2"/>
          </w:tcPr>
          <w:p>
            <w:pPr/>
          </w:p>
        </w:tc>
        <w:tc>
          <w:tcPr>
            <w:tcW w:w="10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52"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1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42"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03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37"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357"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1184" w:type="dxa"/>
            <w:tcBorders>
              <w:top w:val="nil" w:sz="6" w:space="0" w:color="auto"/>
              <w:left w:val="single" w:sz="4" w:space="0" w:color="000000"/>
              <w:bottom w:val="single" w:sz="4" w:space="0" w:color="000000"/>
              <w:right w:val="single" w:sz="4" w:space="0" w:color="000000"/>
            </w:tcBorders>
            <w:shd w:val="clear" w:color="auto" w:fill="D2D2D2"/>
          </w:tcPr>
          <w:p>
            <w:pPr/>
          </w:p>
        </w:tc>
        <w:tc>
          <w:tcPr>
            <w:tcW w:w="1357" w:type="dxa"/>
            <w:tcBorders>
              <w:top w:val="nil" w:sz="6" w:space="0" w:color="auto"/>
              <w:left w:val="single" w:sz="4" w:space="0" w:color="000000"/>
              <w:bottom w:val="single" w:sz="4" w:space="0" w:color="000000"/>
              <w:right w:val="single" w:sz="4" w:space="0" w:color="000000"/>
            </w:tcBorders>
            <w:shd w:val="clear" w:color="auto" w:fill="D2D2D2"/>
          </w:tcPr>
          <w:p>
            <w:pPr/>
          </w:p>
        </w:tc>
        <w:tc>
          <w:tcPr>
            <w:tcW w:w="1036" w:type="dxa"/>
            <w:vMerge/>
            <w:tcBorders>
              <w:left w:val="single" w:sz="4" w:space="0" w:color="000000"/>
              <w:bottom w:val="single" w:sz="4" w:space="0" w:color="000000"/>
              <w:right w:val="single" w:sz="4" w:space="0" w:color="000000"/>
            </w:tcBorders>
            <w:shd w:val="clear" w:color="auto" w:fill="D2D2D2"/>
          </w:tcPr>
          <w:p>
            <w:pPr/>
          </w:p>
        </w:tc>
        <w:tc>
          <w:tcPr>
            <w:tcW w:w="1197" w:type="dxa"/>
            <w:vMerge/>
            <w:tcBorders>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7" w:type="dxa"/>
            <w:vMerge/>
            <w:tcBorders>
              <w:left w:val="single" w:sz="4" w:space="0" w:color="000000"/>
              <w:bottom w:val="single" w:sz="4" w:space="0" w:color="000000"/>
              <w:right w:val="single" w:sz="4" w:space="0" w:color="000000"/>
            </w:tcBorders>
            <w:shd w:val="clear" w:color="auto" w:fill="D2D2D2"/>
          </w:tcPr>
          <w:p>
            <w:pPr/>
          </w:p>
        </w:tc>
        <w:tc>
          <w:tcPr>
            <w:tcW w:w="1034" w:type="dxa"/>
            <w:vMerge/>
            <w:tcBorders>
              <w:left w:val="single" w:sz="4" w:space="0" w:color="000000"/>
              <w:bottom w:val="single" w:sz="4" w:space="0" w:color="000000"/>
              <w:right w:val="single" w:sz="4" w:space="0" w:color="000000"/>
            </w:tcBorders>
            <w:shd w:val="clear" w:color="auto" w:fill="D2D2D2"/>
          </w:tcPr>
          <w:p>
            <w:pPr/>
          </w:p>
        </w:tc>
        <w:tc>
          <w:tcPr>
            <w:tcW w:w="135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1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35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1,961,091,984.00</w:t>
            </w:r>
          </w:p>
        </w:tc>
        <w:tc>
          <w:tcPr>
            <w:tcW w:w="103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 w:right="0"/>
              <w:jc w:val="left"/>
              <w:rPr>
                <w:rFonts w:ascii="Times New Roman" w:hAnsi="Times New Roman" w:cs="Times New Roman" w:eastAsia="Times New Roman" w:hint="default"/>
                <w:sz w:val="18"/>
                <w:szCs w:val="18"/>
              </w:rPr>
            </w:pPr>
            <w:r>
              <w:rPr>
                <w:rFonts w:ascii="Times New Roman"/>
                <w:sz w:val="18"/>
              </w:rPr>
              <w:t>1,961,091,984.00</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p>
      <w:pPr>
        <w:pStyle w:val="Heading3"/>
        <w:spacing w:line="240" w:lineRule="auto" w:before="35"/>
        <w:ind w:right="0"/>
        <w:jc w:val="left"/>
        <w:rPr>
          <w:b w:val="0"/>
          <w:bCs w:val="0"/>
        </w:rPr>
      </w:pPr>
      <w:bookmarkStart w:name="45、其他权益工具" w:id="318"/>
      <w:bookmarkEnd w:id="318"/>
      <w:r>
        <w:rPr>
          <w:b w:val="0"/>
          <w:bCs w:val="0"/>
        </w:rPr>
      </w:r>
      <w:r>
        <w:rPr>
          <w:rFonts w:ascii="Times New Roman" w:hAnsi="Times New Roman" w:cs="Times New Roman" w:eastAsia="Times New Roman" w:hint="default"/>
        </w:rPr>
        <w:t>45</w:t>
      </w:r>
      <w:r>
        <w:rPr/>
        <w:t>、其他权益工具</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9536"/>
        <w:jc w:val="center"/>
      </w:pPr>
      <w:r>
        <w:rPr/>
        <w:t>无。</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46、资本公积" w:id="319"/>
      <w:bookmarkEnd w:id="319"/>
      <w:r>
        <w:rPr>
          <w:b w:val="0"/>
          <w:bCs w:val="0"/>
        </w:rPr>
      </w:r>
      <w:r>
        <w:rPr>
          <w:rFonts w:ascii="Times New Roman" w:hAnsi="Times New Roman" w:cs="Times New Roman" w:eastAsia="Times New Roman" w:hint="default"/>
        </w:rPr>
        <w:t>46</w:t>
      </w:r>
      <w:r>
        <w:rPr/>
        <w:t>、资本公积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395,775,886.70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20,307,984.12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416,083,870.82</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31,479,850.34</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31,479,850.34</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427,255,737.04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20,307,984.12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447,563,721.16</w:t>
            </w:r>
          </w:p>
        </w:tc>
      </w:tr>
    </w:tbl>
    <w:p>
      <w:pPr>
        <w:spacing w:line="420" w:lineRule="auto" w:before="88"/>
        <w:ind w:left="514" w:right="1709" w:firstLine="1"/>
        <w:jc w:val="left"/>
        <w:rPr>
          <w:rFonts w:ascii="宋体" w:hAnsi="宋体" w:cs="宋体" w:eastAsia="宋体" w:hint="default"/>
          <w:sz w:val="18"/>
          <w:szCs w:val="18"/>
        </w:rPr>
      </w:pPr>
      <w:r>
        <w:rPr>
          <w:rFonts w:ascii="宋体" w:hAnsi="宋体" w:cs="宋体" w:eastAsia="宋体" w:hint="default"/>
          <w:b/>
          <w:bCs/>
          <w:sz w:val="18"/>
          <w:szCs w:val="18"/>
        </w:rPr>
        <w:t>1.</w:t>
      </w:r>
      <w:r>
        <w:rPr>
          <w:rFonts w:ascii="宋体" w:hAnsi="宋体" w:cs="宋体" w:eastAsia="宋体" w:hint="default"/>
          <w:b/>
          <w:bCs/>
          <w:sz w:val="18"/>
          <w:szCs w:val="18"/>
        </w:rPr>
        <w:t>股本溢价本期变动为：</w:t>
      </w:r>
      <w:r>
        <w:rPr>
          <w:rFonts w:ascii="宋体" w:hAnsi="宋体" w:cs="宋体" w:eastAsia="宋体" w:hint="default"/>
          <w:b/>
          <w:bCs/>
          <w:w w:val="99"/>
          <w:sz w:val="18"/>
          <w:szCs w:val="18"/>
        </w:rPr>
        <w:t> </w:t>
      </w:r>
      <w:r>
        <w:rPr>
          <w:rFonts w:ascii="宋体" w:hAnsi="宋体" w:cs="宋体" w:eastAsia="宋体" w:hint="default"/>
          <w:sz w:val="18"/>
          <w:szCs w:val="18"/>
        </w:rPr>
        <w:t>报告期内，由于北京神州祥升软件有限公司</w:t>
      </w:r>
      <w:r>
        <w:rPr>
          <w:rFonts w:ascii="Times New Roman" w:hAnsi="Times New Roman" w:cs="Times New Roman" w:eastAsia="Times New Roman" w:hint="default"/>
          <w:sz w:val="18"/>
          <w:szCs w:val="18"/>
        </w:rPr>
        <w:t>2017</w:t>
      </w:r>
      <w:r>
        <w:rPr>
          <w:rFonts w:ascii="宋体" w:hAnsi="宋体" w:cs="宋体" w:eastAsia="宋体" w:hint="default"/>
          <w:sz w:val="18"/>
          <w:szCs w:val="18"/>
        </w:rPr>
        <w:t>年度未完成利润承诺，因补偿相应增加“资本公积</w:t>
      </w:r>
      <w:r>
        <w:rPr>
          <w:rFonts w:ascii="Times New Roman" w:hAnsi="Times New Roman" w:cs="Times New Roman" w:eastAsia="Times New Roman" w:hint="default"/>
          <w:sz w:val="18"/>
          <w:szCs w:val="18"/>
        </w:rPr>
        <w:t>-</w:t>
      </w:r>
      <w:r>
        <w:rPr>
          <w:rFonts w:ascii="宋体" w:hAnsi="宋体" w:cs="宋体" w:eastAsia="宋体" w:hint="default"/>
          <w:sz w:val="18"/>
          <w:szCs w:val="18"/>
        </w:rPr>
        <w:t>资本溢价”</w:t>
      </w:r>
    </w:p>
    <w:p>
      <w:pPr>
        <w:pStyle w:val="BodyText"/>
        <w:spacing w:line="209" w:lineRule="exact"/>
        <w:ind w:right="0"/>
        <w:jc w:val="left"/>
      </w:pPr>
      <w:r>
        <w:rPr>
          <w:rFonts w:ascii="Times New Roman" w:hAnsi="Times New Roman" w:cs="Times New Roman" w:eastAsia="Times New Roman" w:hint="default"/>
        </w:rPr>
        <w:t>20,307,984.12</w:t>
      </w:r>
      <w:r>
        <w:rPr/>
        <w:t>元。</w:t>
      </w:r>
    </w:p>
    <w:p>
      <w:pPr>
        <w:spacing w:line="240" w:lineRule="auto" w:before="0"/>
        <w:rPr>
          <w:rFonts w:ascii="宋体" w:hAnsi="宋体" w:cs="宋体" w:eastAsia="宋体" w:hint="default"/>
          <w:sz w:val="18"/>
          <w:szCs w:val="18"/>
        </w:rPr>
      </w:pPr>
    </w:p>
    <w:p>
      <w:pPr>
        <w:pStyle w:val="Heading3"/>
        <w:spacing w:line="240" w:lineRule="auto" w:before="127"/>
        <w:ind w:right="0"/>
        <w:jc w:val="left"/>
        <w:rPr>
          <w:b w:val="0"/>
          <w:bCs w:val="0"/>
        </w:rPr>
      </w:pPr>
      <w:bookmarkStart w:name="47、库存股" w:id="320"/>
      <w:bookmarkEnd w:id="320"/>
      <w:r>
        <w:rPr>
          <w:b w:val="0"/>
          <w:bCs w:val="0"/>
        </w:rPr>
      </w:r>
      <w:r>
        <w:rPr>
          <w:rFonts w:ascii="Times New Roman" w:hAnsi="Times New Roman" w:cs="Times New Roman" w:eastAsia="Times New Roman" w:hint="default"/>
        </w:rPr>
        <w:t>47</w:t>
      </w:r>
      <w:r>
        <w:rPr/>
        <w:t>、库存股</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14" w:right="0"/>
        <w:jc w:val="left"/>
      </w:pPr>
      <w:r>
        <w:rPr/>
        <w:t>无。</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48、其他综合收益" w:id="321"/>
      <w:bookmarkEnd w:id="321"/>
      <w:r>
        <w:rPr>
          <w:b w:val="0"/>
          <w:bCs w:val="0"/>
        </w:rPr>
      </w:r>
      <w:r>
        <w:rPr>
          <w:rFonts w:ascii="Times New Roman" w:hAnsi="Times New Roman" w:cs="Times New Roman" w:eastAsia="Times New Roman" w:hint="default"/>
        </w:rPr>
        <w:t>48</w:t>
      </w:r>
      <w:r>
        <w:rPr/>
        <w:t>、其他综合收益</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32"/>
        <w:gridCol w:w="1134"/>
        <w:gridCol w:w="1134"/>
        <w:gridCol w:w="1276"/>
        <w:gridCol w:w="851"/>
        <w:gridCol w:w="1276"/>
        <w:gridCol w:w="992"/>
        <w:gridCol w:w="1062"/>
      </w:tblGrid>
      <w:tr>
        <w:trPr>
          <w:trHeight w:val="397" w:hRule="exact"/>
        </w:trPr>
        <w:tc>
          <w:tcPr>
            <w:tcW w:w="1832" w:type="dxa"/>
            <w:vMerge w:val="restart"/>
            <w:tcBorders>
              <w:top w:val="single" w:sz="4" w:space="0" w:color="000000"/>
              <w:left w:val="single" w:sz="4" w:space="0" w:color="000000"/>
              <w:right w:val="single" w:sz="4" w:space="0" w:color="000000"/>
            </w:tcBorders>
            <w:shd w:val="clear" w:color="auto" w:fill="D2D2D2"/>
          </w:tcPr>
          <w:p>
            <w:pPr/>
          </w:p>
        </w:tc>
        <w:tc>
          <w:tcPr>
            <w:tcW w:w="1134" w:type="dxa"/>
            <w:vMerge w:val="restart"/>
            <w:tcBorders>
              <w:top w:val="single" w:sz="4" w:space="0" w:color="000000"/>
              <w:left w:val="single" w:sz="4" w:space="0" w:color="000000"/>
              <w:right w:val="single" w:sz="4" w:space="0" w:color="000000"/>
            </w:tcBorders>
            <w:shd w:val="clear" w:color="auto" w:fill="D2D2D2"/>
          </w:tcPr>
          <w:p>
            <w:pPr/>
          </w:p>
        </w:tc>
        <w:tc>
          <w:tcPr>
            <w:tcW w:w="552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1062" w:type="dxa"/>
            <w:vMerge w:val="restart"/>
            <w:tcBorders>
              <w:top w:val="single" w:sz="4" w:space="0" w:color="000000"/>
              <w:left w:val="single" w:sz="4" w:space="0" w:color="000000"/>
              <w:right w:val="single" w:sz="4" w:space="0" w:color="000000"/>
            </w:tcBorders>
            <w:shd w:val="clear" w:color="auto" w:fill="D2D2D2"/>
          </w:tcPr>
          <w:p>
            <w:pPr/>
          </w:p>
        </w:tc>
      </w:tr>
      <w:tr>
        <w:trPr>
          <w:trHeight w:val="143" w:hRule="exact"/>
        </w:trPr>
        <w:tc>
          <w:tcPr>
            <w:tcW w:w="1832" w:type="dxa"/>
            <w:vMerge/>
            <w:tcBorders>
              <w:left w:val="single" w:sz="4" w:space="0" w:color="000000"/>
              <w:bottom w:val="nil" w:sz="6" w:space="0" w:color="auto"/>
              <w:right w:val="single" w:sz="4" w:space="0" w:color="000000"/>
            </w:tcBorders>
            <w:shd w:val="clear" w:color="auto" w:fill="D2D2D2"/>
          </w:tcPr>
          <w:p>
            <w:pPr/>
          </w:p>
        </w:tc>
        <w:tc>
          <w:tcPr>
            <w:tcW w:w="1134" w:type="dxa"/>
            <w:vMerge/>
            <w:tcBorders>
              <w:left w:val="single" w:sz="4" w:space="0" w:color="000000"/>
              <w:bottom w:val="nil" w:sz="6" w:space="0" w:color="auto"/>
              <w:right w:val="single" w:sz="4" w:space="0" w:color="000000"/>
            </w:tcBorders>
            <w:shd w:val="clear" w:color="auto" w:fill="D2D2D2"/>
          </w:tcPr>
          <w:p>
            <w:pPr/>
          </w:p>
        </w:tc>
        <w:tc>
          <w:tcPr>
            <w:tcW w:w="1134"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6"/>
              <w:ind w:left="22" w:right="20"/>
              <w:jc w:val="center"/>
              <w:rPr>
                <w:rFonts w:ascii="宋体" w:hAnsi="宋体" w:cs="宋体" w:eastAsia="宋体" w:hint="default"/>
                <w:sz w:val="18"/>
                <w:szCs w:val="18"/>
              </w:rPr>
            </w:pPr>
            <w:r>
              <w:rPr>
                <w:rFonts w:ascii="宋体" w:hAnsi="宋体" w:cs="宋体" w:eastAsia="宋体" w:hint="default"/>
                <w:spacing w:val="-6"/>
                <w:sz w:val="18"/>
                <w:szCs w:val="18"/>
              </w:rPr>
              <w:t>减：前期计入其</w:t>
            </w:r>
            <w:r>
              <w:rPr>
                <w:rFonts w:ascii="宋体" w:hAnsi="宋体" w:cs="宋体" w:eastAsia="宋体" w:hint="default"/>
                <w:sz w:val="18"/>
                <w:szCs w:val="18"/>
              </w:rPr>
              <w:t> 他综合收益当 期转入损益</w:t>
            </w:r>
          </w:p>
        </w:tc>
        <w:tc>
          <w:tcPr>
            <w:tcW w:w="851"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6" w:type="dxa"/>
            <w:tcBorders>
              <w:top w:val="single" w:sz="4" w:space="0" w:color="000000"/>
              <w:left w:val="single" w:sz="4" w:space="0" w:color="000000"/>
              <w:bottom w:val="nil" w:sz="6" w:space="0" w:color="auto"/>
              <w:right w:val="single" w:sz="4" w:space="0" w:color="000000"/>
            </w:tcBorders>
            <w:shd w:val="clear" w:color="auto" w:fill="D2D2D2"/>
          </w:tcPr>
          <w:p>
            <w:pPr/>
          </w:p>
        </w:tc>
        <w:tc>
          <w:tcPr>
            <w:tcW w:w="992"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2" w:type="dxa"/>
            <w:vMerge/>
            <w:tcBorders>
              <w:left w:val="single" w:sz="4" w:space="0" w:color="000000"/>
              <w:bottom w:val="nil" w:sz="6" w:space="0" w:color="auto"/>
              <w:right w:val="single" w:sz="4" w:space="0" w:color="000000"/>
            </w:tcBorders>
            <w:shd w:val="clear" w:color="auto" w:fill="D2D2D2"/>
          </w:tcPr>
          <w:p>
            <w:pPr/>
          </w:p>
        </w:tc>
      </w:tr>
      <w:tr>
        <w:trPr>
          <w:trHeight w:val="370" w:hRule="exact"/>
        </w:trPr>
        <w:tc>
          <w:tcPr>
            <w:tcW w:w="183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8"/>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11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8"/>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134"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74"/>
              <w:ind w:left="201" w:right="111" w:hanging="90"/>
              <w:jc w:val="left"/>
              <w:rPr>
                <w:rFonts w:ascii="宋体" w:hAnsi="宋体" w:cs="宋体" w:eastAsia="宋体" w:hint="default"/>
                <w:sz w:val="18"/>
                <w:szCs w:val="18"/>
              </w:rPr>
            </w:pPr>
            <w:r>
              <w:rPr>
                <w:rFonts w:ascii="宋体" w:hAnsi="宋体" w:cs="宋体" w:eastAsia="宋体" w:hint="default"/>
                <w:sz w:val="18"/>
                <w:szCs w:val="18"/>
              </w:rPr>
              <w:t>本期所得税 前发生额</w:t>
            </w:r>
          </w:p>
        </w:tc>
        <w:tc>
          <w:tcPr>
            <w:tcW w:w="1276" w:type="dxa"/>
            <w:vMerge/>
            <w:tcBorders>
              <w:left w:val="single" w:sz="4" w:space="0" w:color="000000"/>
              <w:right w:val="single" w:sz="4" w:space="0" w:color="000000"/>
            </w:tcBorders>
            <w:shd w:val="clear" w:color="auto" w:fill="D2D2D2"/>
          </w:tcPr>
          <w:p>
            <w:pPr/>
          </w:p>
        </w:tc>
        <w:tc>
          <w:tcPr>
            <w:tcW w:w="851"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74"/>
              <w:ind w:left="149" w:right="59" w:hanging="90"/>
              <w:jc w:val="left"/>
              <w:rPr>
                <w:rFonts w:ascii="宋体" w:hAnsi="宋体" w:cs="宋体" w:eastAsia="宋体" w:hint="default"/>
                <w:sz w:val="18"/>
                <w:szCs w:val="18"/>
              </w:rPr>
            </w:pPr>
            <w:r>
              <w:rPr>
                <w:rFonts w:ascii="宋体" w:hAnsi="宋体" w:cs="宋体" w:eastAsia="宋体" w:hint="default"/>
                <w:sz w:val="18"/>
                <w:szCs w:val="18"/>
              </w:rPr>
              <w:t>减：所得 税费用</w:t>
            </w:r>
          </w:p>
        </w:tc>
        <w:tc>
          <w:tcPr>
            <w:tcW w:w="1276"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74"/>
              <w:ind w:left="452" w:right="93" w:hanging="360"/>
              <w:jc w:val="left"/>
              <w:rPr>
                <w:rFonts w:ascii="宋体" w:hAnsi="宋体" w:cs="宋体" w:eastAsia="宋体" w:hint="default"/>
                <w:sz w:val="18"/>
                <w:szCs w:val="18"/>
              </w:rPr>
            </w:pPr>
            <w:r>
              <w:rPr>
                <w:rFonts w:ascii="宋体" w:hAnsi="宋体" w:cs="宋体" w:eastAsia="宋体" w:hint="default"/>
                <w:sz w:val="18"/>
                <w:szCs w:val="18"/>
              </w:rPr>
              <w:t>税后归属于母 公司</w:t>
            </w:r>
          </w:p>
        </w:tc>
        <w:tc>
          <w:tcPr>
            <w:tcW w:w="992"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74"/>
              <w:ind w:left="130" w:right="41" w:hanging="90"/>
              <w:jc w:val="left"/>
              <w:rPr>
                <w:rFonts w:ascii="宋体" w:hAnsi="宋体" w:cs="宋体" w:eastAsia="宋体" w:hint="default"/>
                <w:sz w:val="18"/>
                <w:szCs w:val="18"/>
              </w:rPr>
            </w:pPr>
            <w:r>
              <w:rPr>
                <w:rFonts w:ascii="宋体" w:hAnsi="宋体" w:cs="宋体" w:eastAsia="宋体" w:hint="default"/>
                <w:sz w:val="18"/>
                <w:szCs w:val="18"/>
              </w:rPr>
              <w:t>税后归属于 少数股东</w:t>
            </w:r>
          </w:p>
        </w:tc>
        <w:tc>
          <w:tcPr>
            <w:tcW w:w="106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8"/>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58" w:hRule="exact"/>
        </w:trPr>
        <w:tc>
          <w:tcPr>
            <w:tcW w:w="1832" w:type="dxa"/>
            <w:vMerge w:val="restart"/>
            <w:tcBorders>
              <w:top w:val="nil" w:sz="6" w:space="0" w:color="auto"/>
              <w:left w:val="single" w:sz="4" w:space="0" w:color="000000"/>
              <w:right w:val="single" w:sz="4" w:space="0" w:color="000000"/>
            </w:tcBorders>
            <w:shd w:val="clear" w:color="auto" w:fill="D2D2D2"/>
          </w:tcPr>
          <w:p>
            <w:pPr/>
          </w:p>
        </w:tc>
        <w:tc>
          <w:tcPr>
            <w:tcW w:w="1134" w:type="dxa"/>
            <w:vMerge w:val="restart"/>
            <w:tcBorders>
              <w:top w:val="nil" w:sz="6" w:space="0" w:color="auto"/>
              <w:left w:val="single" w:sz="4" w:space="0" w:color="000000"/>
              <w:right w:val="single" w:sz="4" w:space="0" w:color="000000"/>
            </w:tcBorders>
            <w:shd w:val="clear" w:color="auto" w:fill="D2D2D2"/>
          </w:tcPr>
          <w:p>
            <w:pPr/>
          </w:p>
        </w:tc>
        <w:tc>
          <w:tcPr>
            <w:tcW w:w="1134" w:type="dxa"/>
            <w:vMerge/>
            <w:tcBorders>
              <w:left w:val="single" w:sz="4" w:space="0" w:color="000000"/>
              <w:bottom w:val="nil" w:sz="6" w:space="0" w:color="auto"/>
              <w:right w:val="single" w:sz="4" w:space="0" w:color="000000"/>
            </w:tcBorders>
            <w:shd w:val="clear" w:color="auto" w:fill="D2D2D2"/>
          </w:tcPr>
          <w:p>
            <w:pPr/>
          </w:p>
        </w:tc>
        <w:tc>
          <w:tcPr>
            <w:tcW w:w="1276" w:type="dxa"/>
            <w:vMerge/>
            <w:tcBorders>
              <w:left w:val="single" w:sz="4" w:space="0" w:color="000000"/>
              <w:right w:val="single" w:sz="4" w:space="0" w:color="000000"/>
            </w:tcBorders>
            <w:shd w:val="clear" w:color="auto" w:fill="D2D2D2"/>
          </w:tcPr>
          <w:p>
            <w:pPr/>
          </w:p>
        </w:tc>
        <w:tc>
          <w:tcPr>
            <w:tcW w:w="851" w:type="dxa"/>
            <w:vMerge/>
            <w:tcBorders>
              <w:left w:val="single" w:sz="4" w:space="0" w:color="000000"/>
              <w:bottom w:val="nil" w:sz="6" w:space="0" w:color="auto"/>
              <w:right w:val="single" w:sz="4" w:space="0" w:color="000000"/>
            </w:tcBorders>
            <w:shd w:val="clear" w:color="auto" w:fill="D2D2D2"/>
          </w:tcPr>
          <w:p>
            <w:pPr/>
          </w:p>
        </w:tc>
        <w:tc>
          <w:tcPr>
            <w:tcW w:w="1276" w:type="dxa"/>
            <w:vMerge/>
            <w:tcBorders>
              <w:left w:val="single" w:sz="4" w:space="0" w:color="000000"/>
              <w:bottom w:val="nil" w:sz="6" w:space="0" w:color="auto"/>
              <w:right w:val="single" w:sz="4" w:space="0" w:color="000000"/>
            </w:tcBorders>
            <w:shd w:val="clear" w:color="auto" w:fill="D2D2D2"/>
          </w:tcPr>
          <w:p>
            <w:pPr/>
          </w:p>
        </w:tc>
        <w:tc>
          <w:tcPr>
            <w:tcW w:w="992" w:type="dxa"/>
            <w:vMerge/>
            <w:tcBorders>
              <w:left w:val="single" w:sz="4" w:space="0" w:color="000000"/>
              <w:bottom w:val="nil" w:sz="6" w:space="0" w:color="auto"/>
              <w:right w:val="single" w:sz="4" w:space="0" w:color="000000"/>
            </w:tcBorders>
            <w:shd w:val="clear" w:color="auto" w:fill="D2D2D2"/>
          </w:tcPr>
          <w:p>
            <w:pPr/>
          </w:p>
        </w:tc>
        <w:tc>
          <w:tcPr>
            <w:tcW w:w="106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832" w:type="dxa"/>
            <w:vMerge/>
            <w:tcBorders>
              <w:left w:val="single" w:sz="4" w:space="0" w:color="000000"/>
              <w:bottom w:val="single" w:sz="4" w:space="0" w:color="000000"/>
              <w:right w:val="single" w:sz="4" w:space="0" w:color="000000"/>
            </w:tcBorders>
            <w:shd w:val="clear" w:color="auto" w:fill="D2D2D2"/>
          </w:tcPr>
          <w:p>
            <w:pPr/>
          </w:p>
        </w:tc>
        <w:tc>
          <w:tcPr>
            <w:tcW w:w="1134" w:type="dxa"/>
            <w:vMerge/>
            <w:tcBorders>
              <w:left w:val="single" w:sz="4" w:space="0" w:color="000000"/>
              <w:bottom w:val="single" w:sz="4" w:space="0" w:color="000000"/>
              <w:right w:val="single" w:sz="4" w:space="0" w:color="000000"/>
            </w:tcBorders>
            <w:shd w:val="clear" w:color="auto" w:fill="D2D2D2"/>
          </w:tcPr>
          <w:p>
            <w:pPr/>
          </w:p>
        </w:tc>
        <w:tc>
          <w:tcPr>
            <w:tcW w:w="1134"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6" w:type="dxa"/>
            <w:vMerge/>
            <w:tcBorders>
              <w:left w:val="single" w:sz="4" w:space="0" w:color="000000"/>
              <w:bottom w:val="single" w:sz="4" w:space="0" w:color="000000"/>
              <w:right w:val="single" w:sz="4" w:space="0" w:color="000000"/>
            </w:tcBorders>
            <w:shd w:val="clear" w:color="auto" w:fill="D2D2D2"/>
          </w:tcPr>
          <w:p>
            <w:pPr/>
          </w:p>
        </w:tc>
        <w:tc>
          <w:tcPr>
            <w:tcW w:w="851"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6" w:type="dxa"/>
            <w:tcBorders>
              <w:top w:val="nil" w:sz="6" w:space="0" w:color="auto"/>
              <w:left w:val="single" w:sz="4" w:space="0" w:color="000000"/>
              <w:bottom w:val="single" w:sz="4" w:space="0" w:color="000000"/>
              <w:right w:val="single" w:sz="4" w:space="0" w:color="000000"/>
            </w:tcBorders>
            <w:shd w:val="clear" w:color="auto" w:fill="D2D2D2"/>
          </w:tcPr>
          <w:p>
            <w:pPr/>
          </w:p>
        </w:tc>
        <w:tc>
          <w:tcPr>
            <w:tcW w:w="992"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2"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8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89"/>
              <w:jc w:val="left"/>
              <w:rPr>
                <w:rFonts w:ascii="宋体" w:hAnsi="宋体" w:cs="宋体" w:eastAsia="宋体" w:hint="default"/>
                <w:sz w:val="18"/>
                <w:szCs w:val="18"/>
              </w:rPr>
            </w:pPr>
            <w:r>
              <w:rPr>
                <w:rFonts w:ascii="宋体" w:hAnsi="宋体" w:cs="宋体" w:eastAsia="宋体" w:hint="default"/>
                <w:sz w:val="18"/>
                <w:szCs w:val="18"/>
              </w:rPr>
              <w:t>将重分类进损益的其 他综合收益</w:t>
            </w:r>
          </w:p>
        </w:tc>
        <w:tc>
          <w:tcPr>
            <w:tcW w:w="113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-4,286,173.91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3,245,398.91</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8" w:right="0"/>
              <w:jc w:val="left"/>
              <w:rPr>
                <w:rFonts w:ascii="Times New Roman" w:hAnsi="Times New Roman" w:cs="Times New Roman" w:eastAsia="Times New Roman" w:hint="default"/>
                <w:sz w:val="18"/>
                <w:szCs w:val="18"/>
              </w:rPr>
            </w:pPr>
            <w:r>
              <w:rPr>
                <w:rFonts w:ascii="Times New Roman"/>
                <w:sz w:val="18"/>
              </w:rPr>
              <w:t>-2,668,374.60</w:t>
            </w: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98" w:right="0"/>
              <w:jc w:val="left"/>
              <w:rPr>
                <w:rFonts w:ascii="Times New Roman" w:hAnsi="Times New Roman" w:cs="Times New Roman" w:eastAsia="Times New Roman" w:hint="default"/>
                <w:sz w:val="18"/>
                <w:szCs w:val="18"/>
              </w:rPr>
            </w:pPr>
            <w:r>
              <w:rPr>
                <w:rFonts w:ascii="Times New Roman"/>
                <w:sz w:val="18"/>
              </w:rPr>
              <w:t>6,206,609.91</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-292,836.40</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1,920,436.00</w:t>
            </w:r>
          </w:p>
        </w:tc>
      </w:tr>
    </w:tbl>
    <w:p>
      <w:pPr>
        <w:spacing w:after="0" w:line="240" w:lineRule="auto"/>
        <w:jc w:val="center"/>
        <w:rPr>
          <w:rFonts w:ascii="Times New Roman" w:hAnsi="Times New Roman" w:cs="Times New Roman" w:eastAsia="Times New Roman" w:hint="default"/>
          <w:sz w:val="18"/>
          <w:szCs w:val="18"/>
        </w:rPr>
        <w:sectPr>
          <w:pgSz w:w="11910" w:h="16840"/>
          <w:pgMar w:header="851" w:footer="979" w:top="1400" w:bottom="1160" w:left="980" w:right="0"/>
        </w:sectPr>
      </w:pPr>
    </w:p>
    <w:p>
      <w:pPr>
        <w:spacing w:line="240" w:lineRule="auto" w:before="6"/>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1844"/>
        <w:gridCol w:w="1134"/>
        <w:gridCol w:w="1134"/>
        <w:gridCol w:w="1276"/>
        <w:gridCol w:w="851"/>
        <w:gridCol w:w="1276"/>
        <w:gridCol w:w="992"/>
        <w:gridCol w:w="1062"/>
      </w:tblGrid>
      <w:tr>
        <w:trPr>
          <w:trHeight w:val="726" w:hRule="exact"/>
        </w:trPr>
        <w:tc>
          <w:tcPr>
            <w:tcW w:w="1844"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7"/>
              <w:ind w:left="22" w:right="22"/>
              <w:jc w:val="left"/>
              <w:rPr>
                <w:rFonts w:ascii="宋体" w:hAnsi="宋体" w:cs="宋体" w:eastAsia="宋体" w:hint="default"/>
                <w:sz w:val="18"/>
                <w:szCs w:val="18"/>
              </w:rPr>
            </w:pPr>
            <w:r>
              <w:rPr>
                <w:rFonts w:ascii="宋体" w:hAnsi="宋体" w:cs="宋体" w:eastAsia="宋体" w:hint="default"/>
                <w:spacing w:val="-2"/>
                <w:sz w:val="18"/>
                <w:szCs w:val="18"/>
              </w:rPr>
              <w:t>其中：权益法下可转损</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益的其他综合收益</w:t>
            </w:r>
          </w:p>
        </w:tc>
        <w:tc>
          <w:tcPr>
            <w:tcW w:w="113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-7,330,749.46</w:t>
            </w:r>
          </w:p>
        </w:tc>
        <w:tc>
          <w:tcPr>
            <w:tcW w:w="113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66,195.61</w:t>
            </w:r>
          </w:p>
        </w:tc>
        <w:tc>
          <w:tcPr>
            <w:tcW w:w="1276" w:type="dxa"/>
            <w:tcBorders>
              <w:top w:val="single" w:sz="10" w:space="0" w:color="000000"/>
              <w:left w:val="single" w:sz="4" w:space="0" w:color="000000"/>
              <w:bottom w:val="single" w:sz="4" w:space="0" w:color="000000"/>
              <w:right w:val="single" w:sz="4" w:space="0" w:color="000000"/>
            </w:tcBorders>
          </w:tcPr>
          <w:p>
            <w:pPr/>
          </w:p>
        </w:tc>
        <w:tc>
          <w:tcPr>
            <w:tcW w:w="851" w:type="dxa"/>
            <w:tcBorders>
              <w:top w:val="single" w:sz="10" w:space="0" w:color="000000"/>
              <w:left w:val="single" w:sz="4" w:space="0" w:color="000000"/>
              <w:bottom w:val="single" w:sz="4" w:space="0" w:color="000000"/>
              <w:right w:val="single" w:sz="4" w:space="0" w:color="000000"/>
            </w:tcBorders>
          </w:tcPr>
          <w:p>
            <w:pPr/>
          </w:p>
        </w:tc>
        <w:tc>
          <w:tcPr>
            <w:tcW w:w="127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66,195.61</w:t>
            </w:r>
          </w:p>
        </w:tc>
        <w:tc>
          <w:tcPr>
            <w:tcW w:w="992" w:type="dxa"/>
            <w:tcBorders>
              <w:top w:val="single" w:sz="10" w:space="0" w:color="000000"/>
              <w:left w:val="single" w:sz="4" w:space="0" w:color="000000"/>
              <w:bottom w:val="single" w:sz="4" w:space="0" w:color="000000"/>
              <w:right w:val="single" w:sz="4" w:space="0" w:color="000000"/>
            </w:tcBorders>
          </w:tcPr>
          <w:p>
            <w:pPr/>
          </w:p>
        </w:tc>
        <w:tc>
          <w:tcPr>
            <w:tcW w:w="106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-7,264,553.85</w:t>
            </w:r>
          </w:p>
        </w:tc>
      </w:tr>
      <w:tr>
        <w:trPr>
          <w:trHeight w:val="714" w:hRule="exact"/>
        </w:trPr>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188" w:firstLine="540"/>
              <w:jc w:val="left"/>
              <w:rPr>
                <w:rFonts w:ascii="宋体" w:hAnsi="宋体" w:cs="宋体" w:eastAsia="宋体" w:hint="default"/>
                <w:sz w:val="18"/>
                <w:szCs w:val="18"/>
              </w:rPr>
            </w:pPr>
            <w:r>
              <w:rPr>
                <w:rFonts w:ascii="宋体" w:hAnsi="宋体" w:cs="宋体" w:eastAsia="宋体" w:hint="default"/>
                <w:sz w:val="18"/>
                <w:szCs w:val="18"/>
              </w:rPr>
              <w:t>外币财务报表 折算差额</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3,044,575.55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3,179,203.30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-2,668,374.60</w:t>
            </w: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6,140,414.30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5" w:right="0"/>
              <w:jc w:val="center"/>
              <w:rPr>
                <w:rFonts w:ascii="Times New Roman" w:hAnsi="Times New Roman" w:cs="Times New Roman" w:eastAsia="Times New Roman" w:hint="default"/>
                <w:sz w:val="18"/>
                <w:szCs w:val="18"/>
              </w:rPr>
            </w:pPr>
            <w:r>
              <w:rPr>
                <w:rFonts w:ascii="Times New Roman"/>
                <w:sz w:val="18"/>
              </w:rPr>
              <w:t>-292,836.40</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9,184,989.85</w:t>
            </w:r>
          </w:p>
        </w:tc>
      </w:tr>
      <w:tr>
        <w:trPr>
          <w:trHeight w:val="403" w:hRule="exact"/>
        </w:trPr>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其他综合收益合计</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-4,286,173.91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3,245,398.91</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-2,668,374.60</w:t>
            </w:r>
          </w:p>
        </w:tc>
        <w:tc>
          <w:tcPr>
            <w:tcW w:w="851"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6,206,609.91</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5" w:right="0"/>
              <w:jc w:val="center"/>
              <w:rPr>
                <w:rFonts w:ascii="Times New Roman" w:hAnsi="Times New Roman" w:cs="Times New Roman" w:eastAsia="Times New Roman" w:hint="default"/>
                <w:sz w:val="18"/>
                <w:szCs w:val="18"/>
              </w:rPr>
            </w:pPr>
            <w:r>
              <w:rPr>
                <w:rFonts w:ascii="Times New Roman"/>
                <w:sz w:val="18"/>
              </w:rPr>
              <w:t>-292,836.40</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1,920,436.00</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5"/>
          <w:szCs w:val="25"/>
        </w:rPr>
      </w:pPr>
    </w:p>
    <w:p>
      <w:pPr>
        <w:pStyle w:val="Heading3"/>
        <w:spacing w:line="240" w:lineRule="auto" w:before="35"/>
        <w:ind w:left="94" w:right="9487"/>
        <w:jc w:val="center"/>
        <w:rPr>
          <w:b w:val="0"/>
          <w:bCs w:val="0"/>
        </w:rPr>
      </w:pPr>
      <w:bookmarkStart w:name="49、专项储备" w:id="322"/>
      <w:bookmarkEnd w:id="322"/>
      <w:r>
        <w:rPr>
          <w:b w:val="0"/>
          <w:bCs w:val="0"/>
        </w:rPr>
      </w:r>
      <w:r>
        <w:rPr>
          <w:rFonts w:ascii="Times New Roman" w:hAnsi="Times New Roman" w:cs="Times New Roman" w:eastAsia="Times New Roman" w:hint="default"/>
        </w:rPr>
        <w:t>49</w:t>
      </w:r>
      <w:r>
        <w:rPr/>
        <w:t>、专项储备</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94" w:right="9670"/>
        <w:jc w:val="center"/>
      </w:pPr>
      <w:r>
        <w:rPr/>
        <w:t>无。</w:t>
      </w:r>
    </w:p>
    <w:p>
      <w:pPr>
        <w:spacing w:line="240" w:lineRule="auto" w:before="10"/>
        <w:rPr>
          <w:rFonts w:ascii="宋体" w:hAnsi="宋体" w:cs="宋体" w:eastAsia="宋体" w:hint="default"/>
          <w:sz w:val="26"/>
          <w:szCs w:val="26"/>
        </w:rPr>
      </w:pPr>
    </w:p>
    <w:p>
      <w:pPr>
        <w:pStyle w:val="Heading3"/>
        <w:spacing w:line="240" w:lineRule="auto"/>
        <w:ind w:left="94" w:right="9487"/>
        <w:jc w:val="center"/>
        <w:rPr>
          <w:b w:val="0"/>
          <w:bCs w:val="0"/>
        </w:rPr>
      </w:pPr>
      <w:bookmarkStart w:name="50、盈余公积" w:id="323"/>
      <w:bookmarkEnd w:id="323"/>
      <w:r>
        <w:rPr>
          <w:b w:val="0"/>
          <w:bCs w:val="0"/>
        </w:rPr>
      </w:r>
      <w:r>
        <w:rPr>
          <w:rFonts w:ascii="Times New Roman" w:hAnsi="Times New Roman" w:cs="Times New Roman" w:eastAsia="Times New Roman" w:hint="default"/>
        </w:rPr>
        <w:t>50</w:t>
      </w:r>
      <w:r>
        <w:rPr/>
        <w:t>、盈余公积</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231,293,196.44</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231,293,196.44</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231,293,196.44</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231,293,196.44</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51、未分配利润" w:id="324"/>
      <w:bookmarkEnd w:id="324"/>
      <w:r>
        <w:rPr>
          <w:b w:val="0"/>
          <w:bCs w:val="0"/>
        </w:rPr>
      </w:r>
      <w:r>
        <w:rPr>
          <w:rFonts w:ascii="Times New Roman" w:hAnsi="Times New Roman" w:cs="Times New Roman" w:eastAsia="Times New Roman" w:hint="default"/>
        </w:rPr>
        <w:t>51</w:t>
      </w:r>
      <w:r>
        <w:rPr/>
        <w:t>、未分配利润</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714"/>
        <w:gridCol w:w="2936"/>
        <w:gridCol w:w="2919"/>
      </w:tblGrid>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2,530,844,496.31</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2,468,546,635.77</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2,530,844,496.31</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2,468,546,635.77</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80,247,586.32</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119,550,096.20</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36" w:type="dxa"/>
            <w:tcBorders>
              <w:top w:val="single" w:sz="4" w:space="0" w:color="000000"/>
              <w:left w:val="single" w:sz="9" w:space="0" w:color="D2D2D2"/>
              <w:bottom w:val="single" w:sz="4" w:space="0" w:color="000000"/>
              <w:right w:val="single" w:sz="4" w:space="0" w:color="000000"/>
            </w:tcBorders>
          </w:tcPr>
          <w:p>
            <w:pP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5,452,199.19</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13,727,608.64</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50,988,352.29</w:t>
            </w:r>
          </w:p>
        </w:tc>
      </w:tr>
      <w:tr>
        <w:trPr>
          <w:trHeight w:val="1026"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2" w:firstLine="90"/>
              <w:jc w:val="left"/>
              <w:rPr>
                <w:rFonts w:ascii="宋体" w:hAnsi="宋体" w:cs="宋体" w:eastAsia="宋体" w:hint="default"/>
                <w:sz w:val="18"/>
                <w:szCs w:val="18"/>
              </w:rPr>
            </w:pPr>
            <w:r>
              <w:rPr>
                <w:rFonts w:ascii="宋体" w:hAnsi="宋体" w:cs="宋体" w:eastAsia="宋体" w:hint="default"/>
                <w:spacing w:val="-2"/>
                <w:sz w:val="18"/>
                <w:szCs w:val="18"/>
              </w:rPr>
              <w:t>子公司收购子公司少数股东股权，溢价部分冲</w:t>
            </w:r>
            <w:r>
              <w:rPr>
                <w:rFonts w:ascii="宋体" w:hAnsi="宋体" w:cs="宋体" w:eastAsia="宋体" w:hint="default"/>
                <w:sz w:val="18"/>
                <w:szCs w:val="18"/>
              </w:rPr>
              <w:t> 资本公积，子公司资本公积不够冲减部分冲减 未分配利润</w:t>
            </w:r>
          </w:p>
        </w:tc>
        <w:tc>
          <w:tcPr>
            <w:tcW w:w="2936" w:type="dxa"/>
            <w:tcBorders>
              <w:top w:val="single" w:sz="4" w:space="0" w:color="000000"/>
              <w:left w:val="single" w:sz="9" w:space="0" w:color="D2D2D2"/>
              <w:bottom w:val="single" w:sz="4" w:space="0" w:color="000000"/>
              <w:right w:val="single" w:sz="4" w:space="0" w:color="000000"/>
            </w:tcBorders>
          </w:tcPr>
          <w:p>
            <w:pP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811,684.18</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2,597,364,473.99</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2,530,844,496.31</w:t>
            </w:r>
          </w:p>
        </w:tc>
      </w:tr>
    </w:tbl>
    <w:p>
      <w:pPr>
        <w:pStyle w:val="BodyText"/>
        <w:spacing w:line="240" w:lineRule="auto" w:before="51"/>
        <w:ind w:left="114" w:right="1276"/>
        <w:jc w:val="left"/>
      </w:pPr>
      <w:r>
        <w:rPr/>
        <w:t>调整期初未分配利润明细：</w:t>
      </w:r>
    </w:p>
    <w:p>
      <w:pPr>
        <w:pStyle w:val="BodyText"/>
        <w:spacing w:line="240" w:lineRule="auto" w:before="117"/>
        <w:ind w:left="114" w:right="1276"/>
        <w:jc w:val="left"/>
      </w:pPr>
      <w:r>
        <w:rPr>
          <w:rFonts w:ascii="Times New Roman" w:hAnsi="Times New Roman" w:cs="Times New Roman" w:eastAsia="Times New Roman" w:hint="default"/>
        </w:rPr>
        <w:t>1)</w:t>
      </w:r>
      <w:r>
        <w:rPr/>
        <w:t>、由于《企业会计准则》及其相关新规定进行追溯调整，影响期初未分配利润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pStyle w:val="BodyText"/>
        <w:spacing w:line="240" w:lineRule="auto" w:before="102"/>
        <w:ind w:left="114" w:right="1276"/>
        <w:jc w:val="left"/>
      </w:pPr>
      <w:r>
        <w:rPr>
          <w:rFonts w:ascii="Times New Roman" w:hAnsi="Times New Roman" w:cs="Times New Roman" w:eastAsia="Times New Roman" w:hint="default"/>
        </w:rPr>
        <w:t>2)</w:t>
      </w:r>
      <w:r>
        <w:rPr/>
        <w:t>、由于会计政策变更，影响期初未分配利润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3"/>
        <w:ind w:left="114" w:right="1276"/>
        <w:jc w:val="left"/>
      </w:pPr>
      <w:r>
        <w:rPr>
          <w:rFonts w:ascii="Times New Roman" w:hAnsi="Times New Roman" w:cs="Times New Roman" w:eastAsia="Times New Roman" w:hint="default"/>
        </w:rPr>
        <w:t>3)</w:t>
      </w:r>
      <w:r>
        <w:rPr/>
        <w:t>、由于重大会计差错更正，影响期初未分配利润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3"/>
        <w:ind w:left="114" w:right="1276"/>
        <w:jc w:val="left"/>
      </w:pPr>
      <w:r>
        <w:rPr>
          <w:rFonts w:ascii="Times New Roman" w:hAnsi="Times New Roman" w:cs="Times New Roman" w:eastAsia="Times New Roman" w:hint="default"/>
        </w:rPr>
        <w:t>4)</w:t>
      </w:r>
      <w:r>
        <w:rPr/>
        <w:t>、由于同一控制导致的合并范围变更，影响期初未分配利润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pStyle w:val="BodyText"/>
        <w:spacing w:line="240" w:lineRule="auto" w:before="102"/>
        <w:ind w:left="114" w:right="1276"/>
        <w:jc w:val="left"/>
      </w:pPr>
      <w:r>
        <w:rPr>
          <w:rFonts w:ascii="Times New Roman" w:hAnsi="Times New Roman" w:cs="Times New Roman" w:eastAsia="Times New Roman" w:hint="default"/>
        </w:rPr>
        <w:t>5)</w:t>
      </w:r>
      <w:r>
        <w:rPr/>
        <w:t>、其他调整合计影响期初未分配利润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spacing w:after="0" w:line="240" w:lineRule="auto"/>
        <w:jc w:val="left"/>
        <w:sectPr>
          <w:pgSz w:w="11910" w:h="16840"/>
          <w:pgMar w:header="851" w:footer="979" w:top="1400" w:bottom="1160" w:left="102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52、营业收入和营业成本" w:id="325"/>
      <w:bookmarkEnd w:id="325"/>
      <w:r>
        <w:rPr>
          <w:b w:val="0"/>
          <w:bCs w:val="0"/>
        </w:rPr>
      </w:r>
      <w:r>
        <w:rPr>
          <w:rFonts w:ascii="Times New Roman" w:hAnsi="Times New Roman" w:cs="Times New Roman" w:eastAsia="Times New Roman" w:hint="default"/>
        </w:rPr>
        <w:t>52</w:t>
      </w:r>
      <w:r>
        <w:rPr/>
        <w:t>、营业收入和营业成本</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205" w:hRule="exact"/>
        </w:trPr>
        <w:tc>
          <w:tcPr>
            <w:tcW w:w="1912"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2" w:hRule="exact"/>
        </w:trPr>
        <w:tc>
          <w:tcPr>
            <w:tcW w:w="191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vMerge/>
            <w:tcBorders>
              <w:left w:val="single" w:sz="4" w:space="0" w:color="000000"/>
              <w:bottom w:val="single" w:sz="4" w:space="0" w:color="000000"/>
              <w:right w:val="single" w:sz="4" w:space="0" w:color="000000"/>
            </w:tcBorders>
            <w:shd w:val="clear" w:color="auto" w:fill="D2D2D2"/>
          </w:tcPr>
          <w:p>
            <w:pPr/>
          </w:p>
        </w:tc>
        <w:tc>
          <w:tcPr>
            <w:tcW w:w="3828"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912" w:type="dxa"/>
            <w:vMerge/>
            <w:tcBorders>
              <w:left w:val="single" w:sz="4" w:space="0" w:color="000000"/>
              <w:bottom w:val="nil" w:sz="6" w:space="0" w:color="auto"/>
              <w:right w:val="single" w:sz="4" w:space="0" w:color="000000"/>
            </w:tcBorders>
            <w:shd w:val="clear" w:color="auto" w:fill="D2D2D2"/>
          </w:tcPr>
          <w:p>
            <w:pPr/>
          </w:p>
        </w:tc>
        <w:tc>
          <w:tcPr>
            <w:tcW w:w="191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成本</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6" w:hRule="exact"/>
        </w:trPr>
        <w:tc>
          <w:tcPr>
            <w:tcW w:w="19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7"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1,982,071,087.28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572,662,588.11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1,995,091,245.00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617,627,604.43</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37,384,610.04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8,558,615.96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31,407,455.16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4,882,429.22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2,019,455,697.32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581,221,204.07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2,026,498,700.16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622,510,033.65</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53、税金及附加" w:id="326"/>
      <w:bookmarkEnd w:id="326"/>
      <w:r>
        <w:rPr>
          <w:b w:val="0"/>
          <w:bCs w:val="0"/>
        </w:rPr>
      </w:r>
      <w:r>
        <w:rPr>
          <w:rFonts w:ascii="Times New Roman" w:hAnsi="Times New Roman" w:cs="Times New Roman" w:eastAsia="Times New Roman" w:hint="default"/>
        </w:rPr>
        <w:t>53</w:t>
      </w:r>
      <w:r>
        <w:rPr/>
        <w:t>、税金及附加</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5,443,173.41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3,707,024.58</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3,887,644.52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2,646,837.08</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594,816.56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1,737,502.02</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房产税及土地使用税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10,140,493.62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6,006,102.79</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1,024,809.28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1,817,224.21</w:t>
            </w:r>
          </w:p>
        </w:tc>
      </w:tr>
      <w:tr>
        <w:trPr>
          <w:trHeight w:val="404"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21,090,937.39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15,914,690.68</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54、销售费用" w:id="327"/>
      <w:bookmarkEnd w:id="327"/>
      <w:r>
        <w:rPr>
          <w:b w:val="0"/>
          <w:bCs w:val="0"/>
        </w:rPr>
      </w:r>
      <w:r>
        <w:rPr>
          <w:rFonts w:ascii="Times New Roman" w:hAnsi="Times New Roman" w:cs="Times New Roman" w:eastAsia="Times New Roman" w:hint="default"/>
        </w:rPr>
        <w:t>54</w:t>
      </w:r>
      <w:r>
        <w:rPr/>
        <w:t>、销售费用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57,087,666.02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62,901,848.76</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192,259.03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128,427.99</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15,922,028.46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14,075,462.83</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7,532,076.73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7,692,014.12</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运输费、汽车车辆使用费</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4,365,457.80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4,666,062.08</w:t>
            </w:r>
          </w:p>
        </w:tc>
      </w:tr>
      <w:tr>
        <w:trPr>
          <w:trHeight w:val="714"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83"/>
              <w:jc w:val="left"/>
              <w:rPr>
                <w:rFonts w:ascii="宋体" w:hAnsi="宋体" w:cs="宋体" w:eastAsia="宋体" w:hint="default"/>
                <w:sz w:val="18"/>
                <w:szCs w:val="18"/>
              </w:rPr>
            </w:pPr>
            <w:r>
              <w:rPr>
                <w:rFonts w:ascii="宋体" w:hAnsi="宋体" w:cs="宋体" w:eastAsia="宋体" w:hint="default"/>
                <w:sz w:val="18"/>
                <w:szCs w:val="18"/>
              </w:rPr>
              <w:t>广告费、推广费、展览费、宣传费、样 品、样件拍摄费</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343,796,188.64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353,622,061.90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租赁费</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434,422.49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28,880.25</w:t>
            </w:r>
          </w:p>
        </w:tc>
      </w:tr>
      <w:tr>
        <w:trPr>
          <w:trHeight w:val="714"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83"/>
              <w:jc w:val="left"/>
              <w:rPr>
                <w:rFonts w:ascii="宋体" w:hAnsi="宋体" w:cs="宋体" w:eastAsia="宋体" w:hint="default"/>
                <w:sz w:val="18"/>
                <w:szCs w:val="18"/>
              </w:rPr>
            </w:pPr>
            <w:r>
              <w:rPr>
                <w:rFonts w:ascii="宋体" w:hAnsi="宋体" w:cs="宋体" w:eastAsia="宋体" w:hint="default"/>
                <w:sz w:val="18"/>
                <w:szCs w:val="18"/>
              </w:rPr>
              <w:t>办公费、电信费、水电费、通讯费、会 务费、董事会费</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6,074,553.01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7,369,578.99</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修理费、维修费</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1,378,745.24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852,831.23</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预计质保费用</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7,414,395.81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1,486,741.70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4,329,188.64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3,867,755.49</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980" w:right="0"/>
        </w:sectPr>
      </w:pPr>
    </w:p>
    <w:p>
      <w:pPr>
        <w:spacing w:line="240" w:lineRule="auto" w:before="6"/>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3189"/>
        <w:gridCol w:w="3191"/>
        <w:gridCol w:w="3190"/>
      </w:tblGrid>
      <w:tr>
        <w:trPr>
          <w:trHeight w:val="415" w:hRule="exact"/>
        </w:trPr>
        <w:tc>
          <w:tcPr>
            <w:tcW w:w="318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left="2033" w:right="0"/>
              <w:jc w:val="left"/>
              <w:rPr>
                <w:rFonts w:ascii="Times New Roman" w:hAnsi="Times New Roman" w:cs="Times New Roman" w:eastAsia="Times New Roman" w:hint="default"/>
                <w:sz w:val="18"/>
                <w:szCs w:val="18"/>
              </w:rPr>
            </w:pPr>
            <w:r>
              <w:rPr>
                <w:rFonts w:ascii="Times New Roman"/>
                <w:sz w:val="18"/>
              </w:rPr>
              <w:t>448,526,981.87</w:t>
            </w:r>
          </w:p>
        </w:tc>
        <w:tc>
          <w:tcPr>
            <w:tcW w:w="319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left="2033" w:right="0"/>
              <w:jc w:val="left"/>
              <w:rPr>
                <w:rFonts w:ascii="Times New Roman" w:hAnsi="Times New Roman" w:cs="Times New Roman" w:eastAsia="Times New Roman" w:hint="default"/>
                <w:sz w:val="18"/>
                <w:szCs w:val="18"/>
              </w:rPr>
            </w:pPr>
            <w:r>
              <w:rPr>
                <w:rFonts w:ascii="Times New Roman"/>
                <w:sz w:val="18"/>
              </w:rPr>
              <w:t>456,691,665.34</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55、管理费用" w:id="328"/>
      <w:bookmarkEnd w:id="328"/>
      <w:r>
        <w:rPr>
          <w:b w:val="0"/>
          <w:bCs w:val="0"/>
        </w:rPr>
      </w:r>
      <w:r>
        <w:rPr>
          <w:rFonts w:ascii="Times New Roman" w:hAnsi="Times New Roman" w:cs="Times New Roman" w:eastAsia="Times New Roman" w:hint="default"/>
        </w:rPr>
        <w:t>55</w:t>
      </w:r>
      <w:r>
        <w:rPr/>
        <w:t>、管理费用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508,035,722.48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469,451,931.38</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19,881,261.99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20,648,144.42</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55,733,464.14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51,595,635.92</w:t>
            </w:r>
          </w:p>
        </w:tc>
      </w:tr>
      <w:tr>
        <w:trPr>
          <w:trHeight w:val="714"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83"/>
              <w:jc w:val="left"/>
              <w:rPr>
                <w:rFonts w:ascii="宋体" w:hAnsi="宋体" w:cs="宋体" w:eastAsia="宋体" w:hint="default"/>
                <w:sz w:val="18"/>
                <w:szCs w:val="18"/>
              </w:rPr>
            </w:pPr>
            <w:r>
              <w:rPr>
                <w:rFonts w:ascii="宋体" w:hAnsi="宋体" w:cs="宋体" w:eastAsia="宋体" w:hint="default"/>
                <w:sz w:val="18"/>
                <w:szCs w:val="18"/>
              </w:rPr>
              <w:t>办公费、电信费、水电费、通讯费、会 务费、董事会费</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16,691,220.60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20,137,986.77</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29,557,513.24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26,592,003.93</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运输费、汽车车辆使用费</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6,419,197.92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5,138,408.38</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中介机构费用</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5,151,457.07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6,112,360.45</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劳动保护费</w:t>
            </w:r>
          </w:p>
        </w:tc>
        <w:tc>
          <w:tcPr>
            <w:tcW w:w="3202" w:type="dxa"/>
            <w:tcBorders>
              <w:top w:val="single" w:sz="4" w:space="0" w:color="000000"/>
              <w:left w:val="single" w:sz="13"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4,280.10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租赁费</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23,562,921.91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21,499,629.61</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3,581,655.09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2,696,331.53</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16,600,602.30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12,977,029.77</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修理费、维修费</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907,004.11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788,571.86</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诉讼费</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7,795,116.31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1,831,410.93</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物料消耗</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375,870.95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1,455,157.73</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咨询及服务费</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14,582,840.73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15,903,587.61</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低值易耗品摊销</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2,792,888.93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2,937,602.54</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检验费</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1,232,873.10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343,891.94</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1,538,983.09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2,924,420.65</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714,440,593.96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663,038,385.52</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56、研发费用" w:id="329"/>
      <w:bookmarkEnd w:id="329"/>
      <w:r>
        <w:rPr>
          <w:b w:val="0"/>
          <w:bCs w:val="0"/>
        </w:rPr>
      </w:r>
      <w:r>
        <w:rPr>
          <w:rFonts w:ascii="Times New Roman" w:hAnsi="Times New Roman" w:cs="Times New Roman" w:eastAsia="Times New Roman" w:hint="default"/>
        </w:rPr>
        <w:t>56</w:t>
      </w:r>
      <w:r>
        <w:rPr/>
        <w:t>、研发费用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2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工资性支出</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92,954,884.53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68,080,546.46</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折旧费用</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100,108.36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182,637.78</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9,391,966.73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14,296,045.59</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102,446,959.62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82,559,229.83</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102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57、财务费用" w:id="330"/>
      <w:bookmarkEnd w:id="330"/>
      <w:r>
        <w:rPr>
          <w:b w:val="0"/>
          <w:bCs w:val="0"/>
        </w:rPr>
      </w:r>
      <w:r>
        <w:rPr>
          <w:rFonts w:ascii="Times New Roman" w:hAnsi="Times New Roman" w:cs="Times New Roman" w:eastAsia="Times New Roman" w:hint="default"/>
        </w:rPr>
        <w:t>57</w:t>
      </w:r>
      <w:r>
        <w:rPr/>
        <w:t>、财务费用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利息费用</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40,699,687.05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57,200,271.31</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3,733,396.44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4,554,561.87</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-233,059.68</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14,176,107.59</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现金折扣</w:t>
            </w:r>
          </w:p>
        </w:tc>
        <w:tc>
          <w:tcPr>
            <w:tcW w:w="3202" w:type="dxa"/>
            <w:tcBorders>
              <w:top w:val="single" w:sz="4" w:space="0" w:color="000000"/>
              <w:left w:val="single" w:sz="13"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-805,144.65</w:t>
            </w:r>
            <w:r>
              <w:rPr>
                <w:rFonts w:ascii="Times New Roman"/>
                <w:sz w:val="18"/>
              </w:rPr>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1,231,665.37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2,818,401.36</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37,964,896.30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68,835,073.74</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58、资产减值损失" w:id="331"/>
      <w:bookmarkEnd w:id="331"/>
      <w:r>
        <w:rPr>
          <w:b w:val="0"/>
          <w:bCs w:val="0"/>
        </w:rPr>
      </w:r>
      <w:r>
        <w:rPr>
          <w:rFonts w:ascii="Times New Roman" w:hAnsi="Times New Roman" w:cs="Times New Roman" w:eastAsia="Times New Roman" w:hint="default"/>
        </w:rPr>
        <w:t>58</w:t>
      </w:r>
      <w:r>
        <w:rPr/>
        <w:t>、资产减值损失</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52,032,205.55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75,490,535.18</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二、存货跌价损失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28,301.89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5,262,255.71</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三、可供出售金融资产减值损失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1,140,000.00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四、无形资产减值损失</w:t>
            </w:r>
          </w:p>
        </w:tc>
        <w:tc>
          <w:tcPr>
            <w:tcW w:w="3206"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4,715,971.38</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五、商誉减值损失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23,654,884.91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6,600,000.00</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76,855,392.35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92,068,762.27</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59、其他收益" w:id="332"/>
      <w:bookmarkEnd w:id="332"/>
      <w:r>
        <w:rPr>
          <w:b w:val="0"/>
          <w:bCs w:val="0"/>
        </w:rPr>
      </w:r>
      <w:r>
        <w:rPr>
          <w:rFonts w:ascii="Times New Roman" w:hAnsi="Times New Roman" w:cs="Times New Roman" w:eastAsia="Times New Roman" w:hint="default"/>
        </w:rPr>
        <w:t>59</w:t>
      </w:r>
      <w:r>
        <w:rPr/>
        <w:t>、其他收益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67" w:right="0"/>
              <w:jc w:val="left"/>
              <w:rPr>
                <w:rFonts w:ascii="宋体" w:hAnsi="宋体" w:cs="宋体" w:eastAsia="宋体" w:hint="default"/>
                <w:sz w:val="18"/>
                <w:szCs w:val="18"/>
              </w:rPr>
            </w:pPr>
            <w:r>
              <w:rPr>
                <w:rFonts w:ascii="宋体" w:hAnsi="宋体" w:cs="宋体" w:eastAsia="宋体" w:hint="default"/>
                <w:sz w:val="18"/>
                <w:szCs w:val="18"/>
              </w:rPr>
              <w:t>产生其他收益的来源</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个税手续费返还</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3,122,714.13</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增值税退税</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12,560,641.69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13,529,573.61</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与人力资源相关的补贴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317,000.00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465,184.24</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与知识产权相关的补贴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648,050.73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587,668.00</w:t>
            </w:r>
          </w:p>
        </w:tc>
      </w:tr>
      <w:tr>
        <w:trPr>
          <w:trHeight w:val="714"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83"/>
              <w:jc w:val="left"/>
              <w:rPr>
                <w:rFonts w:ascii="宋体" w:hAnsi="宋体" w:cs="宋体" w:eastAsia="宋体" w:hint="default"/>
                <w:sz w:val="18"/>
                <w:szCs w:val="18"/>
              </w:rPr>
            </w:pPr>
            <w:r>
              <w:rPr>
                <w:rFonts w:ascii="宋体" w:hAnsi="宋体" w:cs="宋体" w:eastAsia="宋体" w:hint="default"/>
                <w:sz w:val="18"/>
                <w:szCs w:val="18"/>
              </w:rPr>
              <w:t>基于复杂信息系统的大数据智能运维分 析与管理平台</w:t>
            </w:r>
          </w:p>
        </w:tc>
        <w:tc>
          <w:tcPr>
            <w:tcW w:w="3202" w:type="dxa"/>
            <w:tcBorders>
              <w:top w:val="single" w:sz="4" w:space="0" w:color="000000"/>
              <w:left w:val="single" w:sz="13"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4,024,720.08</w:t>
            </w:r>
          </w:p>
        </w:tc>
      </w:tr>
      <w:tr>
        <w:trPr>
          <w:trHeight w:val="714"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83"/>
              <w:jc w:val="left"/>
              <w:rPr>
                <w:rFonts w:ascii="宋体" w:hAnsi="宋体" w:cs="宋体" w:eastAsia="宋体" w:hint="default"/>
                <w:sz w:val="18"/>
                <w:szCs w:val="18"/>
              </w:rPr>
            </w:pPr>
            <w:r>
              <w:rPr>
                <w:rFonts w:ascii="宋体" w:hAnsi="宋体" w:cs="宋体" w:eastAsia="宋体" w:hint="default"/>
                <w:sz w:val="18"/>
                <w:szCs w:val="18"/>
              </w:rPr>
              <w:t>面向移动互联网的网络协同及融合体系 与关键技术研究</w:t>
            </w:r>
          </w:p>
        </w:tc>
        <w:tc>
          <w:tcPr>
            <w:tcW w:w="3202" w:type="dxa"/>
            <w:tcBorders>
              <w:top w:val="single" w:sz="4" w:space="0" w:color="000000"/>
              <w:left w:val="single" w:sz="13"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1,080,400.00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创新基金项目补助</w:t>
            </w:r>
          </w:p>
        </w:tc>
        <w:tc>
          <w:tcPr>
            <w:tcW w:w="3202" w:type="dxa"/>
            <w:tcBorders>
              <w:top w:val="single" w:sz="4" w:space="0" w:color="000000"/>
              <w:left w:val="single" w:sz="13"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180,000.00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中关村科技园区海淀园管理委员会款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90,700.00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80,000.00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1" w:right="0"/>
              <w:jc w:val="left"/>
              <w:rPr>
                <w:rFonts w:ascii="宋体" w:hAnsi="宋体" w:cs="宋体" w:eastAsia="宋体" w:hint="default"/>
                <w:sz w:val="18"/>
                <w:szCs w:val="18"/>
              </w:rPr>
            </w:pPr>
            <w:r>
              <w:rPr>
                <w:rFonts w:ascii="宋体" w:hAnsi="宋体" w:cs="宋体" w:eastAsia="宋体" w:hint="default"/>
                <w:sz w:val="18"/>
                <w:szCs w:val="18"/>
              </w:rPr>
              <w:t>基于客户价值生命周期智能动态大数据</w:t>
            </w:r>
          </w:p>
        </w:tc>
        <w:tc>
          <w:tcPr>
            <w:tcW w:w="3202" w:type="dxa"/>
            <w:tcBorders>
              <w:top w:val="single" w:sz="4" w:space="0" w:color="000000"/>
              <w:left w:val="single" w:sz="13"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330,000.00</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980" w:right="0"/>
        </w:sectPr>
      </w:pPr>
    </w:p>
    <w:tbl>
      <w:tblPr>
        <w:tblW w:w="0" w:type="auto"/>
        <w:jc w:val="left"/>
        <w:tblInd w:w="109" w:type="dxa"/>
        <w:tblLayout w:type="fixed"/>
        <w:tblCellMar>
          <w:top w:w="0" w:type="dxa"/>
          <w:left w:w="0" w:type="dxa"/>
          <w:bottom w:w="0" w:type="dxa"/>
          <w:right w:w="0" w:type="dxa"/>
        </w:tblCellMar>
        <w:tblLook w:val="01E0"/>
      </w:tblPr>
      <w:tblGrid>
        <w:gridCol w:w="3189"/>
        <w:gridCol w:w="3191"/>
        <w:gridCol w:w="3190"/>
      </w:tblGrid>
      <w:tr>
        <w:trPr>
          <w:trHeight w:val="374" w:hRule="exact"/>
        </w:trPr>
        <w:tc>
          <w:tcPr>
            <w:tcW w:w="318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sz w:val="18"/>
                <w:szCs w:val="18"/>
              </w:rPr>
              <w:t>挖掘与分析平台项目</w:t>
            </w:r>
          </w:p>
        </w:tc>
        <w:tc>
          <w:tcPr>
            <w:tcW w:w="3191" w:type="dxa"/>
            <w:tcBorders>
              <w:top w:val="single" w:sz="10" w:space="0" w:color="000000"/>
              <w:left w:val="single" w:sz="4" w:space="0" w:color="000000"/>
              <w:bottom w:val="single" w:sz="4" w:space="0" w:color="000000"/>
              <w:right w:val="single" w:sz="4" w:space="0" w:color="000000"/>
            </w:tcBorders>
          </w:tcPr>
          <w:p>
            <w:pPr/>
          </w:p>
        </w:tc>
        <w:tc>
          <w:tcPr>
            <w:tcW w:w="3190" w:type="dxa"/>
            <w:tcBorders>
              <w:top w:val="single" w:sz="10" w:space="0" w:color="000000"/>
              <w:left w:val="single" w:sz="4" w:space="0" w:color="000000"/>
              <w:bottom w:val="single" w:sz="4" w:space="0" w:color="000000"/>
              <w:right w:val="single" w:sz="4" w:space="0" w:color="000000"/>
            </w:tcBorders>
          </w:tcPr>
          <w:p>
            <w:pPr/>
          </w:p>
        </w:tc>
      </w:tr>
      <w:tr>
        <w:trPr>
          <w:trHeight w:val="714"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6"/>
              <w:ind w:left="22" w:right="96"/>
              <w:jc w:val="left"/>
              <w:rPr>
                <w:rFonts w:ascii="宋体" w:hAnsi="宋体" w:cs="宋体" w:eastAsia="宋体" w:hint="default"/>
                <w:sz w:val="18"/>
                <w:szCs w:val="18"/>
              </w:rPr>
            </w:pPr>
            <w:r>
              <w:rPr>
                <w:rFonts w:ascii="宋体" w:hAnsi="宋体" w:cs="宋体" w:eastAsia="宋体" w:hint="default"/>
                <w:sz w:val="18"/>
                <w:szCs w:val="18"/>
              </w:rPr>
              <w:t>重庆农信涉及信息垂直搜索引擎云平台 升级改造</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-570,036.26</w:t>
            </w:r>
            <w:r>
              <w:rPr>
                <w:rFonts w:ascii="Times New Roman"/>
                <w:sz w:val="18"/>
              </w:rPr>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22" w:right="0"/>
              <w:jc w:val="left"/>
              <w:rPr>
                <w:rFonts w:ascii="宋体" w:hAnsi="宋体" w:cs="宋体" w:eastAsia="宋体" w:hint="default"/>
                <w:sz w:val="18"/>
                <w:szCs w:val="18"/>
              </w:rPr>
            </w:pPr>
            <w:r>
              <w:rPr>
                <w:rFonts w:ascii="宋体" w:hAnsi="宋体" w:cs="宋体" w:eastAsia="宋体" w:hint="default"/>
                <w:sz w:val="18"/>
                <w:szCs w:val="18"/>
              </w:rPr>
              <w:t>文创资金补贴</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z w:val="18"/>
              </w:rPr>
              <w:t>101,300.00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总部企业奖励补助资金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z w:val="18"/>
              </w:rPr>
              <w:t>349,200.00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高新技术成果补贴</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支持声谷项目落户奖励</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pacing w:val="-1"/>
                <w:sz w:val="18"/>
              </w:rPr>
              <w:t>2,000,000.00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6"/>
              <w:ind w:left="22" w:right="96"/>
              <w:jc w:val="left"/>
              <w:rPr>
                <w:rFonts w:ascii="宋体" w:hAnsi="宋体" w:cs="宋体" w:eastAsia="宋体" w:hint="default"/>
                <w:sz w:val="18"/>
                <w:szCs w:val="18"/>
              </w:rPr>
            </w:pPr>
            <w:r>
              <w:rPr>
                <w:rFonts w:ascii="宋体" w:hAnsi="宋体" w:cs="宋体" w:eastAsia="宋体" w:hint="default"/>
                <w:sz w:val="18"/>
                <w:szCs w:val="18"/>
              </w:rPr>
              <w:t>安徽省战略新兴产业集聚发展基地专项 资金支持项目</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990,000.00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科学技术奖</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z w:val="18"/>
              </w:rPr>
              <w:t>100,000.00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科技创新发展资金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z w:val="18"/>
              </w:rPr>
              <w:t>190,000.00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稳增促调资金补助</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z w:val="18"/>
              </w:rPr>
              <w:t>150,659.00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重点服务贸易企业发展补助</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z w:val="18"/>
              </w:rPr>
              <w:t>99,600.00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高桥财政智慧经济专项资金补贴</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z w:val="18"/>
              </w:rPr>
              <w:t>100,000.00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高桥财政补贴</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z w:val="18"/>
              </w:rPr>
              <w:t>160,200.00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小微企业创业创新补助</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z w:val="18"/>
              </w:rPr>
              <w:t>50,000.00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其他零星补贴</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z w:val="18"/>
              </w:rPr>
              <w:t>134,246.52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z w:val="18"/>
              </w:rPr>
              <w:t>93,077.36</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电动汽车智能交互系统研制及产业化</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z w:val="18"/>
              </w:rPr>
              <w:t>198,000.00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z w:val="18"/>
              </w:rPr>
              <w:t>216,000.00</w:t>
            </w:r>
          </w:p>
        </w:tc>
      </w:tr>
      <w:tr>
        <w:trPr>
          <w:trHeight w:val="714"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6"/>
              <w:ind w:left="22" w:right="96"/>
              <w:jc w:val="left"/>
              <w:rPr>
                <w:rFonts w:ascii="宋体" w:hAnsi="宋体" w:cs="宋体" w:eastAsia="宋体" w:hint="default"/>
                <w:sz w:val="18"/>
                <w:szCs w:val="18"/>
              </w:rPr>
            </w:pPr>
            <w:r>
              <w:rPr>
                <w:rFonts w:ascii="宋体" w:hAnsi="宋体" w:cs="宋体" w:eastAsia="宋体" w:hint="default"/>
                <w:sz w:val="18"/>
                <w:szCs w:val="18"/>
              </w:rPr>
              <w:t>面向精确定位与移动通信的智慧线设备 研制</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200,000.00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固定资产装修补贴</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z w:val="18"/>
              </w:rPr>
              <w:t>15,000.00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0"/>
              <w:jc w:val="right"/>
              <w:rPr>
                <w:rFonts w:ascii="Times New Roman" w:hAnsi="Times New Roman" w:cs="Times New Roman" w:eastAsia="Times New Roman" w:hint="default"/>
                <w:sz w:val="18"/>
                <w:szCs w:val="18"/>
              </w:rPr>
            </w:pPr>
            <w:r>
              <w:rPr>
                <w:rFonts w:ascii="Times New Roman"/>
                <w:sz w:val="18"/>
              </w:rPr>
              <w:t>15,000.00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20"/>
              <w:jc w:val="right"/>
              <w:rPr>
                <w:rFonts w:ascii="Times New Roman" w:hAnsi="Times New Roman" w:cs="Times New Roman" w:eastAsia="Times New Roman" w:hint="default"/>
                <w:sz w:val="18"/>
                <w:szCs w:val="18"/>
              </w:rPr>
            </w:pPr>
            <w:r>
              <w:rPr>
                <w:rFonts w:ascii="Times New Roman"/>
                <w:spacing w:val="-1"/>
                <w:sz w:val="18"/>
              </w:rPr>
              <w:t>22,577,312.07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4"/>
              <w:ind w:right="20"/>
              <w:jc w:val="right"/>
              <w:rPr>
                <w:rFonts w:ascii="Times New Roman" w:hAnsi="Times New Roman" w:cs="Times New Roman" w:eastAsia="Times New Roman" w:hint="default"/>
                <w:sz w:val="18"/>
                <w:szCs w:val="18"/>
              </w:rPr>
            </w:pPr>
            <w:r>
              <w:rPr>
                <w:rFonts w:ascii="Times New Roman"/>
                <w:spacing w:val="-1"/>
                <w:sz w:val="18"/>
              </w:rPr>
              <w:t>20,231,587.03</w:t>
            </w:r>
          </w:p>
        </w:tc>
      </w:tr>
    </w:tbl>
    <w:p>
      <w:pPr>
        <w:spacing w:line="240" w:lineRule="auto" w:before="11"/>
        <w:rPr>
          <w:rFonts w:ascii="宋体" w:hAnsi="宋体" w:cs="宋体" w:eastAsia="宋体" w:hint="default"/>
          <w:sz w:val="18"/>
          <w:szCs w:val="18"/>
        </w:rPr>
      </w:pPr>
    </w:p>
    <w:p>
      <w:pPr>
        <w:pStyle w:val="Heading3"/>
        <w:spacing w:line="240" w:lineRule="auto" w:before="35"/>
        <w:ind w:left="114" w:right="1276"/>
        <w:jc w:val="left"/>
        <w:rPr>
          <w:b w:val="0"/>
          <w:bCs w:val="0"/>
        </w:rPr>
      </w:pPr>
      <w:bookmarkStart w:name="60、投资收益" w:id="333"/>
      <w:bookmarkEnd w:id="333"/>
      <w:r>
        <w:rPr>
          <w:b w:val="0"/>
          <w:bCs w:val="0"/>
        </w:rPr>
      </w:r>
      <w:r>
        <w:rPr>
          <w:rFonts w:ascii="Times New Roman" w:hAnsi="Times New Roman" w:cs="Times New Roman" w:eastAsia="Times New Roman" w:hint="default"/>
        </w:rPr>
        <w:t>60</w:t>
      </w:r>
      <w:r>
        <w:rPr/>
        <w:t>、投资收益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20" w:type="dxa"/>
        <w:tblLayout w:type="fixed"/>
        <w:tblCellMar>
          <w:top w:w="0" w:type="dxa"/>
          <w:left w:w="0" w:type="dxa"/>
          <w:bottom w:w="0" w:type="dxa"/>
          <w:right w:w="0" w:type="dxa"/>
        </w:tblCellMar>
        <w:tblLook w:val="01E0"/>
      </w:tblPr>
      <w:tblGrid>
        <w:gridCol w:w="3437"/>
        <w:gridCol w:w="3203"/>
        <w:gridCol w:w="2918"/>
      </w:tblGrid>
      <w:tr>
        <w:trPr>
          <w:trHeight w:val="402" w:hRule="exact"/>
        </w:trPr>
        <w:tc>
          <w:tcPr>
            <w:tcW w:w="3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-3,594,569.41</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-11,164,660.01</w:t>
            </w:r>
          </w:p>
        </w:tc>
      </w:tr>
      <w:tr>
        <w:trPr>
          <w:trHeight w:val="402" w:hRule="exact"/>
        </w:trPr>
        <w:tc>
          <w:tcPr>
            <w:tcW w:w="3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2,555,614.33</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5,767,898.47</w:t>
            </w:r>
          </w:p>
        </w:tc>
      </w:tr>
      <w:tr>
        <w:trPr>
          <w:trHeight w:val="402" w:hRule="exact"/>
        </w:trPr>
        <w:tc>
          <w:tcPr>
            <w:tcW w:w="3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4,378,586.10</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3,401,909.00</w:t>
            </w:r>
          </w:p>
        </w:tc>
      </w:tr>
      <w:tr>
        <w:trPr>
          <w:trHeight w:val="402" w:hRule="exact"/>
        </w:trPr>
        <w:tc>
          <w:tcPr>
            <w:tcW w:w="3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3,721,325.18</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57,238,765.38</w:t>
            </w:r>
          </w:p>
        </w:tc>
      </w:tr>
      <w:tr>
        <w:trPr>
          <w:trHeight w:val="402" w:hRule="exact"/>
        </w:trPr>
        <w:tc>
          <w:tcPr>
            <w:tcW w:w="3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7,060,956.20</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55,243,912.84</w:t>
            </w:r>
          </w:p>
        </w:tc>
      </w:tr>
    </w:tbl>
    <w:p>
      <w:pPr>
        <w:spacing w:line="240" w:lineRule="auto" w:before="3"/>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61、公允价值变动收益" w:id="334"/>
      <w:bookmarkEnd w:id="334"/>
      <w:r>
        <w:rPr>
          <w:b w:val="0"/>
          <w:bCs w:val="0"/>
        </w:rPr>
      </w:r>
      <w:r>
        <w:rPr>
          <w:rFonts w:ascii="Times New Roman" w:hAnsi="Times New Roman" w:cs="Times New Roman" w:eastAsia="Times New Roman" w:hint="default"/>
        </w:rPr>
        <w:t>61</w:t>
      </w:r>
      <w:r>
        <w:rPr/>
        <w:t>、公允价值变动收益</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474" w:right="1276"/>
        <w:jc w:val="left"/>
      </w:pPr>
      <w:r>
        <w:rPr/>
        <w:t>无。</w:t>
      </w:r>
    </w:p>
    <w:p>
      <w:pPr>
        <w:spacing w:after="0" w:line="240" w:lineRule="auto"/>
        <w:jc w:val="left"/>
        <w:sectPr>
          <w:pgSz w:w="11910" w:h="16840"/>
          <w:pgMar w:header="851" w:footer="979" w:top="1440" w:bottom="1160" w:left="102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62、资产处置收益" w:id="335"/>
      <w:bookmarkEnd w:id="335"/>
      <w:r>
        <w:rPr>
          <w:b w:val="0"/>
          <w:bCs w:val="0"/>
        </w:rPr>
      </w:r>
      <w:r>
        <w:rPr>
          <w:rFonts w:ascii="Times New Roman" w:hAnsi="Times New Roman" w:cs="Times New Roman" w:eastAsia="Times New Roman" w:hint="default"/>
        </w:rPr>
        <w:t>62</w:t>
      </w:r>
      <w:r>
        <w:rPr/>
        <w:t>、资产处置收益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67" w:right="0"/>
              <w:jc w:val="left"/>
              <w:rPr>
                <w:rFonts w:ascii="宋体" w:hAnsi="宋体" w:cs="宋体" w:eastAsia="宋体" w:hint="default"/>
                <w:sz w:val="18"/>
                <w:szCs w:val="18"/>
              </w:rPr>
            </w:pPr>
            <w:r>
              <w:rPr>
                <w:rFonts w:ascii="宋体" w:hAnsi="宋体" w:cs="宋体" w:eastAsia="宋体" w:hint="default"/>
                <w:sz w:val="18"/>
                <w:szCs w:val="18"/>
              </w:rPr>
              <w:t>资产处置收益的来源</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非流动资产处置利得</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51,457.56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6,125,520.23</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51,457.56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6,125,520.23</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63、营业外收入" w:id="336"/>
      <w:bookmarkEnd w:id="336"/>
      <w:r>
        <w:rPr>
          <w:b w:val="0"/>
          <w:bCs w:val="0"/>
        </w:rPr>
      </w:r>
      <w:r>
        <w:rPr>
          <w:rFonts w:ascii="Times New Roman" w:hAnsi="Times New Roman" w:cs="Times New Roman" w:eastAsia="Times New Roman" w:hint="default"/>
        </w:rPr>
        <w:t>63</w:t>
      </w:r>
      <w:r>
        <w:rPr/>
        <w:t>、营业外收入</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366"/>
        <w:gridCol w:w="2301"/>
        <w:gridCol w:w="2411"/>
        <w:gridCol w:w="2479"/>
      </w:tblGrid>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0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4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51"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4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62"/>
              <w:jc w:val="right"/>
              <w:rPr>
                <w:rFonts w:ascii="宋体" w:hAnsi="宋体" w:cs="宋体" w:eastAsia="宋体" w:hint="default"/>
                <w:sz w:val="18"/>
                <w:szCs w:val="18"/>
              </w:rPr>
            </w:pPr>
            <w:r>
              <w:rPr>
                <w:rFonts w:ascii="宋体" w:hAnsi="宋体" w:cs="宋体" w:eastAsia="宋体" w:hint="default"/>
                <w:sz w:val="18"/>
                <w:szCs w:val="18"/>
              </w:rPr>
              <w:t>计入当期非经常性损益的金额</w:t>
            </w:r>
          </w:p>
        </w:tc>
      </w:tr>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无需支付的股权转让款</w:t>
            </w:r>
          </w:p>
        </w:tc>
        <w:tc>
          <w:tcPr>
            <w:tcW w:w="2301" w:type="dxa"/>
            <w:tcBorders>
              <w:top w:val="single" w:sz="4" w:space="0" w:color="000000"/>
              <w:left w:val="single" w:sz="13" w:space="0" w:color="D2D2D2"/>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5,833,333.33</w:t>
            </w:r>
          </w:p>
        </w:tc>
        <w:tc>
          <w:tcPr>
            <w:tcW w:w="247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无需支付的款项</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2,912,197.56</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2,602,550.94</w:t>
            </w:r>
          </w:p>
        </w:tc>
        <w:tc>
          <w:tcPr>
            <w:tcW w:w="2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2,912,197.56</w:t>
            </w:r>
          </w:p>
        </w:tc>
      </w:tr>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收到广通原股东赔偿</w:t>
            </w:r>
          </w:p>
        </w:tc>
        <w:tc>
          <w:tcPr>
            <w:tcW w:w="2301" w:type="dxa"/>
            <w:tcBorders>
              <w:top w:val="single" w:sz="4" w:space="0" w:color="000000"/>
              <w:left w:val="single" w:sz="13" w:space="0" w:color="D2D2D2"/>
              <w:bottom w:val="single" w:sz="4" w:space="0" w:color="000000"/>
              <w:right w:val="single" w:sz="4" w:space="0" w:color="000000"/>
            </w:tcBorders>
          </w:tcPr>
          <w:p>
            <w:pP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4,743,117.94</w:t>
            </w:r>
          </w:p>
        </w:tc>
        <w:tc>
          <w:tcPr>
            <w:tcW w:w="247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449,190.24</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144,710.87</w:t>
            </w:r>
          </w:p>
        </w:tc>
        <w:tc>
          <w:tcPr>
            <w:tcW w:w="2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449,190.24</w:t>
            </w:r>
          </w:p>
        </w:tc>
      </w:tr>
      <w:tr>
        <w:trPr>
          <w:trHeight w:val="403"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3,361,387.80</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13,323,713.08</w:t>
            </w:r>
          </w:p>
        </w:tc>
        <w:tc>
          <w:tcPr>
            <w:tcW w:w="2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3,361,387.80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64、营业外支出" w:id="337"/>
      <w:bookmarkEnd w:id="337"/>
      <w:r>
        <w:rPr>
          <w:b w:val="0"/>
          <w:bCs w:val="0"/>
        </w:rPr>
      </w:r>
      <w:r>
        <w:rPr>
          <w:rFonts w:ascii="Times New Roman" w:hAnsi="Times New Roman" w:cs="Times New Roman" w:eastAsia="Times New Roman" w:hint="default"/>
        </w:rPr>
        <w:t>64</w:t>
      </w:r>
      <w:r>
        <w:rPr/>
        <w:t>、营业外支出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366"/>
        <w:gridCol w:w="2301"/>
        <w:gridCol w:w="2411"/>
        <w:gridCol w:w="2479"/>
      </w:tblGrid>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0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4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1"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4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62"/>
              <w:jc w:val="right"/>
              <w:rPr>
                <w:rFonts w:ascii="宋体" w:hAnsi="宋体" w:cs="宋体" w:eastAsia="宋体" w:hint="default"/>
                <w:sz w:val="18"/>
                <w:szCs w:val="18"/>
              </w:rPr>
            </w:pPr>
            <w:r>
              <w:rPr>
                <w:rFonts w:ascii="宋体" w:hAnsi="宋体" w:cs="宋体" w:eastAsia="宋体" w:hint="default"/>
                <w:sz w:val="18"/>
                <w:szCs w:val="18"/>
              </w:rPr>
              <w:t>计入当期非经常性损益的金额</w:t>
            </w:r>
          </w:p>
        </w:tc>
      </w:tr>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30,000.00</w:t>
            </w:r>
          </w:p>
        </w:tc>
        <w:tc>
          <w:tcPr>
            <w:tcW w:w="2411" w:type="dxa"/>
            <w:tcBorders>
              <w:top w:val="single" w:sz="4" w:space="0" w:color="000000"/>
              <w:left w:val="single" w:sz="4" w:space="0" w:color="000000"/>
              <w:bottom w:val="single" w:sz="4" w:space="0" w:color="000000"/>
              <w:right w:val="single" w:sz="4" w:space="0" w:color="000000"/>
            </w:tcBorders>
          </w:tcPr>
          <w:p>
            <w:pPr/>
          </w:p>
        </w:tc>
        <w:tc>
          <w:tcPr>
            <w:tcW w:w="2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30,000.00</w:t>
            </w:r>
          </w:p>
        </w:tc>
      </w:tr>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非流动资产毁损报废损失</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215,012.98</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208,793.98</w:t>
            </w:r>
          </w:p>
        </w:tc>
        <w:tc>
          <w:tcPr>
            <w:tcW w:w="2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215,012.98</w:t>
            </w:r>
          </w:p>
        </w:tc>
      </w:tr>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1,172,608.10</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425,199.01</w:t>
            </w:r>
          </w:p>
        </w:tc>
        <w:tc>
          <w:tcPr>
            <w:tcW w:w="2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1,172,608.10</w:t>
            </w:r>
          </w:p>
        </w:tc>
      </w:tr>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1,417,621.08</w:t>
            </w:r>
          </w:p>
        </w:tc>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633,992.99</w:t>
            </w:r>
          </w:p>
        </w:tc>
        <w:tc>
          <w:tcPr>
            <w:tcW w:w="2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1,417,621.08</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65、所得税费用" w:id="338"/>
      <w:bookmarkEnd w:id="338"/>
      <w:r>
        <w:rPr>
          <w:b w:val="0"/>
          <w:bCs w:val="0"/>
        </w:rPr>
      </w:r>
      <w:r>
        <w:rPr>
          <w:rFonts w:ascii="Times New Roman" w:hAnsi="Times New Roman" w:cs="Times New Roman" w:eastAsia="Times New Roman" w:hint="default"/>
        </w:rPr>
        <w:t>65</w:t>
      </w:r>
      <w:r>
        <w:rPr/>
        <w:t>、所得税费用</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所得税费用表" w:id="339"/>
      <w:bookmarkEnd w:id="339"/>
      <w:r>
        <w:rPr>
          <w:b w:val="0"/>
          <w:bCs w:val="0"/>
        </w:rPr>
      </w:r>
      <w:r>
        <w:rPr/>
        <w:t>（</w:t>
      </w:r>
      <w:r>
        <w:rPr>
          <w:rFonts w:ascii="Times New Roman" w:hAnsi="Times New Roman" w:cs="Times New Roman" w:eastAsia="Times New Roman" w:hint="default"/>
        </w:rPr>
        <w:t>1</w:t>
      </w:r>
      <w:r>
        <w:rPr/>
        <w:t>）所得税费用表</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-3,865,921.93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33,569,602.78</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-6,434,917.75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-11,455,895.06</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-10,300,839.68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22,113,707.72</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会计利润与所得税费用调整过程" w:id="340"/>
      <w:bookmarkEnd w:id="340"/>
      <w:r>
        <w:rPr>
          <w:b w:val="0"/>
          <w:bCs w:val="0"/>
        </w:rPr>
      </w:r>
      <w:r>
        <w:rPr/>
        <w:t>（</w:t>
      </w:r>
      <w:r>
        <w:rPr>
          <w:rFonts w:ascii="Times New Roman" w:hAnsi="Times New Roman" w:cs="Times New Roman" w:eastAsia="Times New Roman" w:hint="default"/>
        </w:rPr>
        <w:t>2</w:t>
      </w:r>
      <w:r>
        <w:rPr/>
        <w:t>）会计利润与所得税费用调整过程</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after="0" w:line="240" w:lineRule="auto"/>
        <w:jc w:val="right"/>
        <w:sectPr>
          <w:pgSz w:w="11910" w:h="16840"/>
          <w:pgMar w:header="851" w:footer="979" w:top="1400" w:bottom="1160" w:left="980" w:right="0"/>
        </w:sectPr>
      </w:pPr>
    </w:p>
    <w:p>
      <w:pPr>
        <w:spacing w:line="240" w:lineRule="auto" w:before="6"/>
        <w:rPr>
          <w:rFonts w:ascii="宋体" w:hAnsi="宋体" w:cs="宋体" w:eastAsia="宋体" w:hint="default"/>
          <w:sz w:val="2"/>
          <w:szCs w:val="2"/>
        </w:rPr>
      </w:pPr>
    </w:p>
    <w:tbl>
      <w:tblPr>
        <w:tblW w:w="0" w:type="auto"/>
        <w:jc w:val="left"/>
        <w:tblInd w:w="120" w:type="dxa"/>
        <w:tblLayout w:type="fixed"/>
        <w:tblCellMar>
          <w:top w:w="0" w:type="dxa"/>
          <w:left w:w="0" w:type="dxa"/>
          <w:bottom w:w="0" w:type="dxa"/>
          <w:right w:w="0" w:type="dxa"/>
        </w:tblCellMar>
        <w:tblLook w:val="01E0"/>
      </w:tblPr>
      <w:tblGrid>
        <w:gridCol w:w="4757"/>
        <w:gridCol w:w="4800"/>
      </w:tblGrid>
      <w:tr>
        <w:trPr>
          <w:trHeight w:val="415" w:hRule="exact"/>
        </w:trPr>
        <w:tc>
          <w:tcPr>
            <w:tcW w:w="4757"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800"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68,542,224.31</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10,281,333.64</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适用税率不同的影响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-40,795,558.06</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研发费用加计扣除</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-2,491,541.58</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48,239.19</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-1,475,613.58</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4,412,100.39</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使用前期未确认递延所得税资产的可抵扣亏损的影响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-10,804,683.39</w:t>
            </w:r>
          </w:p>
        </w:tc>
      </w:tr>
      <w:tr>
        <w:trPr>
          <w:trHeight w:val="714"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55"/>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本期未确认递延所得税资产的可抵扣暂时性差异或可抵扣亏 损的影响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30,524,883.72</w:t>
            </w:r>
          </w:p>
        </w:tc>
      </w:tr>
      <w:tr>
        <w:trPr>
          <w:trHeight w:val="401"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-10,300,839.68</w:t>
            </w:r>
          </w:p>
        </w:tc>
      </w:tr>
    </w:tbl>
    <w:p>
      <w:pPr>
        <w:spacing w:line="240" w:lineRule="auto" w:before="2"/>
        <w:rPr>
          <w:rFonts w:ascii="宋体" w:hAnsi="宋体" w:cs="宋体" w:eastAsia="宋体" w:hint="default"/>
          <w:sz w:val="19"/>
          <w:szCs w:val="19"/>
        </w:rPr>
      </w:pPr>
    </w:p>
    <w:p>
      <w:pPr>
        <w:spacing w:line="547" w:lineRule="auto" w:before="35"/>
        <w:ind w:left="114" w:right="8855" w:firstLine="0"/>
        <w:jc w:val="left"/>
        <w:rPr>
          <w:rFonts w:ascii="宋体" w:hAnsi="宋体" w:cs="宋体" w:eastAsia="宋体" w:hint="default"/>
          <w:sz w:val="21"/>
          <w:szCs w:val="21"/>
        </w:rPr>
      </w:pPr>
      <w:bookmarkStart w:name="66、其他综合收益" w:id="341"/>
      <w:bookmarkEnd w:id="341"/>
      <w:r>
        <w:rPr/>
      </w:r>
      <w:r>
        <w:rPr>
          <w:rFonts w:ascii="Times New Roman" w:hAnsi="Times New Roman" w:cs="Times New Roman" w:eastAsia="Times New Roman" w:hint="default"/>
          <w:b/>
          <w:bCs/>
          <w:sz w:val="21"/>
          <w:szCs w:val="21"/>
        </w:rPr>
        <w:t>66</w:t>
      </w:r>
      <w:r>
        <w:rPr>
          <w:rFonts w:ascii="宋体" w:hAnsi="宋体" w:cs="宋体" w:eastAsia="宋体" w:hint="default"/>
          <w:b/>
          <w:bCs/>
          <w:sz w:val="21"/>
          <w:szCs w:val="21"/>
        </w:rPr>
        <w:t>、其他综合收益</w:t>
      </w:r>
      <w:r>
        <w:rPr>
          <w:rFonts w:ascii="宋体" w:hAnsi="宋体" w:cs="宋体" w:eastAsia="宋体" w:hint="default"/>
          <w:b/>
          <w:bCs/>
          <w:w w:val="99"/>
          <w:sz w:val="21"/>
          <w:szCs w:val="21"/>
        </w:rPr>
        <w:t> </w:t>
      </w:r>
      <w:r>
        <w:rPr>
          <w:rFonts w:ascii="宋体" w:hAnsi="宋体" w:cs="宋体" w:eastAsia="宋体" w:hint="default"/>
          <w:sz w:val="18"/>
          <w:szCs w:val="18"/>
        </w:rPr>
        <w:t>详见附注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48</w:t>
      </w:r>
      <w:r>
        <w:rPr>
          <w:rFonts w:ascii="宋体" w:hAnsi="宋体" w:cs="宋体" w:eastAsia="宋体" w:hint="default"/>
          <w:sz w:val="18"/>
          <w:szCs w:val="18"/>
        </w:rPr>
        <w:t>。 </w:t>
      </w:r>
      <w:bookmarkStart w:name="67、现金流量表项目" w:id="342"/>
      <w:bookmarkEnd w:id="342"/>
      <w:r>
        <w:rPr>
          <w:rFonts w:ascii="宋体" w:hAnsi="宋体" w:cs="宋体" w:eastAsia="宋体" w:hint="default"/>
          <w:sz w:val="18"/>
          <w:szCs w:val="18"/>
        </w:rPr>
      </w:r>
      <w:r>
        <w:rPr>
          <w:rFonts w:ascii="Times New Roman" w:hAnsi="Times New Roman" w:cs="Times New Roman" w:eastAsia="Times New Roman" w:hint="default"/>
          <w:b/>
          <w:bCs/>
          <w:sz w:val="21"/>
          <w:szCs w:val="21"/>
        </w:rPr>
        <w:t>67</w:t>
      </w:r>
      <w:r>
        <w:rPr>
          <w:rFonts w:ascii="宋体" w:hAnsi="宋体" w:cs="宋体" w:eastAsia="宋体" w:hint="default"/>
          <w:b/>
          <w:bCs/>
          <w:sz w:val="21"/>
          <w:szCs w:val="21"/>
        </w:rPr>
        <w:t>、现金流量表项目</w:t>
      </w:r>
      <w:r>
        <w:rPr>
          <w:rFonts w:ascii="宋体" w:hAnsi="宋体" w:cs="宋体" w:eastAsia="宋体" w:hint="default"/>
          <w:sz w:val="21"/>
          <w:szCs w:val="21"/>
        </w:rPr>
      </w:r>
    </w:p>
    <w:p>
      <w:pPr>
        <w:pStyle w:val="Heading3"/>
        <w:spacing w:line="240" w:lineRule="auto" w:before="26"/>
        <w:ind w:left="114" w:right="1276"/>
        <w:jc w:val="left"/>
        <w:rPr>
          <w:b w:val="0"/>
          <w:bCs w:val="0"/>
        </w:rPr>
      </w:pPr>
      <w:bookmarkStart w:name="（1）收到的其他与经营活动有关的现金" w:id="343"/>
      <w:bookmarkEnd w:id="343"/>
      <w:r>
        <w:rPr>
          <w:b w:val="0"/>
          <w:bCs w:val="0"/>
        </w:rPr>
      </w:r>
      <w:r>
        <w:rPr/>
        <w:t>（</w:t>
      </w:r>
      <w:r>
        <w:rPr>
          <w:rFonts w:ascii="Times New Roman" w:hAnsi="Times New Roman" w:cs="Times New Roman" w:eastAsia="Times New Roman" w:hint="default"/>
        </w:rPr>
        <w:t>1</w:t>
      </w:r>
      <w:r>
        <w:rPr/>
        <w:t>）收到的其他与经营活动有关的现金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收到各项政府补助</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13,669,173.78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1,757,526.24</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收到利息收入</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4,128,724.12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4,554,561.87</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收到的押金、保证金</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42,934,671.61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34,256,438.99</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收到个人备用金归还</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13,205,712.65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14,732,980.79</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收到往来款及零星现金</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50,657,834.13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33,077,915.40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124,596,116.29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88,379,423.29</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2）支付的其他与经营活动有关的现金" w:id="344"/>
      <w:bookmarkEnd w:id="344"/>
      <w:r>
        <w:rPr>
          <w:b w:val="0"/>
          <w:bCs w:val="0"/>
        </w:rPr>
      </w:r>
      <w:r>
        <w:rPr/>
        <w:t>（</w:t>
      </w:r>
      <w:r>
        <w:rPr>
          <w:rFonts w:ascii="Times New Roman" w:hAnsi="Times New Roman" w:cs="Times New Roman" w:eastAsia="Times New Roman" w:hint="default"/>
        </w:rPr>
        <w:t>2</w:t>
      </w:r>
      <w:r>
        <w:rPr/>
        <w:t>）支付的其他与经营活动有关的现金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2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81"/>
              <w:jc w:val="left"/>
              <w:rPr>
                <w:rFonts w:ascii="宋体" w:hAnsi="宋体" w:cs="宋体" w:eastAsia="宋体" w:hint="default"/>
                <w:sz w:val="18"/>
                <w:szCs w:val="18"/>
              </w:rPr>
            </w:pPr>
            <w:r>
              <w:rPr>
                <w:rFonts w:ascii="宋体" w:hAnsi="宋体" w:cs="宋体" w:eastAsia="宋体" w:hint="default"/>
                <w:sz w:val="18"/>
                <w:szCs w:val="18"/>
              </w:rPr>
              <w:t>支付游戏推广费、办公、差旅、房租、 招待等费用及往来款</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563,008,258.14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548,715,051.85</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支付的押金、保证金</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38,720,669.83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47,065,481.84</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601,728,927.97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595,780,533.69</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1020" w:right="0"/>
        </w:sectPr>
      </w:pPr>
    </w:p>
    <w:p>
      <w:pPr>
        <w:spacing w:line="240" w:lineRule="auto" w:before="11"/>
        <w:rPr>
          <w:rFonts w:ascii="宋体" w:hAnsi="宋体" w:cs="宋体" w:eastAsia="宋体" w:hint="default"/>
          <w:sz w:val="2"/>
          <w:szCs w:val="2"/>
        </w:rPr>
      </w:pPr>
    </w:p>
    <w:p>
      <w:pPr>
        <w:spacing w:line="20" w:lineRule="exact"/>
        <w:ind w:left="17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left="214" w:right="1753"/>
        <w:jc w:val="left"/>
        <w:rPr>
          <w:b w:val="0"/>
          <w:bCs w:val="0"/>
        </w:rPr>
      </w:pPr>
      <w:bookmarkStart w:name="（3）收到的其他与投资活动有关的现金" w:id="345"/>
      <w:bookmarkEnd w:id="345"/>
      <w:r>
        <w:rPr>
          <w:b w:val="0"/>
          <w:bCs w:val="0"/>
        </w:rPr>
      </w:r>
      <w:r>
        <w:rPr/>
        <w:t>（</w:t>
      </w:r>
      <w:r>
        <w:rPr>
          <w:rFonts w:ascii="Times New Roman" w:hAnsi="Times New Roman" w:cs="Times New Roman" w:eastAsia="Times New Roman" w:hint="default"/>
        </w:rPr>
        <w:t>3</w:t>
      </w:r>
      <w:r>
        <w:rPr/>
        <w:t>）收到的其他与投资活动有关的现金</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74" w:right="1753"/>
        <w:jc w:val="left"/>
      </w:pPr>
      <w:r>
        <w:rPr/>
        <w:t>无。</w:t>
      </w:r>
    </w:p>
    <w:p>
      <w:pPr>
        <w:spacing w:line="240" w:lineRule="auto" w:before="11"/>
        <w:rPr>
          <w:rFonts w:ascii="宋体" w:hAnsi="宋体" w:cs="宋体" w:eastAsia="宋体" w:hint="default"/>
          <w:sz w:val="26"/>
          <w:szCs w:val="26"/>
        </w:rPr>
      </w:pPr>
    </w:p>
    <w:p>
      <w:pPr>
        <w:pStyle w:val="Heading3"/>
        <w:spacing w:line="240" w:lineRule="auto"/>
        <w:ind w:left="214" w:right="1753"/>
        <w:jc w:val="left"/>
        <w:rPr>
          <w:b w:val="0"/>
          <w:bCs w:val="0"/>
        </w:rPr>
      </w:pPr>
      <w:bookmarkStart w:name="（4）支付的其他与投资活动有关的现金" w:id="346"/>
      <w:bookmarkEnd w:id="346"/>
      <w:r>
        <w:rPr>
          <w:b w:val="0"/>
          <w:bCs w:val="0"/>
        </w:rPr>
      </w:r>
      <w:r>
        <w:rPr/>
        <w:t>（</w:t>
      </w:r>
      <w:r>
        <w:rPr>
          <w:rFonts w:ascii="Times New Roman" w:hAnsi="Times New Roman" w:cs="Times New Roman" w:eastAsia="Times New Roman" w:hint="default"/>
        </w:rPr>
        <w:t>4</w:t>
      </w:r>
      <w:r>
        <w:rPr/>
        <w:t>）支付的其他与投资活动有关的现金</w:t>
      </w:r>
      <w:r>
        <w:rPr>
          <w:b w:val="0"/>
          <w:bCs w:val="0"/>
        </w:rPr>
      </w:r>
    </w:p>
    <w:p>
      <w:pPr>
        <w:spacing w:line="240" w:lineRule="auto" w:before="10"/>
        <w:rPr>
          <w:rFonts w:ascii="宋体" w:hAnsi="宋体" w:cs="宋体" w:eastAsia="宋体" w:hint="default"/>
          <w:b/>
          <w:bCs/>
          <w:sz w:val="25"/>
          <w:szCs w:val="25"/>
        </w:rPr>
      </w:pPr>
    </w:p>
    <w:tbl>
      <w:tblPr>
        <w:tblW w:w="0" w:type="auto"/>
        <w:jc w:val="left"/>
        <w:tblInd w:w="101" w:type="dxa"/>
        <w:tblLayout w:type="fixed"/>
        <w:tblCellMar>
          <w:top w:w="0" w:type="dxa"/>
          <w:left w:w="0" w:type="dxa"/>
          <w:bottom w:w="0" w:type="dxa"/>
          <w:right w:w="0" w:type="dxa"/>
        </w:tblCellMar>
        <w:tblLook w:val="01E0"/>
      </w:tblPr>
      <w:tblGrid>
        <w:gridCol w:w="4714"/>
        <w:gridCol w:w="2571"/>
        <w:gridCol w:w="2570"/>
      </w:tblGrid>
      <w:tr>
        <w:trPr>
          <w:trHeight w:val="402" w:hRule="exact"/>
        </w:trPr>
        <w:tc>
          <w:tcPr>
            <w:tcW w:w="4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3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5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3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4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处置子公司支付的现金净额</w:t>
            </w:r>
          </w:p>
        </w:tc>
        <w:tc>
          <w:tcPr>
            <w:tcW w:w="2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7,063,311.23</w:t>
            </w:r>
          </w:p>
        </w:tc>
        <w:tc>
          <w:tcPr>
            <w:tcW w:w="257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7,063,311.23</w:t>
            </w:r>
          </w:p>
        </w:tc>
        <w:tc>
          <w:tcPr>
            <w:tcW w:w="257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5"/>
          <w:szCs w:val="25"/>
        </w:rPr>
      </w:pPr>
    </w:p>
    <w:p>
      <w:pPr>
        <w:pStyle w:val="Heading3"/>
        <w:spacing w:line="240" w:lineRule="auto" w:before="35"/>
        <w:ind w:left="214" w:right="1753"/>
        <w:jc w:val="left"/>
        <w:rPr>
          <w:b w:val="0"/>
          <w:bCs w:val="0"/>
        </w:rPr>
      </w:pPr>
      <w:bookmarkStart w:name="（5）收到的其他与筹资活动有关的现金" w:id="347"/>
      <w:bookmarkEnd w:id="347"/>
      <w:r>
        <w:rPr>
          <w:b w:val="0"/>
          <w:bCs w:val="0"/>
        </w:rPr>
      </w:r>
      <w:r>
        <w:rPr/>
        <w:t>（</w:t>
      </w:r>
      <w:r>
        <w:rPr>
          <w:rFonts w:ascii="Times New Roman" w:hAnsi="Times New Roman" w:cs="Times New Roman" w:eastAsia="Times New Roman" w:hint="default"/>
        </w:rPr>
        <w:t>5</w:t>
      </w:r>
      <w:r>
        <w:rPr/>
        <w:t>）收到的其他与筹资活动有关的现金</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22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收回保证金</w:t>
            </w:r>
          </w:p>
        </w:tc>
        <w:tc>
          <w:tcPr>
            <w:tcW w:w="3206"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4,764,268.47</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存放境外的受限外币货币资金收回</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1,640,081.35</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代收股票转让个税</w:t>
            </w:r>
          </w:p>
        </w:tc>
        <w:tc>
          <w:tcPr>
            <w:tcW w:w="3206"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56,917,231.98</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1,640,081.35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61,681,500.45</w:t>
            </w:r>
          </w:p>
        </w:tc>
      </w:tr>
    </w:tbl>
    <w:p>
      <w:pPr>
        <w:spacing w:line="240" w:lineRule="auto" w:before="3"/>
        <w:rPr>
          <w:rFonts w:ascii="宋体" w:hAnsi="宋体" w:cs="宋体" w:eastAsia="宋体" w:hint="default"/>
          <w:sz w:val="19"/>
          <w:szCs w:val="19"/>
        </w:rPr>
      </w:pPr>
    </w:p>
    <w:p>
      <w:pPr>
        <w:pStyle w:val="Heading3"/>
        <w:spacing w:line="240" w:lineRule="auto" w:before="35"/>
        <w:ind w:left="214" w:right="1753"/>
        <w:jc w:val="left"/>
        <w:rPr>
          <w:b w:val="0"/>
          <w:bCs w:val="0"/>
        </w:rPr>
      </w:pPr>
      <w:bookmarkStart w:name="（6）支付的其他与筹资活动有关的现金" w:id="348"/>
      <w:bookmarkEnd w:id="348"/>
      <w:r>
        <w:rPr>
          <w:b w:val="0"/>
          <w:bCs w:val="0"/>
        </w:rPr>
      </w:r>
      <w:r>
        <w:rPr/>
        <w:t>（</w:t>
      </w:r>
      <w:r>
        <w:rPr>
          <w:rFonts w:ascii="Times New Roman" w:hAnsi="Times New Roman" w:cs="Times New Roman" w:eastAsia="Times New Roman" w:hint="default"/>
        </w:rPr>
        <w:t>6</w:t>
      </w:r>
      <w:r>
        <w:rPr/>
        <w:t>）支付的其他与筹资活动有关的现金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22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支付保证金</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18,158,542.69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809,857.53</w:t>
            </w:r>
          </w:p>
        </w:tc>
      </w:tr>
      <w:tr>
        <w:trPr>
          <w:trHeight w:val="714"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81"/>
              <w:jc w:val="left"/>
              <w:rPr>
                <w:rFonts w:ascii="宋体" w:hAnsi="宋体" w:cs="宋体" w:eastAsia="宋体" w:hint="default"/>
                <w:sz w:val="18"/>
                <w:szCs w:val="18"/>
              </w:rPr>
            </w:pPr>
            <w:r>
              <w:rPr>
                <w:rFonts w:ascii="宋体" w:hAnsi="宋体" w:cs="宋体" w:eastAsia="宋体" w:hint="default"/>
                <w:sz w:val="18"/>
                <w:szCs w:val="18"/>
              </w:rPr>
              <w:t>付以前年度已纳入合并范围的子公司原 股东股权收购款</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22,112,000.02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133,579,133.80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短期融资券费用</w:t>
            </w:r>
          </w:p>
        </w:tc>
        <w:tc>
          <w:tcPr>
            <w:tcW w:w="3206"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1,415,094.34</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支付信用卡保证金</w:t>
            </w:r>
          </w:p>
        </w:tc>
        <w:tc>
          <w:tcPr>
            <w:tcW w:w="3206"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2,139,106.05</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存放境外的受限外币货币资金</w:t>
            </w:r>
          </w:p>
        </w:tc>
        <w:tc>
          <w:tcPr>
            <w:tcW w:w="3206" w:type="dxa"/>
            <w:tcBorders>
              <w:top w:val="single" w:sz="4" w:space="0" w:color="000000"/>
              <w:left w:val="single" w:sz="13" w:space="0" w:color="D2D2D2"/>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1,628,112.94</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代付股票转让个税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5,528,000.00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56,917,231.98</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45,798,542.71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196,488,536.64</w:t>
            </w:r>
          </w:p>
        </w:tc>
      </w:tr>
    </w:tbl>
    <w:p>
      <w:pPr>
        <w:spacing w:line="240" w:lineRule="auto" w:before="2"/>
        <w:rPr>
          <w:rFonts w:ascii="宋体" w:hAnsi="宋体" w:cs="宋体" w:eastAsia="宋体" w:hint="default"/>
          <w:sz w:val="19"/>
          <w:szCs w:val="19"/>
        </w:rPr>
      </w:pPr>
    </w:p>
    <w:p>
      <w:pPr>
        <w:pStyle w:val="Heading3"/>
        <w:spacing w:line="240" w:lineRule="auto" w:before="35"/>
        <w:ind w:left="214" w:right="1753"/>
        <w:jc w:val="left"/>
        <w:rPr>
          <w:b w:val="0"/>
          <w:bCs w:val="0"/>
        </w:rPr>
      </w:pPr>
      <w:bookmarkStart w:name="68、现金流量表补充资料" w:id="349"/>
      <w:bookmarkEnd w:id="349"/>
      <w:r>
        <w:rPr>
          <w:b w:val="0"/>
          <w:bCs w:val="0"/>
        </w:rPr>
      </w:r>
      <w:r>
        <w:rPr>
          <w:rFonts w:ascii="Times New Roman" w:hAnsi="Times New Roman" w:cs="Times New Roman" w:eastAsia="Times New Roman" w:hint="default"/>
        </w:rPr>
        <w:t>68</w:t>
      </w:r>
      <w:r>
        <w:rPr/>
        <w:t>、现金流量表补充资料</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214" w:right="1753"/>
        <w:jc w:val="left"/>
        <w:rPr>
          <w:b w:val="0"/>
          <w:bCs w:val="0"/>
        </w:rPr>
      </w:pPr>
      <w:bookmarkStart w:name="（1）现金流量表补充资料" w:id="350"/>
      <w:bookmarkEnd w:id="350"/>
      <w:r>
        <w:rPr>
          <w:b w:val="0"/>
          <w:bCs w:val="0"/>
        </w:rPr>
      </w:r>
      <w:r>
        <w:rPr/>
        <w:t>（</w:t>
      </w:r>
      <w:r>
        <w:rPr>
          <w:rFonts w:ascii="Times New Roman" w:hAnsi="Times New Roman" w:cs="Times New Roman" w:eastAsia="Times New Roman" w:hint="default"/>
        </w:rPr>
        <w:t>1</w:t>
      </w:r>
      <w:r>
        <w:rPr/>
        <w:t>）现金流量表补充资料</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209" w:type="dxa"/>
        <w:tblLayout w:type="fixed"/>
        <w:tblCellMar>
          <w:top w:w="0" w:type="dxa"/>
          <w:left w:w="0" w:type="dxa"/>
          <w:bottom w:w="0" w:type="dxa"/>
          <w:right w:w="0" w:type="dxa"/>
        </w:tblCellMar>
        <w:tblLook w:val="01E0"/>
      </w:tblPr>
      <w:tblGrid>
        <w:gridCol w:w="3328"/>
        <w:gridCol w:w="3057"/>
        <w:gridCol w:w="3184"/>
      </w:tblGrid>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上期金额</w:t>
            </w:r>
          </w:p>
        </w:tc>
      </w:tr>
    </w:tbl>
    <w:p>
      <w:pPr>
        <w:spacing w:after="0" w:line="240" w:lineRule="auto"/>
        <w:jc w:val="center"/>
        <w:rPr>
          <w:rFonts w:ascii="宋体" w:hAnsi="宋体" w:cs="宋体" w:eastAsia="宋体" w:hint="default"/>
          <w:sz w:val="18"/>
          <w:szCs w:val="18"/>
        </w:rPr>
        <w:sectPr>
          <w:pgSz w:w="11910" w:h="16840"/>
          <w:pgMar w:header="851" w:footer="979" w:top="1400" w:bottom="1160" w:left="9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spacing w:line="817" w:lineRule="exact"/>
        <w:ind w:left="3446"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151.25pt;height:40.9pt;mso-position-horizontal-relative:char;mso-position-vertical-relative:line" coordorigin="0,0" coordsize="3025,818">
            <v:group style="position:absolute;left:11;top:11;width:2;height:393" coordorigin="11,11" coordsize="2,393">
              <v:shape style="position:absolute;left:11;top:11;width:2;height:393" coordorigin="11,11" coordsize="0,393" path="m11,11l11,404e" filled="false" stroked="true" strokeweight="1.140pt" strokecolor="#ffffff">
                <v:path arrowok="t"/>
              </v:shape>
            </v:group>
            <v:group style="position:absolute;left:23;top:11;width:3002;height:393" coordorigin="23,11" coordsize="3002,393">
              <v:shape style="position:absolute;left:23;top:11;width:3002;height:393" coordorigin="23,11" coordsize="3002,393" path="m23,404l3024,404,3024,11,23,11,23,404xe" filled="true" fillcolor="#ffffff" stroked="false">
                <v:path arrowok="t"/>
                <v:fill type="solid"/>
              </v:shape>
            </v:group>
            <v:group style="position:absolute;left:11;top:413;width:2;height:393" coordorigin="11,413" coordsize="2,393">
              <v:shape style="position:absolute;left:11;top:413;width:2;height:393" coordorigin="11,413" coordsize="0,393" path="m11,413l11,806e" filled="false" stroked="true" strokeweight="1.140pt" strokecolor="#ffffff">
                <v:path arrowok="t"/>
              </v:shape>
            </v:group>
            <v:group style="position:absolute;left:23;top:413;width:3002;height:393" coordorigin="23,413" coordsize="3002,393">
              <v:shape style="position:absolute;left:23;top:413;width:3002;height:393" coordorigin="23,413" coordsize="3002,393" path="m23,806l3024,806,3024,413,23,413,23,806xe" filled="true" fillcolor="#ffffff" stroked="false">
                <v:path arrowok="t"/>
                <v:fill type="solid"/>
              </v:shape>
            </v:group>
          </v:group>
        </w:pict>
      </w:r>
      <w:r>
        <w:rPr>
          <w:rFonts w:ascii="宋体" w:hAnsi="宋体" w:cs="宋体" w:eastAsia="宋体" w:hint="default"/>
          <w:position w:val="-15"/>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7"/>
          <w:szCs w:val="17"/>
        </w:rPr>
      </w:pPr>
    </w:p>
    <w:p>
      <w:pPr>
        <w:pStyle w:val="Heading3"/>
        <w:spacing w:line="240" w:lineRule="auto" w:before="35"/>
        <w:ind w:left="114" w:right="1276"/>
        <w:jc w:val="left"/>
        <w:rPr>
          <w:b w:val="0"/>
          <w:bCs w:val="0"/>
        </w:rPr>
      </w:pPr>
      <w:r>
        <w:rPr/>
        <w:pict>
          <v:shape style="position:absolute;margin-left:57.029999pt;margin-top:-534.246338pt;width:478.6pt;height:521.7pt;mso-position-horizontal-relative:page;mso-position-vertical-relative:paragraph;z-index:36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305"/>
                    <w:gridCol w:w="1055"/>
                    <w:gridCol w:w="2014"/>
                    <w:gridCol w:w="3184"/>
                  </w:tblGrid>
                  <w:tr>
                    <w:trPr>
                      <w:trHeight w:val="414" w:hRule="exact"/>
                    </w:trPr>
                    <w:tc>
                      <w:tcPr>
                        <w:tcW w:w="3305"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3069" w:type="dxa"/>
                        <w:gridSpan w:val="2"/>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7"/>
                          <w:ind w:left="11"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7"/>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1989" w:right="0"/>
                          <w:jc w:val="left"/>
                          <w:rPr>
                            <w:rFonts w:ascii="Times New Roman" w:hAnsi="Times New Roman" w:cs="Times New Roman" w:eastAsia="Times New Roman" w:hint="default"/>
                            <w:sz w:val="18"/>
                            <w:szCs w:val="18"/>
                          </w:rPr>
                        </w:pPr>
                        <w:r>
                          <w:rPr>
                            <w:rFonts w:ascii="Times New Roman"/>
                            <w:sz w:val="18"/>
                          </w:rPr>
                          <w:t>78,843,063.99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97,057,891.60</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1989" w:right="0"/>
                          <w:jc w:val="left"/>
                          <w:rPr>
                            <w:rFonts w:ascii="Times New Roman" w:hAnsi="Times New Roman" w:cs="Times New Roman" w:eastAsia="Times New Roman" w:hint="default"/>
                            <w:sz w:val="18"/>
                            <w:szCs w:val="18"/>
                          </w:rPr>
                        </w:pPr>
                        <w:r>
                          <w:rPr>
                            <w:rFonts w:ascii="Times New Roman"/>
                            <w:sz w:val="18"/>
                          </w:rPr>
                          <w:t>76,855,392.35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92,068,762.27</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41"/>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 物资产折旧</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1989" w:right="0"/>
                          <w:jc w:val="left"/>
                          <w:rPr>
                            <w:rFonts w:ascii="Times New Roman" w:hAnsi="Times New Roman" w:cs="Times New Roman" w:eastAsia="Times New Roman" w:hint="default"/>
                            <w:sz w:val="18"/>
                            <w:szCs w:val="18"/>
                          </w:rPr>
                        </w:pPr>
                        <w:r>
                          <w:rPr>
                            <w:rFonts w:ascii="Times New Roman"/>
                            <w:sz w:val="18"/>
                          </w:rPr>
                          <w:t>28,505,333.29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27,501,559.59</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1989" w:right="0"/>
                          <w:jc w:val="left"/>
                          <w:rPr>
                            <w:rFonts w:ascii="Times New Roman" w:hAnsi="Times New Roman" w:cs="Times New Roman" w:eastAsia="Times New Roman" w:hint="default"/>
                            <w:sz w:val="18"/>
                            <w:szCs w:val="18"/>
                          </w:rPr>
                        </w:pPr>
                        <w:r>
                          <w:rPr>
                            <w:rFonts w:ascii="Times New Roman"/>
                            <w:sz w:val="18"/>
                          </w:rPr>
                          <w:t>55,733,464.14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51,595,635.92</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6,367,830.69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19,591,408.80</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41"/>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 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163,555.42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-6,046,248.78</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208,793.98</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1989" w:right="0"/>
                          <w:jc w:val="left"/>
                          <w:rPr>
                            <w:rFonts w:ascii="Times New Roman" w:hAnsi="Times New Roman" w:cs="Times New Roman" w:eastAsia="Times New Roman" w:hint="default"/>
                            <w:sz w:val="18"/>
                            <w:szCs w:val="18"/>
                          </w:rPr>
                        </w:pPr>
                        <w:r>
                          <w:rPr>
                            <w:rFonts w:ascii="Times New Roman"/>
                            <w:sz w:val="18"/>
                          </w:rPr>
                          <w:t>40,971,684.17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62,407,711.70</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2019" w:right="0"/>
                          <w:jc w:val="left"/>
                          <w:rPr>
                            <w:rFonts w:ascii="Times New Roman" w:hAnsi="Times New Roman" w:cs="Times New Roman" w:eastAsia="Times New Roman" w:hint="default"/>
                            <w:sz w:val="18"/>
                            <w:szCs w:val="18"/>
                          </w:rPr>
                        </w:pPr>
                        <w:r>
                          <w:rPr>
                            <w:rFonts w:ascii="Times New Roman"/>
                            <w:sz w:val="18"/>
                          </w:rPr>
                          <w:t>-7,060,956.20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-55,243,912.84</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递延所得税资产减少（增加以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1055" w:type="dxa"/>
                        <w:tcBorders>
                          <w:top w:val="single" w:sz="4" w:space="0" w:color="000000"/>
                          <w:left w:val="single" w:sz="13" w:space="0" w:color="D2D2D2"/>
                          <w:bottom w:val="single" w:sz="4" w:space="0" w:color="000000"/>
                          <w:right w:val="nil" w:sz="6" w:space="0" w:color="auto"/>
                        </w:tcBorders>
                      </w:tcPr>
                      <w:p>
                        <w:pPr>
                          <w:pStyle w:val="TableParagraph"/>
                          <w:spacing w:line="240" w:lineRule="auto" w:before="51"/>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201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-6,022,403.86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-10,579,167.51</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递延所得税负债增加（减少以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1055" w:type="dxa"/>
                        <w:tcBorders>
                          <w:top w:val="single" w:sz="4" w:space="0" w:color="000000"/>
                          <w:left w:val="single" w:sz="13" w:space="0" w:color="D2D2D2"/>
                          <w:bottom w:val="single" w:sz="4" w:space="0" w:color="000000"/>
                          <w:right w:val="nil" w:sz="6" w:space="0" w:color="auto"/>
                        </w:tcBorders>
                      </w:tcPr>
                      <w:p>
                        <w:pPr>
                          <w:pStyle w:val="TableParagraph"/>
                          <w:spacing w:line="240" w:lineRule="auto" w:before="51"/>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201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-410,826.41</w:t>
                        </w:r>
                        <w:r>
                          <w:rPr>
                            <w:rFonts w:ascii="Times New Roman"/>
                            <w:sz w:val="18"/>
                          </w:rPr>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-876,727.55</w:t>
                        </w:r>
                        <w:r>
                          <w:rPr>
                            <w:rFonts w:ascii="Times New Roman"/>
                            <w:sz w:val="18"/>
                          </w:rPr>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989" w:right="0"/>
                          <w:jc w:val="left"/>
                          <w:rPr>
                            <w:rFonts w:ascii="Times New Roman" w:hAnsi="Times New Roman" w:cs="Times New Roman" w:eastAsia="Times New Roman" w:hint="default"/>
                            <w:sz w:val="18"/>
                            <w:szCs w:val="18"/>
                          </w:rPr>
                        </w:pPr>
                        <w:r>
                          <w:rPr>
                            <w:rFonts w:ascii="Times New Roman"/>
                            <w:sz w:val="18"/>
                          </w:rPr>
                          <w:t>58,706,055.72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95,410,611.45</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61"/>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39" w:right="0"/>
                          <w:jc w:val="left"/>
                          <w:rPr>
                            <w:rFonts w:ascii="Times New Roman" w:hAnsi="Times New Roman" w:cs="Times New Roman" w:eastAsia="Times New Roman" w:hint="default"/>
                            <w:sz w:val="18"/>
                            <w:szCs w:val="18"/>
                          </w:rPr>
                        </w:pPr>
                        <w:r>
                          <w:rPr>
                            <w:rFonts w:ascii="Times New Roman"/>
                            <w:sz w:val="18"/>
                          </w:rPr>
                          <w:t>-155,803,137.43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85,604,643.62</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61"/>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989" w:right="0"/>
                          <w:jc w:val="left"/>
                          <w:rPr>
                            <w:rFonts w:ascii="Times New Roman" w:hAnsi="Times New Roman" w:cs="Times New Roman" w:eastAsia="Times New Roman" w:hint="default"/>
                            <w:sz w:val="18"/>
                            <w:szCs w:val="18"/>
                          </w:rPr>
                        </w:pPr>
                        <w:r>
                          <w:rPr>
                            <w:rFonts w:ascii="Times New Roman"/>
                            <w:sz w:val="18"/>
                          </w:rPr>
                          <w:t>95,299,145.10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75,286,910.42</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69" w:type="dxa"/>
                        <w:gridSpan w:val="2"/>
                        <w:tcBorders>
                          <w:top w:val="single" w:sz="4" w:space="0" w:color="000000"/>
                          <w:left w:val="single" w:sz="13" w:space="0" w:color="D2D2D2"/>
                          <w:bottom w:val="single" w:sz="4" w:space="0" w:color="000000"/>
                          <w:right w:val="single" w:sz="4" w:space="0" w:color="000000"/>
                        </w:tcBorders>
                      </w:tcPr>
                      <w:p>
                        <w:pP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6,676,929.63</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899" w:right="0"/>
                          <w:jc w:val="left"/>
                          <w:rPr>
                            <w:rFonts w:ascii="Times New Roman" w:hAnsi="Times New Roman" w:cs="Times New Roman" w:eastAsia="Times New Roman" w:hint="default"/>
                            <w:sz w:val="18"/>
                            <w:szCs w:val="18"/>
                          </w:rPr>
                        </w:pPr>
                        <w:r>
                          <w:rPr>
                            <w:rFonts w:ascii="Times New Roman"/>
                            <w:sz w:val="18"/>
                          </w:rPr>
                          <w:t>272,148,200.97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540,664,802.30</w:t>
                        </w:r>
                      </w:p>
                    </w:tc>
                  </w:tr>
                  <w:tr>
                    <w:trPr>
                      <w:trHeight w:val="161" w:hRule="exact"/>
                    </w:trPr>
                    <w:tc>
                      <w:tcPr>
                        <w:tcW w:w="3305" w:type="dxa"/>
                        <w:vMerge w:val="restart"/>
                        <w:tcBorders>
                          <w:top w:val="single" w:sz="4" w:space="0" w:color="000000"/>
                          <w:left w:val="single" w:sz="4" w:space="0" w:color="000000"/>
                          <w:right w:val="single" w:sz="4" w:space="0" w:color="000000"/>
                        </w:tcBorders>
                        <w:shd w:val="clear" w:color="auto" w:fill="D2D2D2"/>
                      </w:tcPr>
                      <w:p>
                        <w:pPr>
                          <w:pStyle w:val="TableParagraph"/>
                          <w:spacing w:line="302" w:lineRule="auto" w:before="51"/>
                          <w:ind w:left="11" w:right="13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 动：</w:t>
                        </w:r>
                      </w:p>
                    </w:tc>
                    <w:tc>
                      <w:tcPr>
                        <w:tcW w:w="3069"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318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3305" w:type="dxa"/>
                        <w:vMerge/>
                        <w:tcBorders>
                          <w:left w:val="single" w:sz="4" w:space="0" w:color="000000"/>
                          <w:right w:val="single" w:sz="4" w:space="0" w:color="000000"/>
                        </w:tcBorders>
                        <w:shd w:val="clear" w:color="auto" w:fill="D2D2D2"/>
                      </w:tcPr>
                      <w:p>
                        <w:pPr/>
                      </w:p>
                    </w:tc>
                    <w:tc>
                      <w:tcPr>
                        <w:tcW w:w="3069"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3305" w:type="dxa"/>
                        <w:vMerge/>
                        <w:tcBorders>
                          <w:left w:val="single" w:sz="4" w:space="0" w:color="000000"/>
                          <w:bottom w:val="single" w:sz="4" w:space="0" w:color="000000"/>
                          <w:right w:val="single" w:sz="4" w:space="0" w:color="000000"/>
                        </w:tcBorders>
                        <w:shd w:val="clear" w:color="auto" w:fill="D2D2D2"/>
                      </w:tcPr>
                      <w:p>
                        <w:pPr/>
                      </w:p>
                    </w:tc>
                    <w:tc>
                      <w:tcPr>
                        <w:tcW w:w="3069"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318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30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899" w:right="0"/>
                          <w:jc w:val="left"/>
                          <w:rPr>
                            <w:rFonts w:ascii="Times New Roman" w:hAnsi="Times New Roman" w:cs="Times New Roman" w:eastAsia="Times New Roman" w:hint="default"/>
                            <w:sz w:val="18"/>
                            <w:szCs w:val="18"/>
                          </w:rPr>
                        </w:pPr>
                        <w:r>
                          <w:rPr>
                            <w:rFonts w:ascii="Times New Roman"/>
                            <w:sz w:val="18"/>
                          </w:rPr>
                          <w:t>507,464,867.86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777,435,154.91</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899" w:right="0"/>
                          <w:jc w:val="left"/>
                          <w:rPr>
                            <w:rFonts w:ascii="Times New Roman" w:hAnsi="Times New Roman" w:cs="Times New Roman" w:eastAsia="Times New Roman" w:hint="default"/>
                            <w:sz w:val="18"/>
                            <w:szCs w:val="18"/>
                          </w:rPr>
                        </w:pPr>
                        <w:r>
                          <w:rPr>
                            <w:rFonts w:ascii="Times New Roman"/>
                            <w:sz w:val="18"/>
                          </w:rPr>
                          <w:t>777,435,154.91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843,110,603.92</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3069"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839" w:right="0"/>
                          <w:jc w:val="left"/>
                          <w:rPr>
                            <w:rFonts w:ascii="Times New Roman" w:hAnsi="Times New Roman" w:cs="Times New Roman" w:eastAsia="Times New Roman" w:hint="default"/>
                            <w:sz w:val="18"/>
                            <w:szCs w:val="18"/>
                          </w:rPr>
                        </w:pPr>
                        <w:r>
                          <w:rPr>
                            <w:rFonts w:ascii="Times New Roman"/>
                            <w:sz w:val="18"/>
                          </w:rPr>
                          <w:t>-269,970,287.05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-65,675,449.01</w:t>
                        </w:r>
                      </w:p>
                    </w:tc>
                  </w:tr>
                </w:tbl>
                <w:p>
                  <w:pPr/>
                </w:p>
              </w:txbxContent>
            </v:textbox>
            <w10:wrap type="none"/>
          </v:shape>
        </w:pict>
      </w:r>
      <w:bookmarkStart w:name="（2）本期支付的取得子公司的现金净额" w:id="351"/>
      <w:bookmarkEnd w:id="351"/>
      <w:r>
        <w:rPr>
          <w:b w:val="0"/>
          <w:bCs w:val="0"/>
        </w:rPr>
      </w:r>
      <w:r>
        <w:rPr/>
        <w:t>（</w:t>
      </w:r>
      <w:r>
        <w:rPr>
          <w:rFonts w:ascii="Times New Roman" w:hAnsi="Times New Roman" w:cs="Times New Roman" w:eastAsia="Times New Roman" w:hint="default"/>
        </w:rPr>
        <w:t>2</w:t>
      </w:r>
      <w:r>
        <w:rPr/>
        <w:t>）本期支付的取得子公司的现金净额</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474" w:right="1276"/>
        <w:jc w:val="left"/>
      </w:pPr>
      <w:r>
        <w:rPr/>
        <w:t>无。</w:t>
      </w:r>
    </w:p>
    <w:p>
      <w:pPr>
        <w:spacing w:line="240" w:lineRule="auto" w:before="10"/>
        <w:rPr>
          <w:rFonts w:ascii="宋体" w:hAnsi="宋体" w:cs="宋体" w:eastAsia="宋体" w:hint="default"/>
          <w:sz w:val="26"/>
          <w:szCs w:val="26"/>
        </w:rPr>
      </w:pPr>
    </w:p>
    <w:p>
      <w:pPr>
        <w:pStyle w:val="Heading3"/>
        <w:spacing w:line="240" w:lineRule="auto"/>
        <w:ind w:left="114" w:right="1276"/>
        <w:jc w:val="left"/>
        <w:rPr>
          <w:b w:val="0"/>
          <w:bCs w:val="0"/>
        </w:rPr>
      </w:pPr>
      <w:bookmarkStart w:name="（3）本期收到的处置子公司的现金净额" w:id="352"/>
      <w:bookmarkEnd w:id="352"/>
      <w:r>
        <w:rPr>
          <w:b w:val="0"/>
          <w:bCs w:val="0"/>
        </w:rPr>
      </w:r>
      <w:r>
        <w:rPr/>
        <w:t>（</w:t>
      </w:r>
      <w:r>
        <w:rPr>
          <w:rFonts w:ascii="Times New Roman" w:hAnsi="Times New Roman" w:cs="Times New Roman" w:eastAsia="Times New Roman" w:hint="default"/>
        </w:rPr>
        <w:t>3</w:t>
      </w:r>
      <w:r>
        <w:rPr/>
        <w:t>）本期收到的处置子公司的现金净额</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4977"/>
        <w:gridCol w:w="4592"/>
      </w:tblGrid>
      <w:tr>
        <w:trPr>
          <w:trHeight w:val="402" w:hRule="exact"/>
        </w:trPr>
        <w:tc>
          <w:tcPr>
            <w:tcW w:w="497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2" w:hRule="exact"/>
        </w:trPr>
        <w:tc>
          <w:tcPr>
            <w:tcW w:w="49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本期处置子公司于本期收到的现金或现金等价物</w:t>
            </w:r>
          </w:p>
        </w:tc>
        <w:tc>
          <w:tcPr>
            <w:tcW w:w="45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2,265,000.00</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60" w:bottom="1160" w:left="1020" w:right="0"/>
        </w:sectPr>
      </w:pPr>
    </w:p>
    <w:p>
      <w:pPr>
        <w:spacing w:line="240" w:lineRule="auto" w:before="6"/>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4989"/>
        <w:gridCol w:w="4580"/>
      </w:tblGrid>
      <w:tr>
        <w:trPr>
          <w:trHeight w:val="414" w:hRule="exact"/>
        </w:trPr>
        <w:tc>
          <w:tcPr>
            <w:tcW w:w="498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7"/>
              <w:ind w:left="2225" w:right="0"/>
              <w:jc w:val="left"/>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Ultrapower 360 PTE</w:t>
            </w:r>
            <w:r>
              <w:rPr>
                <w:rFonts w:ascii="Times New Roman"/>
                <w:spacing w:val="-2"/>
                <w:sz w:val="18"/>
              </w:rPr>
              <w:t> </w:t>
            </w:r>
            <w:r>
              <w:rPr>
                <w:rFonts w:ascii="Times New Roman"/>
                <w:spacing w:val="-6"/>
                <w:sz w:val="18"/>
              </w:rPr>
              <w:t>LTD</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2,265,000.00</w:t>
            </w:r>
          </w:p>
        </w:tc>
      </w:tr>
      <w:tr>
        <w:trPr>
          <w:trHeight w:val="403"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减：丧失控制权日子公司持有的现金及现金等价物</w:t>
            </w:r>
          </w:p>
        </w:tc>
        <w:tc>
          <w:tcPr>
            <w:tcW w:w="45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9,328,311.23</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225" w:right="0"/>
              <w:jc w:val="left"/>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Ultrapower 360 PTE</w:t>
            </w:r>
            <w:r>
              <w:rPr>
                <w:rFonts w:ascii="Times New Roman"/>
                <w:spacing w:val="-2"/>
                <w:sz w:val="18"/>
              </w:rPr>
              <w:t> </w:t>
            </w:r>
            <w:r>
              <w:rPr>
                <w:rFonts w:ascii="Times New Roman"/>
                <w:spacing w:val="-6"/>
                <w:sz w:val="18"/>
              </w:rPr>
              <w:t>LTD</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9,328,311.23</w:t>
            </w:r>
          </w:p>
        </w:tc>
      </w:tr>
      <w:tr>
        <w:trPr>
          <w:trHeight w:val="403"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225" w:right="0"/>
              <w:jc w:val="left"/>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处置子公司收到的现金净额（注）</w:t>
            </w:r>
          </w:p>
        </w:tc>
        <w:tc>
          <w:tcPr>
            <w:tcW w:w="45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-7,063,311.23</w:t>
            </w:r>
          </w:p>
        </w:tc>
      </w:tr>
    </w:tbl>
    <w:p>
      <w:pPr>
        <w:spacing w:line="240" w:lineRule="auto" w:before="1"/>
        <w:rPr>
          <w:rFonts w:ascii="宋体" w:hAnsi="宋体" w:cs="宋体" w:eastAsia="宋体" w:hint="default"/>
          <w:sz w:val="7"/>
          <w:szCs w:val="7"/>
        </w:rPr>
      </w:pPr>
    </w:p>
    <w:p>
      <w:pPr>
        <w:pStyle w:val="BodyText"/>
        <w:spacing w:line="240" w:lineRule="auto" w:before="44"/>
        <w:ind w:left="114" w:right="1276"/>
        <w:jc w:val="left"/>
      </w:pPr>
      <w:r>
        <w:rPr/>
        <w:t>注：处置子公司收到的现金净额为负数，合并现金流量表列示于“支付的其他与投资活动有关的现金</w:t>
      </w:r>
      <w:r>
        <w:rPr>
          <w:spacing w:val="-90"/>
        </w:rPr>
        <w:t>”</w:t>
      </w:r>
      <w:r>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3"/>
          <w:szCs w:val="23"/>
        </w:rPr>
      </w:pPr>
    </w:p>
    <w:p>
      <w:pPr>
        <w:pStyle w:val="Heading3"/>
        <w:spacing w:line="240" w:lineRule="auto"/>
        <w:ind w:left="114" w:right="1276"/>
        <w:jc w:val="left"/>
        <w:rPr>
          <w:b w:val="0"/>
          <w:bCs w:val="0"/>
        </w:rPr>
      </w:pPr>
      <w:bookmarkStart w:name="（4）现金和现金等价物的构成" w:id="353"/>
      <w:bookmarkEnd w:id="353"/>
      <w:r>
        <w:rPr>
          <w:b w:val="0"/>
          <w:bCs w:val="0"/>
        </w:rPr>
      </w:r>
      <w:r>
        <w:rPr/>
        <w:t>（</w:t>
      </w:r>
      <w:r>
        <w:rPr>
          <w:rFonts w:ascii="Times New Roman" w:hAnsi="Times New Roman" w:cs="Times New Roman" w:eastAsia="Times New Roman" w:hint="default"/>
        </w:rPr>
        <w:t>4</w:t>
      </w:r>
      <w:r>
        <w:rPr/>
        <w:t>）现金和现金等价物的构成</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3305"/>
        <w:gridCol w:w="3069"/>
        <w:gridCol w:w="3184"/>
      </w:tblGrid>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507,464,867.86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777,435,154.91</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161,619.55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292,546.51</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497,470,800.08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769,229,369.15</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9,832,448.23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7,913,239.25</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507,464,867.86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777,435,154.91</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69、所有者权益变动表项目注释" w:id="354"/>
      <w:bookmarkEnd w:id="354"/>
      <w:r>
        <w:rPr>
          <w:b w:val="0"/>
          <w:bCs w:val="0"/>
        </w:rPr>
      </w:r>
      <w:r>
        <w:rPr>
          <w:rFonts w:ascii="Times New Roman" w:hAnsi="Times New Roman" w:cs="Times New Roman" w:eastAsia="Times New Roman" w:hint="default"/>
        </w:rPr>
        <w:t>69</w:t>
      </w:r>
      <w:r>
        <w:rPr/>
        <w:t>、所有者权益变动表项目注释</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474" w:right="1276"/>
        <w:jc w:val="left"/>
      </w:pPr>
      <w:r>
        <w:rPr/>
        <w:t>无。</w:t>
      </w:r>
    </w:p>
    <w:p>
      <w:pPr>
        <w:spacing w:line="240" w:lineRule="auto" w:before="12"/>
        <w:rPr>
          <w:rFonts w:ascii="宋体" w:hAnsi="宋体" w:cs="宋体" w:eastAsia="宋体" w:hint="default"/>
          <w:sz w:val="26"/>
          <w:szCs w:val="26"/>
        </w:rPr>
      </w:pPr>
    </w:p>
    <w:p>
      <w:pPr>
        <w:pStyle w:val="Heading3"/>
        <w:spacing w:line="240" w:lineRule="auto"/>
        <w:ind w:left="114" w:right="1276"/>
        <w:jc w:val="left"/>
        <w:rPr>
          <w:b w:val="0"/>
          <w:bCs w:val="0"/>
        </w:rPr>
      </w:pPr>
      <w:bookmarkStart w:name="70、所有权或使用权受到限制的资产" w:id="355"/>
      <w:bookmarkEnd w:id="355"/>
      <w:r>
        <w:rPr>
          <w:b w:val="0"/>
          <w:bCs w:val="0"/>
        </w:rPr>
      </w:r>
      <w:r>
        <w:rPr>
          <w:rFonts w:ascii="Times New Roman" w:hAnsi="Times New Roman" w:cs="Times New Roman" w:eastAsia="Times New Roman" w:hint="default"/>
        </w:rPr>
        <w:t>70</w:t>
      </w:r>
      <w:r>
        <w:rPr/>
        <w:t>、所有权或使用权受到限制的资产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20" w:type="dxa"/>
        <w:tblLayout w:type="fixed"/>
        <w:tblCellMar>
          <w:top w:w="0" w:type="dxa"/>
          <w:left w:w="0" w:type="dxa"/>
          <w:bottom w:w="0" w:type="dxa"/>
          <w:right w:w="0" w:type="dxa"/>
        </w:tblCellMar>
        <w:tblLook w:val="01E0"/>
      </w:tblPr>
      <w:tblGrid>
        <w:gridCol w:w="3317"/>
        <w:gridCol w:w="3057"/>
        <w:gridCol w:w="3184"/>
      </w:tblGrid>
      <w:tr>
        <w:trPr>
          <w:trHeight w:val="402" w:hRule="exact"/>
        </w:trPr>
        <w:tc>
          <w:tcPr>
            <w:tcW w:w="33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83"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161" w:hRule="exact"/>
        </w:trPr>
        <w:tc>
          <w:tcPr>
            <w:tcW w:w="3317" w:type="dxa"/>
            <w:tcBorders>
              <w:top w:val="single" w:sz="4" w:space="0" w:color="000000"/>
              <w:left w:val="single" w:sz="4" w:space="0" w:color="000000"/>
              <w:bottom w:val="nil" w:sz="6" w:space="0" w:color="auto"/>
              <w:right w:val="single" w:sz="4" w:space="0" w:color="000000"/>
            </w:tcBorders>
            <w:shd w:val="clear" w:color="auto" w:fill="D2D2D2"/>
          </w:tcPr>
          <w:p>
            <w:pPr/>
          </w:p>
        </w:tc>
        <w:tc>
          <w:tcPr>
            <w:tcW w:w="3057"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983" w:right="0"/>
              <w:jc w:val="left"/>
              <w:rPr>
                <w:rFonts w:ascii="Times New Roman" w:hAnsi="Times New Roman" w:cs="Times New Roman" w:eastAsia="Times New Roman" w:hint="default"/>
                <w:sz w:val="18"/>
                <w:szCs w:val="18"/>
              </w:rPr>
            </w:pPr>
            <w:r>
              <w:rPr>
                <w:rFonts w:ascii="Times New Roman"/>
                <w:sz w:val="18"/>
              </w:rPr>
              <w:t>28,684,805.21</w:t>
            </w:r>
          </w:p>
        </w:tc>
        <w:tc>
          <w:tcPr>
            <w:tcW w:w="3184" w:type="dxa"/>
            <w:vMerge w:val="restart"/>
            <w:tcBorders>
              <w:top w:val="single" w:sz="4" w:space="0" w:color="000000"/>
              <w:left w:val="single" w:sz="4" w:space="0" w:color="000000"/>
              <w:right w:val="single" w:sz="4" w:space="0" w:color="000000"/>
            </w:tcBorders>
          </w:tcPr>
          <w:p>
            <w:pPr>
              <w:pStyle w:val="TableParagraph"/>
              <w:spacing w:line="316" w:lineRule="auto" w:before="51"/>
              <w:ind w:left="22" w:right="89"/>
              <w:jc w:val="left"/>
              <w:rPr>
                <w:rFonts w:ascii="宋体" w:hAnsi="宋体" w:cs="宋体" w:eastAsia="宋体" w:hint="default"/>
                <w:sz w:val="18"/>
                <w:szCs w:val="18"/>
              </w:rPr>
            </w:pPr>
            <w:r>
              <w:rPr>
                <w:rFonts w:ascii="宋体" w:hAnsi="宋体" w:cs="宋体" w:eastAsia="宋体" w:hint="default"/>
                <w:sz w:val="18"/>
                <w:szCs w:val="18"/>
              </w:rPr>
              <w:t>保函保证金、境外信用卡保证金、支付 宝保证金等</w:t>
            </w:r>
          </w:p>
        </w:tc>
      </w:tr>
      <w:tr>
        <w:trPr>
          <w:trHeight w:val="392" w:hRule="exact"/>
        </w:trPr>
        <w:tc>
          <w:tcPr>
            <w:tcW w:w="331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57" w:type="dxa"/>
            <w:vMerge/>
            <w:tcBorders>
              <w:left w:val="single" w:sz="9" w:space="0" w:color="D2D2D2"/>
              <w:right w:val="single" w:sz="4" w:space="0" w:color="000000"/>
            </w:tcBorders>
          </w:tcPr>
          <w:p>
            <w:pPr/>
          </w:p>
        </w:tc>
        <w:tc>
          <w:tcPr>
            <w:tcW w:w="3184" w:type="dxa"/>
            <w:vMerge/>
            <w:tcBorders>
              <w:left w:val="single" w:sz="4" w:space="0" w:color="000000"/>
              <w:right w:val="single" w:sz="4" w:space="0" w:color="000000"/>
            </w:tcBorders>
          </w:tcPr>
          <w:p>
            <w:pPr/>
          </w:p>
        </w:tc>
      </w:tr>
      <w:tr>
        <w:trPr>
          <w:trHeight w:val="161" w:hRule="exact"/>
        </w:trPr>
        <w:tc>
          <w:tcPr>
            <w:tcW w:w="3317" w:type="dxa"/>
            <w:tcBorders>
              <w:top w:val="nil" w:sz="6" w:space="0" w:color="auto"/>
              <w:left w:val="single" w:sz="4" w:space="0" w:color="000000"/>
              <w:bottom w:val="single" w:sz="4" w:space="0" w:color="000000"/>
              <w:right w:val="single" w:sz="4" w:space="0" w:color="000000"/>
            </w:tcBorders>
            <w:shd w:val="clear" w:color="auto" w:fill="D2D2D2"/>
          </w:tcPr>
          <w:p>
            <w:pPr/>
          </w:p>
        </w:tc>
        <w:tc>
          <w:tcPr>
            <w:tcW w:w="3057" w:type="dxa"/>
            <w:vMerge/>
            <w:tcBorders>
              <w:left w:val="single" w:sz="9" w:space="0" w:color="D2D2D2"/>
              <w:bottom w:val="single" w:sz="4" w:space="0" w:color="000000"/>
              <w:right w:val="single" w:sz="4" w:space="0" w:color="000000"/>
            </w:tcBorders>
          </w:tcPr>
          <w:p>
            <w:pPr/>
          </w:p>
        </w:tc>
        <w:tc>
          <w:tcPr>
            <w:tcW w:w="3184" w:type="dxa"/>
            <w:vMerge/>
            <w:tcBorders>
              <w:left w:val="single" w:sz="4" w:space="0" w:color="000000"/>
              <w:bottom w:val="single" w:sz="4" w:space="0" w:color="000000"/>
              <w:right w:val="single" w:sz="4" w:space="0" w:color="000000"/>
            </w:tcBorders>
          </w:tcPr>
          <w:p>
            <w:pPr/>
          </w:p>
        </w:tc>
      </w:tr>
      <w:tr>
        <w:trPr>
          <w:trHeight w:val="402" w:hRule="exact"/>
        </w:trPr>
        <w:tc>
          <w:tcPr>
            <w:tcW w:w="33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05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24,065,508.56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银行借款抵押</w:t>
            </w:r>
          </w:p>
        </w:tc>
      </w:tr>
      <w:tr>
        <w:trPr>
          <w:trHeight w:val="402" w:hRule="exact"/>
        </w:trPr>
        <w:tc>
          <w:tcPr>
            <w:tcW w:w="33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05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155,899,105.52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银行借款抵押</w:t>
            </w:r>
          </w:p>
        </w:tc>
      </w:tr>
      <w:tr>
        <w:trPr>
          <w:trHeight w:val="402" w:hRule="exact"/>
        </w:trPr>
        <w:tc>
          <w:tcPr>
            <w:tcW w:w="33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7" w:type="dxa"/>
            <w:tcBorders>
              <w:top w:val="single" w:sz="4" w:space="0" w:color="000000"/>
              <w:left w:val="single" w:sz="13" w:space="0" w:color="D2D2D2"/>
              <w:bottom w:val="single" w:sz="4" w:space="0" w:color="000000"/>
              <w:right w:val="single" w:sz="9" w:space="0" w:color="D2D2D2"/>
            </w:tcBorders>
          </w:tcPr>
          <w:p>
            <w:pPr>
              <w:pStyle w:val="TableParagraph"/>
              <w:spacing w:line="240" w:lineRule="auto" w:before="91"/>
              <w:ind w:right="13"/>
              <w:jc w:val="right"/>
              <w:rPr>
                <w:rFonts w:ascii="Times New Roman" w:hAnsi="Times New Roman" w:cs="Times New Roman" w:eastAsia="Times New Roman" w:hint="default"/>
                <w:sz w:val="18"/>
                <w:szCs w:val="18"/>
              </w:rPr>
            </w:pPr>
            <w:r>
              <w:rPr>
                <w:rFonts w:ascii="Times New Roman"/>
                <w:spacing w:val="-1"/>
                <w:sz w:val="18"/>
              </w:rPr>
              <w:t>208,649,419.29</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851" w:footer="979" w:top="1400" w:bottom="1160" w:left="102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71、外币货币性项目" w:id="356"/>
      <w:bookmarkEnd w:id="356"/>
      <w:r>
        <w:rPr>
          <w:b w:val="0"/>
          <w:bCs w:val="0"/>
        </w:rPr>
      </w:r>
      <w:r>
        <w:rPr>
          <w:rFonts w:ascii="Times New Roman" w:hAnsi="Times New Roman" w:cs="Times New Roman" w:eastAsia="Times New Roman" w:hint="default"/>
        </w:rPr>
        <w:t>71</w:t>
      </w:r>
      <w:r>
        <w:rPr/>
        <w:t>、外币货币性项目</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外币货币性项目" w:id="357"/>
      <w:bookmarkEnd w:id="357"/>
      <w:r>
        <w:rPr>
          <w:b w:val="0"/>
          <w:bCs w:val="0"/>
        </w:rPr>
      </w:r>
      <w:r>
        <w:rPr/>
        <w:t>（</w:t>
      </w:r>
      <w:r>
        <w:rPr>
          <w:rFonts w:ascii="Times New Roman" w:hAnsi="Times New Roman" w:cs="Times New Roman" w:eastAsia="Times New Roman" w:hint="default"/>
        </w:rPr>
        <w:t>1</w:t>
      </w:r>
      <w:r>
        <w:rPr/>
        <w:t>）外币货币性项目</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84"/>
        <w:gridCol w:w="2305"/>
        <w:gridCol w:w="2391"/>
        <w:gridCol w:w="2389"/>
      </w:tblGrid>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12"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9"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149,859,427.95</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20,106,656.16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6.8632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137,996,002.56</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24,311.14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7.8473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190,776.81</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11,757,538.09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0.8762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10,301,954.87</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新加坡币</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273,799.23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5.0062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1,370,693.71</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60,408,677.38</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7,708,385.87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6.8632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52,904,193.90</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7,813,104.29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0.8762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6,845,841.98</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新加坡币</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131,565.16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5.0062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658,641.50</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1,837,154.06</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其中：港币</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2,012,255.35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0.8762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1,763,138.14</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新加坡币</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14,784.85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5.0062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74,015.92</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61,288,305.45</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8,675,917.05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6.8632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59,544,553.90</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1,586,525.48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0.8762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1,390,113.63</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新加坡币</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70,639.99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5.0062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353,637.92</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6,692,570.77</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2,091.04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6.8632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14,351.23</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2"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829,156.94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7.8473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6,506,643.26</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2" w:right="0"/>
              <w:jc w:val="left"/>
              <w:rPr>
                <w:rFonts w:ascii="宋体" w:hAnsi="宋体" w:cs="宋体" w:eastAsia="宋体" w:hint="default"/>
                <w:sz w:val="18"/>
                <w:szCs w:val="18"/>
              </w:rPr>
            </w:pPr>
            <w:r>
              <w:rPr>
                <w:rFonts w:ascii="宋体" w:hAnsi="宋体" w:cs="宋体" w:eastAsia="宋体" w:hint="default"/>
                <w:sz w:val="18"/>
                <w:szCs w:val="18"/>
              </w:rPr>
              <w:t>新加坡币</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195,818.63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0.8762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171,576.28</w:t>
            </w:r>
          </w:p>
        </w:tc>
      </w:tr>
    </w:tbl>
    <w:p>
      <w:pPr>
        <w:spacing w:line="240" w:lineRule="auto" w:before="2"/>
        <w:rPr>
          <w:rFonts w:ascii="宋体" w:hAnsi="宋体" w:cs="宋体" w:eastAsia="宋体" w:hint="default"/>
          <w:sz w:val="19"/>
          <w:szCs w:val="19"/>
        </w:rPr>
      </w:pPr>
    </w:p>
    <w:p>
      <w:pPr>
        <w:pStyle w:val="Heading3"/>
        <w:spacing w:line="259" w:lineRule="auto" w:before="35"/>
        <w:ind w:right="0"/>
        <w:jc w:val="left"/>
        <w:rPr>
          <w:b w:val="0"/>
          <w:bCs w:val="0"/>
        </w:rPr>
      </w:pPr>
      <w:bookmarkStart w:name="（2）境外经营实体说明，包括对于重要的境外经营实体，应披露其境外主要经营地、记账" w:id="358"/>
      <w:bookmarkEnd w:id="358"/>
      <w:r>
        <w:rPr>
          <w:b w:val="0"/>
          <w:bCs w:val="0"/>
        </w:rPr>
      </w:r>
      <w:r>
        <w:rPr/>
        <w:t>（</w:t>
      </w:r>
      <w:r>
        <w:rPr>
          <w:rFonts w:ascii="Times New Roman" w:hAnsi="Times New Roman" w:cs="Times New Roman" w:eastAsia="Times New Roman" w:hint="default"/>
        </w:rPr>
        <w:t>2</w:t>
      </w:r>
      <w:r>
        <w:rPr/>
        <w:t>）境外经营实体说明，包括对于重要的境外经营实体，应披露其境外主要经营地、记账本位币及选择</w:t>
      </w:r>
      <w:r>
        <w:rPr>
          <w:spacing w:val="-74"/>
        </w:rPr>
        <w:t> </w:t>
      </w:r>
      <w:r>
        <w:rPr>
          <w:spacing w:val="-74"/>
        </w:rPr>
      </w:r>
      <w:r>
        <w:rPr/>
        <w:t>依据，记账本位币发生变化的还应披露原因。</w:t>
      </w:r>
      <w:r>
        <w:rPr>
          <w:b w:val="0"/>
          <w:bCs w:val="0"/>
        </w:rPr>
      </w:r>
    </w:p>
    <w:p>
      <w:pPr>
        <w:spacing w:line="240" w:lineRule="auto" w:before="7"/>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right="0"/>
        <w:jc w:val="left"/>
        <w:rPr>
          <w:b w:val="0"/>
          <w:bCs w:val="0"/>
        </w:rPr>
      </w:pPr>
      <w:bookmarkStart w:name="72、套期" w:id="359"/>
      <w:bookmarkEnd w:id="359"/>
      <w:r>
        <w:rPr>
          <w:b w:val="0"/>
          <w:bCs w:val="0"/>
        </w:rPr>
      </w:r>
      <w:r>
        <w:rPr>
          <w:rFonts w:ascii="Times New Roman" w:hAnsi="Times New Roman" w:cs="Times New Roman" w:eastAsia="Times New Roman" w:hint="default"/>
        </w:rPr>
        <w:t>72</w:t>
      </w:r>
      <w:r>
        <w:rPr/>
        <w:t>、套期</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514" w:right="0"/>
        <w:jc w:val="left"/>
      </w:pPr>
      <w:r>
        <w:rPr/>
        <w:t>无。</w:t>
      </w:r>
    </w:p>
    <w:p>
      <w:pPr>
        <w:spacing w:after="0" w:line="240" w:lineRule="auto"/>
        <w:jc w:val="left"/>
        <w:sectPr>
          <w:pgSz w:w="11910" w:h="16840"/>
          <w:pgMar w:header="851" w:footer="979" w:top="1400" w:bottom="1160" w:left="98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73、政府补助" w:id="360"/>
      <w:bookmarkEnd w:id="360"/>
      <w:r>
        <w:rPr>
          <w:b w:val="0"/>
          <w:bCs w:val="0"/>
        </w:rPr>
      </w:r>
      <w:r>
        <w:rPr>
          <w:rFonts w:ascii="Times New Roman" w:hAnsi="Times New Roman" w:cs="Times New Roman" w:eastAsia="Times New Roman" w:hint="default"/>
        </w:rPr>
        <w:t>73</w:t>
      </w:r>
      <w:r>
        <w:rPr/>
        <w:t>、政府补助</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政府补助基本情况" w:id="361"/>
      <w:bookmarkEnd w:id="361"/>
      <w:r>
        <w:rPr>
          <w:b w:val="0"/>
          <w:bCs w:val="0"/>
        </w:rPr>
      </w:r>
      <w:r>
        <w:rPr/>
        <w:t>（</w:t>
      </w:r>
      <w:r>
        <w:rPr>
          <w:rFonts w:ascii="Times New Roman" w:hAnsi="Times New Roman" w:cs="Times New Roman" w:eastAsia="Times New Roman" w:hint="default"/>
        </w:rPr>
        <w:t>1</w:t>
      </w:r>
      <w:r>
        <w:rPr/>
        <w:t>）政府补助基本情况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69"/>
        <w:gridCol w:w="2405"/>
        <w:gridCol w:w="2392"/>
        <w:gridCol w:w="2392"/>
      </w:tblGrid>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24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列报项目</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0" w:right="0"/>
              <w:jc w:val="left"/>
              <w:rPr>
                <w:rFonts w:ascii="宋体" w:hAnsi="宋体" w:cs="宋体" w:eastAsia="宋体" w:hint="default"/>
                <w:sz w:val="18"/>
                <w:szCs w:val="18"/>
              </w:rPr>
            </w:pPr>
            <w:r>
              <w:rPr>
                <w:rFonts w:ascii="宋体" w:hAnsi="宋体" w:cs="宋体" w:eastAsia="宋体" w:hint="default"/>
                <w:sz w:val="18"/>
                <w:szCs w:val="18"/>
              </w:rPr>
              <w:t>计入当期损益的金额</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与资产相关的政府补助</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413,000.00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413,000.00</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与收益相关的政府补助</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19,116,297.94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其他收益、递延收益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19,041,597.94</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0"/>
              <w:ind w:right="20"/>
              <w:jc w:val="right"/>
              <w:rPr>
                <w:rFonts w:ascii="Times New Roman" w:hAnsi="Times New Roman" w:cs="Times New Roman" w:eastAsia="Times New Roman" w:hint="default"/>
                <w:sz w:val="18"/>
                <w:szCs w:val="18"/>
              </w:rPr>
            </w:pPr>
            <w:r>
              <w:rPr>
                <w:rFonts w:ascii="Times New Roman"/>
                <w:spacing w:val="-1"/>
                <w:sz w:val="18"/>
              </w:rPr>
              <w:t>19,529,297.94</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19,454,597.94</w:t>
            </w:r>
          </w:p>
        </w:tc>
      </w:tr>
    </w:tbl>
    <w:p>
      <w:pPr>
        <w:spacing w:line="240" w:lineRule="auto" w:before="6"/>
        <w:rPr>
          <w:rFonts w:ascii="宋体" w:hAnsi="宋体" w:cs="宋体" w:eastAsia="宋体" w:hint="default"/>
          <w:sz w:val="27"/>
          <w:szCs w:val="27"/>
        </w:rPr>
      </w:pPr>
    </w:p>
    <w:p>
      <w:pPr>
        <w:pStyle w:val="BodyText"/>
        <w:spacing w:line="240" w:lineRule="auto" w:before="44"/>
        <w:ind w:left="514" w:right="0"/>
        <w:jc w:val="left"/>
      </w:pPr>
      <w:r>
        <w:rPr/>
        <w:t>明细如下：</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262"/>
        <w:gridCol w:w="1842"/>
        <w:gridCol w:w="1985"/>
        <w:gridCol w:w="2191"/>
      </w:tblGrid>
      <w:tr>
        <w:trPr>
          <w:trHeight w:val="368" w:hRule="exact"/>
        </w:trPr>
        <w:tc>
          <w:tcPr>
            <w:tcW w:w="32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3"/>
              <w:ind w:left="194" w:right="0"/>
              <w:jc w:val="left"/>
              <w:rPr>
                <w:rFonts w:ascii="宋体" w:hAnsi="宋体" w:cs="宋体" w:eastAsia="宋体" w:hint="default"/>
                <w:sz w:val="18"/>
                <w:szCs w:val="18"/>
              </w:rPr>
            </w:pPr>
            <w:r>
              <w:rPr>
                <w:rFonts w:ascii="宋体" w:hAnsi="宋体" w:cs="宋体" w:eastAsia="宋体" w:hint="default"/>
                <w:sz w:val="18"/>
                <w:szCs w:val="18"/>
              </w:rPr>
              <w:t>当期收到政府补助</w:t>
            </w:r>
          </w:p>
        </w:tc>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3"/>
              <w:ind w:left="266" w:right="0"/>
              <w:jc w:val="left"/>
              <w:rPr>
                <w:rFonts w:ascii="宋体" w:hAnsi="宋体" w:cs="宋体" w:eastAsia="宋体" w:hint="default"/>
                <w:sz w:val="18"/>
                <w:szCs w:val="18"/>
              </w:rPr>
            </w:pPr>
            <w:r>
              <w:rPr>
                <w:rFonts w:ascii="宋体" w:hAnsi="宋体" w:cs="宋体" w:eastAsia="宋体" w:hint="default"/>
                <w:sz w:val="18"/>
                <w:szCs w:val="18"/>
              </w:rPr>
              <w:t>计入当期损益金额</w:t>
            </w:r>
          </w:p>
        </w:tc>
        <w:tc>
          <w:tcPr>
            <w:tcW w:w="2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w:t>
            </w:r>
            <w:r>
              <w:rPr>
                <w:rFonts w:ascii="宋体" w:hAnsi="宋体" w:cs="宋体" w:eastAsia="宋体" w:hint="default"/>
                <w:sz w:val="18"/>
                <w:szCs w:val="18"/>
              </w:rPr>
              <w:t>与收益相关</w:t>
            </w:r>
          </w:p>
        </w:tc>
      </w:tr>
      <w:tr>
        <w:trPr>
          <w:trHeight w:val="370" w:hRule="exact"/>
        </w:trPr>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hAnsi="宋体" w:cs="宋体" w:eastAsia="宋体" w:hint="default"/>
                <w:sz w:val="18"/>
                <w:szCs w:val="18"/>
              </w:rPr>
              <w:t>增值税退税</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12,560,641.69</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02"/>
              <w:jc w:val="right"/>
              <w:rPr>
                <w:rFonts w:ascii="Times New Roman" w:hAnsi="Times New Roman" w:cs="Times New Roman" w:eastAsia="Times New Roman" w:hint="default"/>
                <w:sz w:val="18"/>
                <w:szCs w:val="18"/>
              </w:rPr>
            </w:pPr>
            <w:r>
              <w:rPr>
                <w:rFonts w:ascii="Times New Roman"/>
                <w:spacing w:val="-1"/>
                <w:sz w:val="18"/>
              </w:rPr>
              <w:t>12,560,641.69</w:t>
            </w:r>
          </w:p>
        </w:tc>
        <w:tc>
          <w:tcPr>
            <w:tcW w:w="2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68" w:hRule="exact"/>
        </w:trPr>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8"/>
                <w:szCs w:val="18"/>
              </w:rPr>
            </w:pPr>
            <w:r>
              <w:rPr>
                <w:rFonts w:ascii="宋体" w:hAnsi="宋体" w:cs="宋体" w:eastAsia="宋体" w:hint="default"/>
                <w:sz w:val="18"/>
                <w:szCs w:val="18"/>
              </w:rPr>
              <w:t>与人力资源相关的补贴</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z w:val="18"/>
              </w:rPr>
              <w:t>317,000.00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sz w:val="18"/>
              </w:rPr>
              <w:t>317,000.00</w:t>
            </w:r>
          </w:p>
        </w:tc>
        <w:tc>
          <w:tcPr>
            <w:tcW w:w="2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68" w:hRule="exact"/>
        </w:trPr>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8"/>
                <w:szCs w:val="18"/>
              </w:rPr>
            </w:pPr>
            <w:r>
              <w:rPr>
                <w:rFonts w:ascii="宋体" w:hAnsi="宋体" w:cs="宋体" w:eastAsia="宋体" w:hint="default"/>
                <w:sz w:val="18"/>
                <w:szCs w:val="18"/>
              </w:rPr>
              <w:t>与知识产权相关的补贴</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z w:val="18"/>
              </w:rPr>
              <w:t>648,050.73</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sz w:val="18"/>
              </w:rPr>
              <w:t>648,050.73</w:t>
            </w:r>
          </w:p>
        </w:tc>
        <w:tc>
          <w:tcPr>
            <w:tcW w:w="2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61" w:hRule="exact"/>
        </w:trPr>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3" w:right="0"/>
              <w:jc w:val="left"/>
              <w:rPr>
                <w:rFonts w:ascii="宋体" w:hAnsi="宋体" w:cs="宋体" w:eastAsia="宋体" w:hint="default"/>
                <w:sz w:val="18"/>
                <w:szCs w:val="18"/>
              </w:rPr>
            </w:pPr>
            <w:r>
              <w:rPr>
                <w:rFonts w:ascii="宋体" w:hAnsi="宋体" w:cs="宋体" w:eastAsia="宋体" w:hint="default"/>
                <w:sz w:val="18"/>
                <w:szCs w:val="18"/>
              </w:rPr>
              <w:t>中关村科技园区海淀园管理委员会款</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101"/>
              <w:jc w:val="right"/>
              <w:rPr>
                <w:rFonts w:ascii="Times New Roman" w:hAnsi="Times New Roman" w:cs="Times New Roman" w:eastAsia="Times New Roman" w:hint="default"/>
                <w:sz w:val="18"/>
                <w:szCs w:val="18"/>
              </w:rPr>
            </w:pPr>
            <w:r>
              <w:rPr>
                <w:rFonts w:ascii="Times New Roman"/>
                <w:sz w:val="18"/>
              </w:rPr>
              <w:t>90,700.00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102"/>
              <w:jc w:val="right"/>
              <w:rPr>
                <w:rFonts w:ascii="Times New Roman" w:hAnsi="Times New Roman" w:cs="Times New Roman" w:eastAsia="Times New Roman" w:hint="default"/>
                <w:sz w:val="18"/>
                <w:szCs w:val="18"/>
              </w:rPr>
            </w:pPr>
            <w:r>
              <w:rPr>
                <w:rFonts w:ascii="Times New Roman"/>
                <w:sz w:val="18"/>
              </w:rPr>
              <w:t>90,700.00</w:t>
            </w:r>
          </w:p>
        </w:tc>
        <w:tc>
          <w:tcPr>
            <w:tcW w:w="2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68" w:hRule="exact"/>
        </w:trPr>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8"/>
                <w:szCs w:val="18"/>
              </w:rPr>
            </w:pPr>
            <w:r>
              <w:rPr>
                <w:rFonts w:ascii="宋体" w:hAnsi="宋体" w:cs="宋体" w:eastAsia="宋体" w:hint="default"/>
                <w:sz w:val="18"/>
                <w:szCs w:val="18"/>
              </w:rPr>
              <w:t>文创资金补贴</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z w:val="18"/>
              </w:rPr>
              <w:t>101,300.00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sz w:val="18"/>
              </w:rPr>
              <w:t>101,300.00</w:t>
            </w:r>
          </w:p>
        </w:tc>
        <w:tc>
          <w:tcPr>
            <w:tcW w:w="2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68" w:hRule="exact"/>
        </w:trPr>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8"/>
                <w:szCs w:val="18"/>
              </w:rPr>
            </w:pPr>
            <w:r>
              <w:rPr>
                <w:rFonts w:ascii="宋体" w:hAnsi="宋体" w:cs="宋体" w:eastAsia="宋体" w:hint="default"/>
                <w:sz w:val="18"/>
                <w:szCs w:val="18"/>
              </w:rPr>
              <w:t>总部企业奖励补助资金</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z w:val="18"/>
              </w:rPr>
              <w:t>349,200.00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sz w:val="18"/>
              </w:rPr>
              <w:t>349,200.00</w:t>
            </w:r>
          </w:p>
        </w:tc>
        <w:tc>
          <w:tcPr>
            <w:tcW w:w="2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0" w:hRule="exact"/>
        </w:trPr>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hAnsi="宋体" w:cs="宋体" w:eastAsia="宋体" w:hint="default"/>
                <w:sz w:val="18"/>
                <w:szCs w:val="18"/>
              </w:rPr>
              <w:t>高新技术成果补贴</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1,000,000.00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02"/>
              <w:jc w:val="right"/>
              <w:rPr>
                <w:rFonts w:ascii="Times New Roman" w:hAnsi="Times New Roman" w:cs="Times New Roman" w:eastAsia="Times New Roman" w:hint="default"/>
                <w:sz w:val="18"/>
                <w:szCs w:val="18"/>
              </w:rPr>
            </w:pPr>
            <w:r>
              <w:rPr>
                <w:rFonts w:ascii="Times New Roman"/>
                <w:spacing w:val="-1"/>
                <w:sz w:val="18"/>
              </w:rPr>
              <w:t>1,000,000.00</w:t>
            </w:r>
          </w:p>
        </w:tc>
        <w:tc>
          <w:tcPr>
            <w:tcW w:w="2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68" w:hRule="exact"/>
        </w:trPr>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8"/>
                <w:szCs w:val="18"/>
              </w:rPr>
            </w:pPr>
            <w:r>
              <w:rPr>
                <w:rFonts w:ascii="宋体" w:hAnsi="宋体" w:cs="宋体" w:eastAsia="宋体" w:hint="default"/>
                <w:sz w:val="18"/>
                <w:szCs w:val="18"/>
              </w:rPr>
              <w:t>支持声谷项目落户奖励</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pacing w:val="-1"/>
                <w:sz w:val="18"/>
              </w:rPr>
              <w:t>2,000,000.00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spacing w:val="-1"/>
                <w:sz w:val="18"/>
              </w:rPr>
              <w:t>2,000,000.00</w:t>
            </w:r>
          </w:p>
        </w:tc>
        <w:tc>
          <w:tcPr>
            <w:tcW w:w="2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27" w:hRule="exact"/>
        </w:trPr>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364" w:lineRule="auto" w:before="33"/>
              <w:ind w:left="103" w:right="267"/>
              <w:jc w:val="left"/>
              <w:rPr>
                <w:rFonts w:ascii="宋体" w:hAnsi="宋体" w:cs="宋体" w:eastAsia="宋体" w:hint="default"/>
                <w:sz w:val="18"/>
                <w:szCs w:val="18"/>
              </w:rPr>
            </w:pPr>
            <w:r>
              <w:rPr>
                <w:rFonts w:ascii="宋体" w:hAnsi="宋体" w:cs="宋体" w:eastAsia="宋体" w:hint="default"/>
                <w:sz w:val="18"/>
                <w:szCs w:val="18"/>
              </w:rPr>
              <w:t>安徽省战略新兴产业集聚发展基地专 项资金支持项目</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990,000.00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990,000.00</w:t>
            </w:r>
          </w:p>
        </w:tc>
        <w:tc>
          <w:tcPr>
            <w:tcW w:w="2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0" w:hRule="exact"/>
        </w:trPr>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hAnsi="宋体" w:cs="宋体" w:eastAsia="宋体" w:hint="default"/>
                <w:sz w:val="18"/>
                <w:szCs w:val="18"/>
              </w:rPr>
              <w:t>科学技术奖</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z w:val="18"/>
              </w:rPr>
              <w:t>100,000.00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02"/>
              <w:jc w:val="right"/>
              <w:rPr>
                <w:rFonts w:ascii="Times New Roman" w:hAnsi="Times New Roman" w:cs="Times New Roman" w:eastAsia="Times New Roman" w:hint="default"/>
                <w:sz w:val="18"/>
                <w:szCs w:val="18"/>
              </w:rPr>
            </w:pPr>
            <w:r>
              <w:rPr>
                <w:rFonts w:ascii="Times New Roman"/>
                <w:sz w:val="18"/>
              </w:rPr>
              <w:t>100,000.00</w:t>
            </w:r>
          </w:p>
        </w:tc>
        <w:tc>
          <w:tcPr>
            <w:tcW w:w="2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68" w:hRule="exact"/>
        </w:trPr>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8"/>
                <w:szCs w:val="18"/>
              </w:rPr>
            </w:pPr>
            <w:r>
              <w:rPr>
                <w:rFonts w:ascii="宋体" w:hAnsi="宋体" w:cs="宋体" w:eastAsia="宋体" w:hint="default"/>
                <w:sz w:val="18"/>
                <w:szCs w:val="18"/>
              </w:rPr>
              <w:t>科技创新发展资金</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z w:val="18"/>
              </w:rPr>
              <w:t>190,000.00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sz w:val="18"/>
              </w:rPr>
              <w:t>190,000.00</w:t>
            </w:r>
          </w:p>
        </w:tc>
        <w:tc>
          <w:tcPr>
            <w:tcW w:w="2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68" w:hRule="exact"/>
        </w:trPr>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8"/>
                <w:szCs w:val="18"/>
              </w:rPr>
            </w:pPr>
            <w:r>
              <w:rPr>
                <w:rFonts w:ascii="宋体" w:hAnsi="宋体" w:cs="宋体" w:eastAsia="宋体" w:hint="default"/>
                <w:sz w:val="18"/>
                <w:szCs w:val="18"/>
              </w:rPr>
              <w:t>稳增促调资金补助</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z w:val="18"/>
              </w:rPr>
              <w:t>150,659.00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sz w:val="18"/>
              </w:rPr>
              <w:t>150,659.00</w:t>
            </w:r>
          </w:p>
        </w:tc>
        <w:tc>
          <w:tcPr>
            <w:tcW w:w="2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0" w:hRule="exact"/>
        </w:trPr>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hAnsi="宋体" w:cs="宋体" w:eastAsia="宋体" w:hint="default"/>
                <w:sz w:val="18"/>
                <w:szCs w:val="18"/>
              </w:rPr>
              <w:t>重点服务贸易企业发展补助</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z w:val="18"/>
              </w:rPr>
              <w:t>99,600.00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02"/>
              <w:jc w:val="right"/>
              <w:rPr>
                <w:rFonts w:ascii="Times New Roman" w:hAnsi="Times New Roman" w:cs="Times New Roman" w:eastAsia="Times New Roman" w:hint="default"/>
                <w:sz w:val="18"/>
                <w:szCs w:val="18"/>
              </w:rPr>
            </w:pPr>
            <w:r>
              <w:rPr>
                <w:rFonts w:ascii="Times New Roman"/>
                <w:sz w:val="18"/>
              </w:rPr>
              <w:t>99,600.00</w:t>
            </w:r>
          </w:p>
        </w:tc>
        <w:tc>
          <w:tcPr>
            <w:tcW w:w="2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60" w:hRule="exact"/>
        </w:trPr>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103" w:right="0"/>
              <w:jc w:val="left"/>
              <w:rPr>
                <w:rFonts w:ascii="宋体" w:hAnsi="宋体" w:cs="宋体" w:eastAsia="宋体" w:hint="default"/>
                <w:sz w:val="18"/>
                <w:szCs w:val="18"/>
              </w:rPr>
            </w:pPr>
            <w:r>
              <w:rPr>
                <w:rFonts w:ascii="宋体" w:hAnsi="宋体" w:cs="宋体" w:eastAsia="宋体" w:hint="default"/>
                <w:sz w:val="18"/>
                <w:szCs w:val="18"/>
              </w:rPr>
              <w:t>高桥财政智慧经济专项资金补贴</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1"/>
              <w:jc w:val="right"/>
              <w:rPr>
                <w:rFonts w:ascii="Times New Roman" w:hAnsi="Times New Roman" w:cs="Times New Roman" w:eastAsia="Times New Roman" w:hint="default"/>
                <w:sz w:val="18"/>
                <w:szCs w:val="18"/>
              </w:rPr>
            </w:pPr>
            <w:r>
              <w:rPr>
                <w:rFonts w:ascii="Times New Roman"/>
                <w:sz w:val="18"/>
              </w:rPr>
              <w:t>100,000.00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2"/>
              <w:jc w:val="right"/>
              <w:rPr>
                <w:rFonts w:ascii="Times New Roman" w:hAnsi="Times New Roman" w:cs="Times New Roman" w:eastAsia="Times New Roman" w:hint="default"/>
                <w:sz w:val="18"/>
                <w:szCs w:val="18"/>
              </w:rPr>
            </w:pPr>
            <w:r>
              <w:rPr>
                <w:rFonts w:ascii="Times New Roman"/>
                <w:sz w:val="18"/>
              </w:rPr>
              <w:t>100,000.00</w:t>
            </w:r>
          </w:p>
        </w:tc>
        <w:tc>
          <w:tcPr>
            <w:tcW w:w="2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68" w:hRule="exact"/>
        </w:trPr>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8"/>
                <w:szCs w:val="18"/>
              </w:rPr>
            </w:pPr>
            <w:r>
              <w:rPr>
                <w:rFonts w:ascii="宋体" w:hAnsi="宋体" w:cs="宋体" w:eastAsia="宋体" w:hint="default"/>
                <w:sz w:val="18"/>
                <w:szCs w:val="18"/>
              </w:rPr>
              <w:t>高桥财政补贴</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z w:val="18"/>
              </w:rPr>
              <w:t>160,200.00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sz w:val="18"/>
              </w:rPr>
              <w:t>160,200.00</w:t>
            </w:r>
          </w:p>
        </w:tc>
        <w:tc>
          <w:tcPr>
            <w:tcW w:w="2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70" w:hRule="exact"/>
        </w:trPr>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hAnsi="宋体" w:cs="宋体" w:eastAsia="宋体" w:hint="default"/>
                <w:sz w:val="18"/>
                <w:szCs w:val="18"/>
              </w:rPr>
              <w:t>小微企业创业创新补助</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z w:val="18"/>
              </w:rPr>
              <w:t>50,000.00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102"/>
              <w:jc w:val="right"/>
              <w:rPr>
                <w:rFonts w:ascii="Times New Roman" w:hAnsi="Times New Roman" w:cs="Times New Roman" w:eastAsia="Times New Roman" w:hint="default"/>
                <w:sz w:val="18"/>
                <w:szCs w:val="18"/>
              </w:rPr>
            </w:pPr>
            <w:r>
              <w:rPr>
                <w:rFonts w:ascii="Times New Roman"/>
                <w:sz w:val="18"/>
              </w:rPr>
              <w:t>50,000.00</w:t>
            </w:r>
          </w:p>
        </w:tc>
        <w:tc>
          <w:tcPr>
            <w:tcW w:w="2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68" w:hRule="exact"/>
        </w:trPr>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8"/>
                <w:szCs w:val="18"/>
              </w:rPr>
            </w:pPr>
            <w:r>
              <w:rPr>
                <w:rFonts w:ascii="宋体" w:hAnsi="宋体" w:cs="宋体" w:eastAsia="宋体" w:hint="default"/>
                <w:sz w:val="18"/>
                <w:szCs w:val="18"/>
              </w:rPr>
              <w:t>其他零星补贴</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z w:val="18"/>
              </w:rPr>
              <w:t>208,946.52</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sz w:val="18"/>
              </w:rPr>
              <w:t>134,246.52</w:t>
            </w:r>
          </w:p>
        </w:tc>
        <w:tc>
          <w:tcPr>
            <w:tcW w:w="2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60" w:hRule="exact"/>
        </w:trPr>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left="103" w:right="0"/>
              <w:jc w:val="left"/>
              <w:rPr>
                <w:rFonts w:ascii="宋体" w:hAnsi="宋体" w:cs="宋体" w:eastAsia="宋体" w:hint="default"/>
                <w:sz w:val="18"/>
                <w:szCs w:val="18"/>
              </w:rPr>
            </w:pPr>
            <w:r>
              <w:rPr>
                <w:rFonts w:ascii="宋体" w:hAnsi="宋体" w:cs="宋体" w:eastAsia="宋体" w:hint="default"/>
                <w:sz w:val="18"/>
                <w:szCs w:val="18"/>
              </w:rPr>
              <w:t>电动汽车智能交互系统研制及产业化</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1"/>
              <w:jc w:val="right"/>
              <w:rPr>
                <w:rFonts w:ascii="Times New Roman" w:hAnsi="Times New Roman" w:cs="Times New Roman" w:eastAsia="Times New Roman" w:hint="default"/>
                <w:sz w:val="18"/>
                <w:szCs w:val="18"/>
              </w:rPr>
            </w:pPr>
            <w:r>
              <w:rPr>
                <w:rFonts w:ascii="Times New Roman"/>
                <w:sz w:val="18"/>
              </w:rPr>
              <w:t>198,000.00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2"/>
              <w:jc w:val="right"/>
              <w:rPr>
                <w:rFonts w:ascii="Times New Roman" w:hAnsi="Times New Roman" w:cs="Times New Roman" w:eastAsia="Times New Roman" w:hint="default"/>
                <w:sz w:val="18"/>
                <w:szCs w:val="18"/>
              </w:rPr>
            </w:pPr>
            <w:r>
              <w:rPr>
                <w:rFonts w:ascii="Times New Roman"/>
                <w:sz w:val="18"/>
              </w:rPr>
              <w:t>198,000.00</w:t>
            </w:r>
          </w:p>
        </w:tc>
        <w:tc>
          <w:tcPr>
            <w:tcW w:w="2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28" w:hRule="exact"/>
        </w:trPr>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364" w:lineRule="auto" w:before="34"/>
              <w:ind w:left="103" w:right="267"/>
              <w:jc w:val="left"/>
              <w:rPr>
                <w:rFonts w:ascii="宋体" w:hAnsi="宋体" w:cs="宋体" w:eastAsia="宋体" w:hint="default"/>
                <w:sz w:val="18"/>
                <w:szCs w:val="18"/>
              </w:rPr>
            </w:pPr>
            <w:r>
              <w:rPr>
                <w:rFonts w:ascii="宋体" w:hAnsi="宋体" w:cs="宋体" w:eastAsia="宋体" w:hint="default"/>
                <w:sz w:val="18"/>
                <w:szCs w:val="18"/>
              </w:rPr>
              <w:t>面向精确定位与移动通信的智慧线设 备研制</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200,000.00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200,000.00</w:t>
            </w:r>
          </w:p>
        </w:tc>
        <w:tc>
          <w:tcPr>
            <w:tcW w:w="2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369" w:hRule="exact"/>
        </w:trPr>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18"/>
                <w:szCs w:val="18"/>
              </w:rPr>
            </w:pPr>
            <w:r>
              <w:rPr>
                <w:rFonts w:ascii="宋体" w:hAnsi="宋体" w:cs="宋体" w:eastAsia="宋体" w:hint="default"/>
                <w:sz w:val="18"/>
                <w:szCs w:val="18"/>
              </w:rPr>
              <w:t>固定资产装修补贴</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z w:val="18"/>
              </w:rPr>
              <w:t>15,000.00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sz w:val="18"/>
              </w:rPr>
              <w:t>15,000.00</w:t>
            </w:r>
          </w:p>
        </w:tc>
        <w:tc>
          <w:tcPr>
            <w:tcW w:w="2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370" w:hRule="exact"/>
        </w:trPr>
        <w:tc>
          <w:tcPr>
            <w:tcW w:w="32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1"/>
              <w:jc w:val="right"/>
              <w:rPr>
                <w:rFonts w:ascii="Times New Roman" w:hAnsi="Times New Roman" w:cs="Times New Roman" w:eastAsia="Times New Roman" w:hint="default"/>
                <w:sz w:val="18"/>
                <w:szCs w:val="18"/>
              </w:rPr>
            </w:pPr>
            <w:r>
              <w:rPr>
                <w:rFonts w:ascii="Times New Roman"/>
                <w:spacing w:val="-1"/>
                <w:sz w:val="18"/>
              </w:rPr>
              <w:t>19,529,297.94</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02"/>
              <w:jc w:val="right"/>
              <w:rPr>
                <w:rFonts w:ascii="Times New Roman" w:hAnsi="Times New Roman" w:cs="Times New Roman" w:eastAsia="Times New Roman" w:hint="default"/>
                <w:sz w:val="18"/>
                <w:szCs w:val="18"/>
              </w:rPr>
            </w:pPr>
            <w:r>
              <w:rPr>
                <w:rFonts w:ascii="Times New Roman"/>
                <w:spacing w:val="-1"/>
                <w:sz w:val="18"/>
              </w:rPr>
              <w:t>19,454,597.94</w:t>
            </w:r>
          </w:p>
        </w:tc>
        <w:tc>
          <w:tcPr>
            <w:tcW w:w="219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400" w:bottom="1160" w:left="98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2）政府补助退回情况" w:id="362"/>
      <w:bookmarkEnd w:id="362"/>
      <w:r>
        <w:rPr>
          <w:b w:val="0"/>
          <w:bCs w:val="0"/>
        </w:rPr>
      </w:r>
      <w:r>
        <w:rPr/>
        <w:t>（</w:t>
      </w:r>
      <w:r>
        <w:rPr>
          <w:rFonts w:ascii="Times New Roman" w:hAnsi="Times New Roman" w:cs="Times New Roman" w:eastAsia="Times New Roman" w:hint="default"/>
        </w:rPr>
        <w:t>2</w:t>
      </w:r>
      <w:r>
        <w:rPr/>
        <w:t>）政府补助退回情况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1"/>
        <w:rPr>
          <w:rFonts w:ascii="宋体" w:hAnsi="宋体" w:cs="宋体" w:eastAsia="宋体" w:hint="default"/>
          <w:b/>
          <w:bCs/>
          <w:sz w:val="25"/>
          <w:szCs w:val="25"/>
        </w:rPr>
      </w:pPr>
    </w:p>
    <w:p>
      <w:pPr>
        <w:pStyle w:val="Heading3"/>
        <w:spacing w:line="240" w:lineRule="auto"/>
        <w:ind w:right="0"/>
        <w:jc w:val="left"/>
        <w:rPr>
          <w:b w:val="0"/>
          <w:bCs w:val="0"/>
        </w:rPr>
      </w:pPr>
      <w:bookmarkStart w:name="74、其他" w:id="363"/>
      <w:bookmarkEnd w:id="363"/>
      <w:r>
        <w:rPr>
          <w:b w:val="0"/>
          <w:bCs w:val="0"/>
        </w:rPr>
      </w:r>
      <w:r>
        <w:rPr>
          <w:rFonts w:ascii="Times New Roman" w:hAnsi="Times New Roman" w:cs="Times New Roman" w:eastAsia="Times New Roman" w:hint="default"/>
        </w:rPr>
        <w:t>74</w:t>
      </w:r>
      <w:r>
        <w:rPr/>
        <w:t>、其他</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9536"/>
        <w:jc w:val="center"/>
      </w:pPr>
      <w:r>
        <w:rPr/>
        <w:t>无。</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bookmarkStart w:name="八、合并范围的变更" w:id="364"/>
      <w:bookmarkEnd w:id="364"/>
      <w:r>
        <w:rPr>
          <w:b w:val="0"/>
          <w:bCs w:val="0"/>
        </w:rPr>
      </w:r>
      <w:r>
        <w:rPr/>
        <w:t>八、合并范围的变更</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非同一控制下企业合并" w:id="365"/>
      <w:bookmarkEnd w:id="365"/>
      <w:r>
        <w:rPr>
          <w:b w:val="0"/>
          <w:bCs w:val="0"/>
        </w:rPr>
      </w:r>
      <w:r>
        <w:rPr>
          <w:rFonts w:ascii="Times New Roman" w:hAnsi="Times New Roman" w:cs="Times New Roman" w:eastAsia="Times New Roman" w:hint="default"/>
        </w:rPr>
        <w:t>1</w:t>
      </w:r>
      <w:r>
        <w:rPr/>
        <w:t>、非同一控制下企业合并</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9536"/>
        <w:jc w:val="center"/>
      </w:pPr>
      <w:r>
        <w:rPr/>
        <w:t>无。</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2、同一控制下企业合并" w:id="366"/>
      <w:bookmarkEnd w:id="366"/>
      <w:r>
        <w:rPr>
          <w:b w:val="0"/>
          <w:bCs w:val="0"/>
        </w:rPr>
      </w:r>
      <w:r>
        <w:rPr>
          <w:rFonts w:ascii="Times New Roman" w:hAnsi="Times New Roman" w:cs="Times New Roman" w:eastAsia="Times New Roman" w:hint="default"/>
        </w:rPr>
        <w:t>2</w:t>
      </w:r>
      <w:r>
        <w:rPr/>
        <w:t>、同一控制下企业合并</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9536"/>
        <w:jc w:val="center"/>
      </w:pPr>
      <w:r>
        <w:rPr/>
        <w:t>无。</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3、反向购买" w:id="367"/>
      <w:bookmarkEnd w:id="367"/>
      <w:r>
        <w:rPr>
          <w:b w:val="0"/>
          <w:bCs w:val="0"/>
        </w:rPr>
      </w:r>
      <w:r>
        <w:rPr>
          <w:rFonts w:ascii="Times New Roman" w:hAnsi="Times New Roman" w:cs="Times New Roman" w:eastAsia="Times New Roman" w:hint="default"/>
        </w:rPr>
        <w:t>3</w:t>
      </w:r>
      <w:r>
        <w:rPr/>
        <w:t>、反向购买</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9536"/>
        <w:jc w:val="center"/>
      </w:pPr>
      <w:r>
        <w:rPr/>
        <w:t>无。</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4、处置子公司" w:id="368"/>
      <w:bookmarkEnd w:id="368"/>
      <w:r>
        <w:rPr>
          <w:b w:val="0"/>
          <w:bCs w:val="0"/>
        </w:rPr>
      </w:r>
      <w:r>
        <w:rPr>
          <w:rFonts w:ascii="Times New Roman" w:hAnsi="Times New Roman" w:cs="Times New Roman" w:eastAsia="Times New Roman" w:hint="default"/>
        </w:rPr>
        <w:t>4</w:t>
      </w:r>
      <w:r>
        <w:rPr/>
        <w:t>、处置子公司</w:t>
      </w:r>
      <w:r>
        <w:rPr>
          <w:b w:val="0"/>
          <w:bCs w:val="0"/>
        </w:rPr>
      </w:r>
    </w:p>
    <w:p>
      <w:pPr>
        <w:spacing w:line="240" w:lineRule="auto" w:before="4"/>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51" w:footer="979" w:top="1400" w:bottom="1160" w:left="980" w:right="0"/>
        </w:sectPr>
      </w:pPr>
    </w:p>
    <w:p>
      <w:pPr>
        <w:pStyle w:val="BodyText"/>
        <w:spacing w:line="240" w:lineRule="auto" w:before="44"/>
        <w:ind w:right="-20"/>
        <w:jc w:val="left"/>
      </w:pPr>
      <w:r>
        <w:rPr/>
        <w:t>是否存在单次处置对子公司投资即丧失控制权的情形</w:t>
      </w:r>
    </w:p>
    <w:p>
      <w:pPr>
        <w:spacing w:before="116"/>
        <w:ind w:left="154" w:right="-2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900" w:bottom="0" w:left="980" w:right="0"/>
          <w:cols w:num="2" w:equalWidth="0">
            <w:col w:w="4295" w:space="4535"/>
            <w:col w:w="2100"/>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36"/>
        <w:gridCol w:w="737"/>
        <w:gridCol w:w="736"/>
        <w:gridCol w:w="736"/>
        <w:gridCol w:w="734"/>
        <w:gridCol w:w="736"/>
        <w:gridCol w:w="734"/>
        <w:gridCol w:w="736"/>
        <w:gridCol w:w="737"/>
        <w:gridCol w:w="736"/>
        <w:gridCol w:w="736"/>
        <w:gridCol w:w="737"/>
        <w:gridCol w:w="736"/>
      </w:tblGrid>
      <w:tr>
        <w:trPr>
          <w:trHeight w:val="3834" w:hRule="exact"/>
        </w:trPr>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316" w:lineRule="auto"/>
              <w:ind w:left="182" w:right="93" w:hanging="90"/>
              <w:jc w:val="left"/>
              <w:rPr>
                <w:rFonts w:ascii="宋体" w:hAnsi="宋体" w:cs="宋体" w:eastAsia="宋体" w:hint="default"/>
                <w:sz w:val="18"/>
                <w:szCs w:val="18"/>
              </w:rPr>
            </w:pPr>
            <w:r>
              <w:rPr>
                <w:rFonts w:ascii="宋体" w:hAnsi="宋体" w:cs="宋体" w:eastAsia="宋体" w:hint="default"/>
                <w:sz w:val="18"/>
                <w:szCs w:val="18"/>
              </w:rPr>
              <w:t>子公司 名称</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316" w:lineRule="auto"/>
              <w:ind w:left="93" w:right="91"/>
              <w:jc w:val="left"/>
              <w:rPr>
                <w:rFonts w:ascii="宋体" w:hAnsi="宋体" w:cs="宋体" w:eastAsia="宋体" w:hint="default"/>
                <w:sz w:val="18"/>
                <w:szCs w:val="18"/>
              </w:rPr>
            </w:pPr>
            <w:r>
              <w:rPr>
                <w:rFonts w:ascii="宋体" w:hAnsi="宋体" w:cs="宋体" w:eastAsia="宋体" w:hint="default"/>
                <w:sz w:val="18"/>
                <w:szCs w:val="18"/>
              </w:rPr>
              <w:t>股权处 置价款</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316" w:lineRule="auto"/>
              <w:ind w:left="92" w:right="91"/>
              <w:jc w:val="left"/>
              <w:rPr>
                <w:rFonts w:ascii="宋体" w:hAnsi="宋体" w:cs="宋体" w:eastAsia="宋体" w:hint="default"/>
                <w:sz w:val="18"/>
                <w:szCs w:val="18"/>
              </w:rPr>
            </w:pPr>
            <w:r>
              <w:rPr>
                <w:rFonts w:ascii="宋体" w:hAnsi="宋体" w:cs="宋体" w:eastAsia="宋体" w:hint="default"/>
                <w:sz w:val="18"/>
                <w:szCs w:val="18"/>
              </w:rPr>
              <w:t>股权处 置比例</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316" w:lineRule="auto"/>
              <w:ind w:left="92" w:right="91"/>
              <w:jc w:val="left"/>
              <w:rPr>
                <w:rFonts w:ascii="宋体" w:hAnsi="宋体" w:cs="宋体" w:eastAsia="宋体" w:hint="default"/>
                <w:sz w:val="18"/>
                <w:szCs w:val="18"/>
              </w:rPr>
            </w:pPr>
            <w:r>
              <w:rPr>
                <w:rFonts w:ascii="宋体" w:hAnsi="宋体" w:cs="宋体" w:eastAsia="宋体" w:hint="default"/>
                <w:sz w:val="18"/>
                <w:szCs w:val="18"/>
              </w:rPr>
              <w:t>股权处 置方式</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316" w:lineRule="auto"/>
              <w:ind w:left="92" w:right="90"/>
              <w:jc w:val="both"/>
              <w:rPr>
                <w:rFonts w:ascii="宋体" w:hAnsi="宋体" w:cs="宋体" w:eastAsia="宋体" w:hint="default"/>
                <w:sz w:val="18"/>
                <w:szCs w:val="18"/>
              </w:rPr>
            </w:pPr>
            <w:r>
              <w:rPr>
                <w:rFonts w:ascii="宋体" w:hAnsi="宋体" w:cs="宋体" w:eastAsia="宋体" w:hint="default"/>
                <w:sz w:val="18"/>
                <w:szCs w:val="18"/>
              </w:rPr>
              <w:t>丧失控 制权的 时点</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1"/>
              <w:ind w:left="92" w:right="91"/>
              <w:jc w:val="both"/>
              <w:rPr>
                <w:rFonts w:ascii="宋体" w:hAnsi="宋体" w:cs="宋体" w:eastAsia="宋体" w:hint="default"/>
                <w:sz w:val="18"/>
                <w:szCs w:val="18"/>
              </w:rPr>
            </w:pPr>
            <w:r>
              <w:rPr>
                <w:rFonts w:ascii="宋体" w:hAnsi="宋体" w:cs="宋体" w:eastAsia="宋体" w:hint="default"/>
                <w:sz w:val="18"/>
                <w:szCs w:val="18"/>
              </w:rPr>
              <w:t>丧失控 制权时 点的确 定依据</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92" w:right="90"/>
              <w:jc w:val="center"/>
              <w:rPr>
                <w:rFonts w:ascii="宋体" w:hAnsi="宋体" w:cs="宋体" w:eastAsia="宋体" w:hint="default"/>
                <w:sz w:val="18"/>
                <w:szCs w:val="18"/>
              </w:rPr>
            </w:pPr>
            <w:r>
              <w:rPr>
                <w:rFonts w:ascii="宋体" w:hAnsi="宋体" w:cs="宋体" w:eastAsia="宋体" w:hint="default"/>
                <w:sz w:val="18"/>
                <w:szCs w:val="18"/>
              </w:rPr>
              <w:t>处置价 款与处 置投资 对应的 合并财 务报表 层面享 有该子 公司净 资产份 额的差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316" w:lineRule="auto"/>
              <w:ind w:left="92" w:right="91"/>
              <w:jc w:val="both"/>
              <w:rPr>
                <w:rFonts w:ascii="宋体" w:hAnsi="宋体" w:cs="宋体" w:eastAsia="宋体" w:hint="default"/>
                <w:sz w:val="18"/>
                <w:szCs w:val="18"/>
              </w:rPr>
            </w:pPr>
            <w:r>
              <w:rPr>
                <w:rFonts w:ascii="宋体" w:hAnsi="宋体" w:cs="宋体" w:eastAsia="宋体" w:hint="default"/>
                <w:sz w:val="18"/>
                <w:szCs w:val="18"/>
              </w:rPr>
              <w:t>丧失控 制权之 日剩余 股权的 比例</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316" w:lineRule="auto"/>
              <w:ind w:left="93" w:right="91"/>
              <w:jc w:val="center"/>
              <w:rPr>
                <w:rFonts w:ascii="宋体" w:hAnsi="宋体" w:cs="宋体" w:eastAsia="宋体" w:hint="default"/>
                <w:sz w:val="18"/>
                <w:szCs w:val="18"/>
              </w:rPr>
            </w:pPr>
            <w:r>
              <w:rPr>
                <w:rFonts w:ascii="宋体" w:hAnsi="宋体" w:cs="宋体" w:eastAsia="宋体" w:hint="default"/>
                <w:sz w:val="18"/>
                <w:szCs w:val="18"/>
              </w:rPr>
              <w:t>丧失控 制权之 日剩余 股权的 账面价 值</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316" w:lineRule="auto"/>
              <w:ind w:left="92" w:right="93"/>
              <w:jc w:val="center"/>
              <w:rPr>
                <w:rFonts w:ascii="宋体" w:hAnsi="宋体" w:cs="宋体" w:eastAsia="宋体" w:hint="default"/>
                <w:sz w:val="18"/>
                <w:szCs w:val="18"/>
              </w:rPr>
            </w:pPr>
            <w:r>
              <w:rPr>
                <w:rFonts w:ascii="宋体" w:hAnsi="宋体" w:cs="宋体" w:eastAsia="宋体" w:hint="default"/>
                <w:sz w:val="18"/>
                <w:szCs w:val="18"/>
              </w:rPr>
              <w:t>丧失控 制权之 日剩余 股权的 公允价 值</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6" w:lineRule="auto"/>
              <w:ind w:left="92" w:right="91"/>
              <w:jc w:val="center"/>
              <w:rPr>
                <w:rFonts w:ascii="宋体" w:hAnsi="宋体" w:cs="宋体" w:eastAsia="宋体" w:hint="default"/>
                <w:sz w:val="18"/>
                <w:szCs w:val="18"/>
              </w:rPr>
            </w:pPr>
            <w:r>
              <w:rPr>
                <w:rFonts w:ascii="宋体" w:hAnsi="宋体" w:cs="宋体" w:eastAsia="宋体" w:hint="default"/>
                <w:sz w:val="18"/>
                <w:szCs w:val="18"/>
              </w:rPr>
              <w:t>按照公 允价值 重新计 量剩余 股权产 生的利 得或损 失</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93" w:right="91"/>
              <w:jc w:val="center"/>
              <w:rPr>
                <w:rFonts w:ascii="宋体" w:hAnsi="宋体" w:cs="宋体" w:eastAsia="宋体" w:hint="default"/>
                <w:sz w:val="18"/>
                <w:szCs w:val="18"/>
              </w:rPr>
            </w:pPr>
            <w:r>
              <w:rPr>
                <w:rFonts w:ascii="宋体" w:hAnsi="宋体" w:cs="宋体" w:eastAsia="宋体" w:hint="default"/>
                <w:sz w:val="18"/>
                <w:szCs w:val="18"/>
              </w:rPr>
              <w:t>丧失控 制权之 日剩余 股权公 允价值 的确定 方法及 主要假 设</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92" w:right="91"/>
              <w:jc w:val="both"/>
              <w:rPr>
                <w:rFonts w:ascii="宋体" w:hAnsi="宋体" w:cs="宋体" w:eastAsia="宋体" w:hint="default"/>
                <w:sz w:val="18"/>
                <w:szCs w:val="18"/>
              </w:rPr>
            </w:pPr>
            <w:r>
              <w:rPr>
                <w:rFonts w:ascii="宋体" w:hAnsi="宋体" w:cs="宋体" w:eastAsia="宋体" w:hint="default"/>
                <w:sz w:val="18"/>
                <w:szCs w:val="18"/>
              </w:rPr>
              <w:t>与原子 公司股 权投资 相关的 其他综 合收益 转入投 资损益 的金额</w:t>
            </w:r>
          </w:p>
        </w:tc>
      </w:tr>
      <w:tr>
        <w:trPr>
          <w:trHeight w:val="1650"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21"/>
              <w:jc w:val="left"/>
              <w:rPr>
                <w:rFonts w:ascii="Times New Roman" w:hAnsi="Times New Roman" w:cs="Times New Roman" w:eastAsia="Times New Roman" w:hint="default"/>
                <w:sz w:val="18"/>
                <w:szCs w:val="18"/>
              </w:rPr>
            </w:pPr>
            <w:r>
              <w:rPr>
                <w:rFonts w:ascii="Times New Roman"/>
                <w:sz w:val="18"/>
              </w:rPr>
              <w:t>Ultrapow</w:t>
            </w:r>
            <w:r>
              <w:rPr>
                <w:rFonts w:ascii="Times New Roman"/>
                <w:w w:val="99"/>
                <w:sz w:val="18"/>
              </w:rPr>
              <w:t> </w:t>
            </w:r>
            <w:r>
              <w:rPr>
                <w:rFonts w:ascii="Times New Roman"/>
                <w:sz w:val="18"/>
              </w:rPr>
              <w:t>er 360</w:t>
            </w:r>
            <w:r>
              <w:rPr>
                <w:rFonts w:ascii="Times New Roman"/>
                <w:w w:val="99"/>
                <w:sz w:val="18"/>
              </w:rPr>
              <w:t> </w:t>
            </w:r>
            <w:r>
              <w:rPr>
                <w:rFonts w:ascii="Times New Roman"/>
                <w:sz w:val="18"/>
              </w:rPr>
              <w:t>PTE</w:t>
            </w:r>
            <w:r>
              <w:rPr>
                <w:rFonts w:ascii="Times New Roman"/>
                <w:w w:val="99"/>
                <w:sz w:val="18"/>
              </w:rPr>
              <w:t> </w:t>
            </w:r>
            <w:r>
              <w:rPr>
                <w:rFonts w:ascii="Times New Roman"/>
                <w:spacing w:val="-6"/>
                <w:sz w:val="18"/>
              </w:rPr>
              <w:t>LTD</w:t>
            </w:r>
          </w:p>
          <w:p>
            <w:pPr>
              <w:pStyle w:val="TableParagraph"/>
              <w:spacing w:line="200" w:lineRule="exact"/>
              <w:ind w:left="22" w:right="0"/>
              <w:jc w:val="left"/>
              <w:rPr>
                <w:rFonts w:ascii="宋体" w:hAnsi="宋体" w:cs="宋体" w:eastAsia="宋体" w:hint="default"/>
                <w:sz w:val="18"/>
                <w:szCs w:val="18"/>
              </w:rPr>
            </w:pPr>
            <w:r>
              <w:rPr>
                <w:rFonts w:ascii="宋体" w:hAnsi="宋体" w:cs="宋体" w:eastAsia="宋体" w:hint="default"/>
                <w:sz w:val="18"/>
                <w:szCs w:val="18"/>
              </w:rPr>
              <w:t>（注）</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2,750,00</w:t>
            </w:r>
          </w:p>
          <w:p>
            <w:pPr>
              <w:pStyle w:val="TableParagraph"/>
              <w:spacing w:line="240" w:lineRule="auto" w:before="105"/>
              <w:ind w:left="389" w:right="0"/>
              <w:jc w:val="left"/>
              <w:rPr>
                <w:rFonts w:ascii="Times New Roman" w:hAnsi="Times New Roman" w:cs="Times New Roman" w:eastAsia="Times New Roman" w:hint="default"/>
                <w:sz w:val="18"/>
                <w:szCs w:val="18"/>
              </w:rPr>
            </w:pPr>
            <w:r>
              <w:rPr>
                <w:rFonts w:ascii="Times New Roman"/>
                <w:sz w:val="18"/>
              </w:rPr>
              <w:t>0.00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13.75%</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转让</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30</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工商变 </w:t>
            </w:r>
            <w:r>
              <w:rPr>
                <w:rFonts w:ascii="宋体" w:hAnsi="宋体" w:cs="宋体" w:eastAsia="宋体" w:hint="default"/>
                <w:spacing w:val="-11"/>
                <w:sz w:val="18"/>
                <w:szCs w:val="18"/>
              </w:rPr>
              <w:t>更、业务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及财务 工作交 接完成</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2,384,43</w:t>
            </w:r>
          </w:p>
          <w:p>
            <w:pPr>
              <w:pStyle w:val="TableParagraph"/>
              <w:spacing w:line="240" w:lineRule="auto" w:before="105"/>
              <w:ind w:left="387" w:right="0"/>
              <w:jc w:val="left"/>
              <w:rPr>
                <w:rFonts w:ascii="Times New Roman" w:hAnsi="Times New Roman" w:cs="Times New Roman" w:eastAsia="Times New Roman" w:hint="default"/>
                <w:sz w:val="18"/>
                <w:szCs w:val="18"/>
              </w:rPr>
            </w:pPr>
            <w:r>
              <w:rPr>
                <w:rFonts w:ascii="Times New Roman"/>
                <w:sz w:val="18"/>
              </w:rPr>
              <w:t>4.81</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47" w:right="0"/>
              <w:jc w:val="left"/>
              <w:rPr>
                <w:rFonts w:ascii="Times New Roman" w:hAnsi="Times New Roman" w:cs="Times New Roman" w:eastAsia="Times New Roman" w:hint="default"/>
                <w:sz w:val="18"/>
                <w:szCs w:val="18"/>
              </w:rPr>
            </w:pPr>
            <w:r>
              <w:rPr>
                <w:rFonts w:ascii="Times New Roman"/>
                <w:sz w:val="18"/>
              </w:rPr>
              <w:t>41.25%</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1,096,69</w:t>
            </w:r>
          </w:p>
          <w:p>
            <w:pPr>
              <w:pStyle w:val="TableParagraph"/>
              <w:spacing w:line="240" w:lineRule="auto" w:before="105"/>
              <w:ind w:left="389" w:right="0"/>
              <w:jc w:val="left"/>
              <w:rPr>
                <w:rFonts w:ascii="Times New Roman" w:hAnsi="Times New Roman" w:cs="Times New Roman" w:eastAsia="Times New Roman" w:hint="default"/>
                <w:sz w:val="18"/>
                <w:szCs w:val="18"/>
              </w:rPr>
            </w:pPr>
            <w:r>
              <w:rPr>
                <w:rFonts w:ascii="Times New Roman"/>
                <w:sz w:val="18"/>
              </w:rPr>
              <w:t>5.55</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3" w:right="0"/>
              <w:jc w:val="left"/>
              <w:rPr>
                <w:rFonts w:ascii="Times New Roman" w:hAnsi="Times New Roman" w:cs="Times New Roman" w:eastAsia="Times New Roman" w:hint="default"/>
                <w:sz w:val="18"/>
                <w:szCs w:val="18"/>
              </w:rPr>
            </w:pPr>
            <w:r>
              <w:rPr>
                <w:rFonts w:ascii="Times New Roman"/>
                <w:sz w:val="18"/>
              </w:rPr>
              <w:t>1,096,69</w:t>
            </w:r>
          </w:p>
          <w:p>
            <w:pPr>
              <w:pStyle w:val="TableParagraph"/>
              <w:spacing w:line="240" w:lineRule="auto" w:before="105"/>
              <w:ind w:left="389" w:right="0"/>
              <w:jc w:val="left"/>
              <w:rPr>
                <w:rFonts w:ascii="Times New Roman" w:hAnsi="Times New Roman" w:cs="Times New Roman" w:eastAsia="Times New Roman" w:hint="default"/>
                <w:sz w:val="18"/>
                <w:szCs w:val="18"/>
              </w:rPr>
            </w:pPr>
            <w:r>
              <w:rPr>
                <w:rFonts w:ascii="Times New Roman"/>
                <w:sz w:val="18"/>
              </w:rPr>
              <w:t>5.55</w:t>
            </w: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81" w:right="0"/>
              <w:jc w:val="center"/>
              <w:rPr>
                <w:rFonts w:ascii="Times New Roman" w:hAnsi="Times New Roman" w:cs="Times New Roman" w:eastAsia="Times New Roman" w:hint="default"/>
                <w:sz w:val="18"/>
                <w:szCs w:val="18"/>
              </w:rPr>
            </w:pPr>
            <w:r>
              <w:rPr>
                <w:rFonts w:ascii="Times New Roman"/>
                <w:sz w:val="18"/>
              </w:rPr>
              <w:t>-2,668,3</w:t>
            </w:r>
          </w:p>
          <w:p>
            <w:pPr>
              <w:pStyle w:val="TableParagraph"/>
              <w:spacing w:line="240" w:lineRule="auto" w:before="105"/>
              <w:ind w:left="276" w:right="0"/>
              <w:jc w:val="center"/>
              <w:rPr>
                <w:rFonts w:ascii="Times New Roman" w:hAnsi="Times New Roman" w:cs="Times New Roman" w:eastAsia="Times New Roman" w:hint="default"/>
                <w:sz w:val="18"/>
                <w:szCs w:val="18"/>
              </w:rPr>
            </w:pPr>
            <w:r>
              <w:rPr>
                <w:rFonts w:ascii="Times New Roman"/>
                <w:sz w:val="18"/>
              </w:rPr>
              <w:t>74.60</w:t>
            </w:r>
          </w:p>
        </w:tc>
      </w:tr>
    </w:tbl>
    <w:p>
      <w:pPr>
        <w:spacing w:after="0" w:line="240" w:lineRule="auto"/>
        <w:jc w:val="center"/>
        <w:rPr>
          <w:rFonts w:ascii="Times New Roman" w:hAnsi="Times New Roman" w:cs="Times New Roman" w:eastAsia="Times New Roman" w:hint="default"/>
          <w:sz w:val="18"/>
          <w:szCs w:val="18"/>
        </w:rPr>
        <w:sectPr>
          <w:type w:val="continuous"/>
          <w:pgSz w:w="11910" w:h="16840"/>
          <w:pgMar w:top="900" w:bottom="0" w:left="98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6"/>
          <w:szCs w:val="6"/>
        </w:rPr>
      </w:pPr>
    </w:p>
    <w:p>
      <w:pPr>
        <w:pStyle w:val="BodyText"/>
        <w:spacing w:line="386" w:lineRule="auto" w:before="44"/>
        <w:ind w:right="1033"/>
        <w:jc w:val="left"/>
      </w:pPr>
      <w:r>
        <w:rPr/>
        <w:t>注：</w:t>
      </w:r>
      <w:r>
        <w:rPr>
          <w:rFonts w:ascii="Times New Roman" w:hAnsi="Times New Roman" w:cs="Times New Roman" w:eastAsia="Times New Roman" w:hint="default"/>
        </w:rPr>
        <w:t>Ultrapower 360 PTE </w:t>
      </w:r>
      <w:r>
        <w:rPr>
          <w:rFonts w:ascii="Times New Roman" w:hAnsi="Times New Roman" w:cs="Times New Roman" w:eastAsia="Times New Roman" w:hint="default"/>
          <w:spacing w:val="-6"/>
        </w:rPr>
        <w:t>LTD </w:t>
      </w:r>
      <w:r>
        <w:rPr/>
        <w:t>退出合并范围，其下属子公司一并退出合并范围，具体公司包括 </w:t>
      </w:r>
      <w:r>
        <w:rPr>
          <w:rFonts w:ascii="Times New Roman" w:hAnsi="Times New Roman" w:cs="Times New Roman" w:eastAsia="Times New Roman" w:hint="default"/>
        </w:rPr>
        <w:t>Uqsoft (Thailand) Co.</w:t>
      </w:r>
      <w:r>
        <w:rPr/>
        <w:t>，</w:t>
      </w:r>
      <w:r>
        <w:rPr>
          <w:spacing w:val="-26"/>
        </w:rPr>
        <w:t> </w:t>
      </w:r>
      <w:r>
        <w:rPr>
          <w:rFonts w:ascii="Times New Roman" w:hAnsi="Times New Roman" w:cs="Times New Roman" w:eastAsia="Times New Roman" w:hint="default"/>
        </w:rPr>
        <w:t>Ltd.</w:t>
      </w:r>
      <w:r>
        <w:rPr/>
        <w:t>、</w:t>
      </w:r>
      <w:r>
        <w:rPr>
          <w:w w:val="99"/>
        </w:rPr>
        <w:t> </w:t>
      </w:r>
      <w:r>
        <w:rPr>
          <w:rFonts w:ascii="Times New Roman" w:hAnsi="Times New Roman" w:cs="Times New Roman" w:eastAsia="Times New Roman" w:hint="default"/>
          <w:spacing w:val="-1"/>
          <w:w w:val="99"/>
        </w:rPr>
        <w:t>UQSOFT</w:t>
      </w:r>
      <w:r>
        <w:rPr>
          <w:rFonts w:ascii="Times New Roman" w:hAnsi="Times New Roman" w:cs="Times New Roman" w:eastAsia="Times New Roman" w:hint="default"/>
          <w:spacing w:val="1"/>
          <w:w w:val="99"/>
        </w:rPr>
        <w:t> </w:t>
      </w:r>
      <w:r>
        <w:rPr>
          <w:rFonts w:ascii="Times New Roman" w:hAnsi="Times New Roman" w:cs="Times New Roman" w:eastAsia="Times New Roman" w:hint="default"/>
          <w:w w:val="99"/>
        </w:rPr>
        <w:t>(RUSSIA)</w:t>
      </w:r>
      <w:r>
        <w:rPr>
          <w:rFonts w:ascii="Times New Roman" w:hAnsi="Times New Roman" w:cs="Times New Roman" w:eastAsia="Times New Roman" w:hint="default"/>
          <w:spacing w:val="4"/>
          <w:w w:val="99"/>
        </w:rPr>
        <w:t> </w:t>
      </w:r>
      <w:r>
        <w:rPr>
          <w:rFonts w:ascii="Times New Roman" w:hAnsi="Times New Roman" w:cs="Times New Roman" w:eastAsia="Times New Roman" w:hint="default"/>
          <w:spacing w:val="-13"/>
          <w:w w:val="99"/>
        </w:rPr>
        <w:t>CO.</w:t>
      </w:r>
      <w:r>
        <w:rPr>
          <w:spacing w:val="-13"/>
          <w:w w:val="99"/>
        </w:rPr>
        <w:t>、</w:t>
      </w:r>
      <w:r>
        <w:rPr>
          <w:rFonts w:ascii="Times New Roman" w:hAnsi="Times New Roman" w:cs="Times New Roman" w:eastAsia="Times New Roman" w:hint="default"/>
          <w:spacing w:val="-13"/>
          <w:w w:val="99"/>
        </w:rPr>
        <w:t>UQ</w:t>
      </w:r>
      <w:r>
        <w:rPr>
          <w:rFonts w:ascii="Times New Roman" w:hAnsi="Times New Roman" w:cs="Times New Roman" w:eastAsia="Times New Roman" w:hint="default"/>
          <w:spacing w:val="3"/>
          <w:w w:val="99"/>
        </w:rPr>
        <w:t> </w:t>
      </w:r>
      <w:r>
        <w:rPr>
          <w:rFonts w:ascii="Times New Roman" w:hAnsi="Times New Roman" w:cs="Times New Roman" w:eastAsia="Times New Roman" w:hint="default"/>
          <w:w w:val="99"/>
        </w:rPr>
        <w:t>soft</w:t>
      </w:r>
      <w:r>
        <w:rPr>
          <w:rFonts w:ascii="Times New Roman" w:hAnsi="Times New Roman" w:cs="Times New Roman" w:eastAsia="Times New Roman" w:hint="default"/>
          <w:spacing w:val="4"/>
          <w:w w:val="99"/>
        </w:rPr>
        <w:t> </w:t>
      </w:r>
      <w:r>
        <w:rPr>
          <w:rFonts w:ascii="Times New Roman" w:hAnsi="Times New Roman" w:cs="Times New Roman" w:eastAsia="Times New Roman" w:hint="default"/>
          <w:spacing w:val="-1"/>
          <w:w w:val="99"/>
        </w:rPr>
        <w:t>(Singapore)</w:t>
      </w:r>
      <w:r>
        <w:rPr>
          <w:rFonts w:ascii="Times New Roman" w:hAnsi="Times New Roman" w:cs="Times New Roman" w:eastAsia="Times New Roman" w:hint="default"/>
          <w:spacing w:val="4"/>
          <w:w w:val="99"/>
        </w:rPr>
        <w:t> </w:t>
      </w:r>
      <w:r>
        <w:rPr>
          <w:rFonts w:ascii="Times New Roman" w:hAnsi="Times New Roman" w:cs="Times New Roman" w:eastAsia="Times New Roman" w:hint="default"/>
          <w:spacing w:val="-6"/>
          <w:w w:val="99"/>
        </w:rPr>
        <w:t>Pte.Ltd</w:t>
      </w:r>
      <w:r>
        <w:rPr>
          <w:spacing w:val="-6"/>
          <w:w w:val="99"/>
        </w:rPr>
        <w:t>、</w:t>
      </w:r>
      <w:r>
        <w:rPr>
          <w:rFonts w:ascii="Times New Roman" w:hAnsi="Times New Roman" w:cs="Times New Roman" w:eastAsia="Times New Roman" w:hint="default"/>
          <w:spacing w:val="-6"/>
          <w:w w:val="99"/>
        </w:rPr>
        <w:t>Uqsoft</w:t>
      </w:r>
      <w:r>
        <w:rPr>
          <w:rFonts w:ascii="Times New Roman" w:hAnsi="Times New Roman" w:cs="Times New Roman" w:eastAsia="Times New Roman" w:hint="default"/>
          <w:spacing w:val="4"/>
          <w:w w:val="99"/>
        </w:rPr>
        <w:t> </w:t>
      </w:r>
      <w:r>
        <w:rPr>
          <w:rFonts w:ascii="Times New Roman" w:hAnsi="Times New Roman" w:cs="Times New Roman" w:eastAsia="Times New Roman" w:hint="default"/>
          <w:w w:val="99"/>
        </w:rPr>
        <w:t>(Hong</w:t>
      </w:r>
      <w:r>
        <w:rPr>
          <w:rFonts w:ascii="Times New Roman" w:hAnsi="Times New Roman" w:cs="Times New Roman" w:eastAsia="Times New Roman" w:hint="default"/>
          <w:spacing w:val="4"/>
          <w:w w:val="99"/>
        </w:rPr>
        <w:t> </w:t>
      </w:r>
      <w:r>
        <w:rPr>
          <w:rFonts w:ascii="Times New Roman" w:hAnsi="Times New Roman" w:cs="Times New Roman" w:eastAsia="Times New Roman" w:hint="default"/>
          <w:w w:val="99"/>
        </w:rPr>
        <w:t>Kong)</w:t>
      </w:r>
      <w:r>
        <w:rPr>
          <w:rFonts w:ascii="Times New Roman" w:hAnsi="Times New Roman" w:cs="Times New Roman" w:eastAsia="Times New Roman" w:hint="default"/>
          <w:spacing w:val="4"/>
          <w:w w:val="99"/>
        </w:rPr>
        <w:t> </w:t>
      </w:r>
      <w:r>
        <w:rPr>
          <w:rFonts w:ascii="Times New Roman" w:hAnsi="Times New Roman" w:cs="Times New Roman" w:eastAsia="Times New Roman" w:hint="default"/>
          <w:spacing w:val="-6"/>
          <w:w w:val="99"/>
        </w:rPr>
        <w:t>Limited</w:t>
      </w:r>
      <w:r>
        <w:rPr>
          <w:spacing w:val="-6"/>
          <w:w w:val="99"/>
        </w:rPr>
        <w:t>、北京神州泰奇互动科技有限公司、</w:t>
      </w:r>
      <w:r>
        <w:rPr>
          <w:rFonts w:ascii="Times New Roman" w:hAnsi="Times New Roman" w:cs="Times New Roman" w:eastAsia="Times New Roman" w:hint="default"/>
          <w:spacing w:val="-6"/>
          <w:w w:val="99"/>
        </w:rPr>
        <w:t>UQSOFT</w:t>
      </w:r>
      <w:r>
        <w:rPr>
          <w:rFonts w:ascii="Times New Roman" w:hAnsi="Times New Roman" w:cs="Times New Roman" w:eastAsia="Times New Roman" w:hint="default"/>
          <w:spacing w:val="-35"/>
          <w:w w:val="99"/>
        </w:rPr>
        <w:t> </w:t>
      </w:r>
      <w:r>
        <w:rPr>
          <w:rFonts w:ascii="Times New Roman" w:hAnsi="Times New Roman" w:cs="Times New Roman" w:eastAsia="Times New Roman" w:hint="default"/>
          <w:spacing w:val="-35"/>
          <w:w w:val="99"/>
        </w:rPr>
      </w:r>
      <w:r>
        <w:rPr>
          <w:rFonts w:ascii="Times New Roman" w:hAnsi="Times New Roman" w:cs="Times New Roman" w:eastAsia="Times New Roman" w:hint="default"/>
        </w:rPr>
        <w:t>YUHAN</w:t>
      </w:r>
      <w:r>
        <w:rPr>
          <w:rFonts w:ascii="Times New Roman" w:hAnsi="Times New Roman" w:cs="Times New Roman" w:eastAsia="Times New Roman" w:hint="default"/>
          <w:spacing w:val="-3"/>
        </w:rPr>
        <w:t> </w:t>
      </w:r>
      <w:r>
        <w:rPr>
          <w:rFonts w:ascii="Times New Roman" w:hAnsi="Times New Roman" w:cs="Times New Roman" w:eastAsia="Times New Roman" w:hint="default"/>
        </w:rPr>
        <w:t>HOESA</w:t>
      </w:r>
      <w:r>
        <w:rPr/>
        <w:t>。</w:t>
      </w:r>
    </w:p>
    <w:p>
      <w:pPr>
        <w:spacing w:line="240" w:lineRule="auto" w:before="9"/>
        <w:rPr>
          <w:rFonts w:ascii="宋体" w:hAnsi="宋体" w:cs="宋体" w:eastAsia="宋体" w:hint="default"/>
          <w:sz w:val="22"/>
          <w:szCs w:val="22"/>
        </w:rPr>
      </w:pPr>
    </w:p>
    <w:p>
      <w:pPr>
        <w:pStyle w:val="BodyText"/>
        <w:spacing w:line="240" w:lineRule="auto"/>
        <w:ind w:right="0"/>
        <w:jc w:val="left"/>
      </w:pPr>
      <w:r>
        <w:rPr/>
        <w:t>是否存在通过多次交易分步处置对子公司投资且在本期丧失控制权的情形</w:t>
      </w:r>
    </w:p>
    <w:p>
      <w:pPr>
        <w:spacing w:before="116"/>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否</w:t>
      </w:r>
      <w:r>
        <w:rPr>
          <w:rFonts w:ascii="宋体" w:hAnsi="宋体" w:cs="宋体" w:eastAsia="宋体" w:hint="default"/>
          <w:sz w:val="18"/>
          <w:szCs w:val="18"/>
        </w:rPr>
      </w:r>
    </w:p>
    <w:p>
      <w:pPr>
        <w:spacing w:line="240" w:lineRule="auto" w:before="10"/>
        <w:rPr>
          <w:rFonts w:ascii="宋体" w:hAnsi="宋体" w:cs="宋体" w:eastAsia="宋体" w:hint="default"/>
          <w:b/>
          <w:bCs/>
          <w:sz w:val="25"/>
          <w:szCs w:val="25"/>
        </w:rPr>
      </w:pPr>
    </w:p>
    <w:p>
      <w:pPr>
        <w:pStyle w:val="Heading3"/>
        <w:spacing w:line="240" w:lineRule="auto"/>
        <w:ind w:right="0"/>
        <w:jc w:val="left"/>
        <w:rPr>
          <w:b w:val="0"/>
          <w:bCs w:val="0"/>
        </w:rPr>
      </w:pPr>
      <w:bookmarkStart w:name="5、其他原因的合并范围变动" w:id="369"/>
      <w:bookmarkEnd w:id="369"/>
      <w:r>
        <w:rPr>
          <w:b w:val="0"/>
          <w:bCs w:val="0"/>
        </w:rPr>
      </w:r>
      <w:r>
        <w:rPr>
          <w:rFonts w:ascii="Times New Roman" w:hAnsi="Times New Roman" w:cs="Times New Roman" w:eastAsia="Times New Roman" w:hint="default"/>
        </w:rPr>
        <w:t>5</w:t>
      </w:r>
      <w:r>
        <w:rPr/>
        <w:t>、其他原因的合并范围变动</w:t>
      </w:r>
      <w:r>
        <w:rPr>
          <w:b w:val="0"/>
          <w:bCs w:val="0"/>
        </w:rPr>
      </w:r>
    </w:p>
    <w:p>
      <w:pPr>
        <w:spacing w:line="240" w:lineRule="auto" w:before="7"/>
        <w:rPr>
          <w:rFonts w:ascii="宋体" w:hAnsi="宋体" w:cs="宋体" w:eastAsia="宋体" w:hint="default"/>
          <w:b/>
          <w:bCs/>
          <w:sz w:val="26"/>
          <w:szCs w:val="26"/>
        </w:rPr>
      </w:pPr>
    </w:p>
    <w:p>
      <w:pPr>
        <w:pStyle w:val="Heading5"/>
        <w:spacing w:line="240" w:lineRule="auto"/>
        <w:ind w:left="349" w:right="0"/>
        <w:jc w:val="left"/>
        <w:rPr>
          <w:b w:val="0"/>
          <w:bCs w:val="0"/>
        </w:rPr>
      </w:pPr>
      <w:r>
        <w:rPr>
          <w:rFonts w:ascii="宋体" w:hAnsi="宋体" w:cs="宋体" w:eastAsia="宋体" w:hint="default"/>
        </w:rPr>
        <w:t>1</w:t>
      </w:r>
      <w:r>
        <w:rPr/>
        <w:t>、本期因新设纳入合并范围明细如下</w:t>
      </w:r>
      <w:r>
        <w:rPr>
          <w:b w:val="0"/>
          <w:bCs w:val="0"/>
        </w:rPr>
      </w:r>
    </w:p>
    <w:p>
      <w:pPr>
        <w:spacing w:line="240" w:lineRule="auto" w:before="11"/>
        <w:rPr>
          <w:rFonts w:ascii="宋体" w:hAnsi="宋体" w:cs="宋体" w:eastAsia="宋体" w:hint="default"/>
          <w:b/>
          <w:bCs/>
          <w:sz w:val="28"/>
          <w:szCs w:val="28"/>
        </w:rPr>
      </w:pPr>
    </w:p>
    <w:tbl>
      <w:tblPr>
        <w:tblW w:w="0" w:type="auto"/>
        <w:jc w:val="left"/>
        <w:tblInd w:w="137" w:type="dxa"/>
        <w:tblLayout w:type="fixed"/>
        <w:tblCellMar>
          <w:top w:w="0" w:type="dxa"/>
          <w:left w:w="0" w:type="dxa"/>
          <w:bottom w:w="0" w:type="dxa"/>
          <w:right w:w="0" w:type="dxa"/>
        </w:tblCellMar>
        <w:tblLook w:val="01E0"/>
      </w:tblPr>
      <w:tblGrid>
        <w:gridCol w:w="3467"/>
        <w:gridCol w:w="1841"/>
        <w:gridCol w:w="2177"/>
        <w:gridCol w:w="2173"/>
      </w:tblGrid>
      <w:tr>
        <w:trPr>
          <w:trHeight w:val="394" w:hRule="exact"/>
        </w:trPr>
        <w:tc>
          <w:tcPr>
            <w:tcW w:w="3467"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44"/>
              <w:ind w:left="1096" w:right="0"/>
              <w:jc w:val="left"/>
              <w:rPr>
                <w:rFonts w:ascii="宋体" w:hAnsi="宋体" w:cs="宋体" w:eastAsia="宋体" w:hint="default"/>
                <w:sz w:val="18"/>
                <w:szCs w:val="18"/>
              </w:rPr>
            </w:pPr>
            <w:r>
              <w:rPr>
                <w:rFonts w:ascii="宋体" w:hAnsi="宋体" w:cs="宋体" w:eastAsia="宋体" w:hint="default"/>
                <w:sz w:val="18"/>
                <w:szCs w:val="18"/>
              </w:rPr>
              <w:t>新设子公司名称</w:t>
            </w:r>
          </w:p>
        </w:tc>
        <w:tc>
          <w:tcPr>
            <w:tcW w:w="184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44"/>
              <w:ind w:right="731"/>
              <w:jc w:val="right"/>
              <w:rPr>
                <w:rFonts w:ascii="宋体" w:hAnsi="宋体" w:cs="宋体" w:eastAsia="宋体" w:hint="default"/>
                <w:sz w:val="18"/>
                <w:szCs w:val="18"/>
              </w:rPr>
            </w:pPr>
            <w:r>
              <w:rPr>
                <w:rFonts w:ascii="宋体" w:hAnsi="宋体" w:cs="宋体" w:eastAsia="宋体" w:hint="default"/>
                <w:sz w:val="18"/>
                <w:szCs w:val="18"/>
              </w:rPr>
              <w:t>级次</w:t>
            </w:r>
          </w:p>
        </w:tc>
        <w:tc>
          <w:tcPr>
            <w:tcW w:w="2177"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44"/>
              <w:ind w:right="1"/>
              <w:jc w:val="center"/>
              <w:rPr>
                <w:rFonts w:ascii="宋体" w:hAnsi="宋体" w:cs="宋体" w:eastAsia="宋体"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173"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表决权比例（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95" w:hRule="exact"/>
        </w:trPr>
        <w:tc>
          <w:tcPr>
            <w:tcW w:w="34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left"/>
              <w:rPr>
                <w:rFonts w:ascii="宋体" w:hAnsi="宋体" w:cs="宋体" w:eastAsia="宋体" w:hint="default"/>
                <w:sz w:val="18"/>
                <w:szCs w:val="18"/>
              </w:rPr>
            </w:pPr>
            <w:r>
              <w:rPr>
                <w:rFonts w:ascii="宋体" w:hAnsi="宋体" w:cs="宋体" w:eastAsia="宋体" w:hint="default"/>
                <w:sz w:val="18"/>
                <w:szCs w:val="18"/>
              </w:rPr>
              <w:t>新疆神州泰岳智能科技有限公司</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731"/>
              <w:jc w:val="right"/>
              <w:rPr>
                <w:rFonts w:ascii="宋体" w:hAnsi="宋体" w:cs="宋体" w:eastAsia="宋体" w:hint="default"/>
                <w:sz w:val="18"/>
                <w:szCs w:val="18"/>
              </w:rPr>
            </w:pPr>
            <w:r>
              <w:rPr>
                <w:rFonts w:ascii="宋体" w:hAnsi="宋体" w:cs="宋体" w:eastAsia="宋体" w:hint="default"/>
                <w:sz w:val="18"/>
                <w:szCs w:val="18"/>
              </w:rPr>
              <w:t>三级</w:t>
            </w:r>
          </w:p>
        </w:tc>
        <w:tc>
          <w:tcPr>
            <w:tcW w:w="21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0"/>
              <w:jc w:val="center"/>
              <w:rPr>
                <w:rFonts w:ascii="Times New Roman" w:hAnsi="Times New Roman" w:cs="Times New Roman" w:eastAsia="Times New Roman" w:hint="default"/>
                <w:sz w:val="18"/>
                <w:szCs w:val="18"/>
              </w:rPr>
            </w:pPr>
            <w:r>
              <w:rPr>
                <w:rFonts w:ascii="Times New Roman"/>
                <w:sz w:val="18"/>
              </w:rPr>
              <w:t>75</w:t>
            </w:r>
          </w:p>
        </w:tc>
        <w:tc>
          <w:tcPr>
            <w:tcW w:w="21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1"/>
              <w:jc w:val="center"/>
              <w:rPr>
                <w:rFonts w:ascii="Times New Roman" w:hAnsi="Times New Roman" w:cs="Times New Roman" w:eastAsia="Times New Roman" w:hint="default"/>
                <w:sz w:val="18"/>
                <w:szCs w:val="18"/>
              </w:rPr>
            </w:pPr>
            <w:r>
              <w:rPr>
                <w:rFonts w:ascii="Times New Roman"/>
                <w:sz w:val="18"/>
              </w:rPr>
              <w:t>75</w:t>
            </w:r>
          </w:p>
        </w:tc>
      </w:tr>
      <w:tr>
        <w:trPr>
          <w:trHeight w:val="394" w:hRule="exact"/>
        </w:trPr>
        <w:tc>
          <w:tcPr>
            <w:tcW w:w="34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2" w:right="0"/>
              <w:jc w:val="left"/>
              <w:rPr>
                <w:rFonts w:ascii="宋体" w:hAnsi="宋体" w:cs="宋体" w:eastAsia="宋体" w:hint="default"/>
                <w:sz w:val="18"/>
                <w:szCs w:val="18"/>
              </w:rPr>
            </w:pPr>
            <w:r>
              <w:rPr>
                <w:rFonts w:ascii="宋体" w:hAnsi="宋体" w:cs="宋体" w:eastAsia="宋体" w:hint="default"/>
                <w:sz w:val="18"/>
                <w:szCs w:val="18"/>
              </w:rPr>
              <w:t>北京泰岳宏光科技发展有限公司</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731"/>
              <w:jc w:val="right"/>
              <w:rPr>
                <w:rFonts w:ascii="宋体" w:hAnsi="宋体" w:cs="宋体" w:eastAsia="宋体" w:hint="default"/>
                <w:sz w:val="18"/>
                <w:szCs w:val="18"/>
              </w:rPr>
            </w:pPr>
            <w:r>
              <w:rPr>
                <w:rFonts w:ascii="宋体" w:hAnsi="宋体" w:cs="宋体" w:eastAsia="宋体" w:hint="default"/>
                <w:sz w:val="18"/>
                <w:szCs w:val="18"/>
              </w:rPr>
              <w:t>二级</w:t>
            </w:r>
          </w:p>
        </w:tc>
        <w:tc>
          <w:tcPr>
            <w:tcW w:w="21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2"/>
              <w:ind w:right="0"/>
              <w:jc w:val="center"/>
              <w:rPr>
                <w:rFonts w:ascii="Times New Roman" w:hAnsi="Times New Roman" w:cs="Times New Roman" w:eastAsia="Times New Roman" w:hint="default"/>
                <w:sz w:val="18"/>
                <w:szCs w:val="18"/>
              </w:rPr>
            </w:pPr>
            <w:r>
              <w:rPr>
                <w:rFonts w:ascii="Times New Roman"/>
                <w:sz w:val="18"/>
              </w:rPr>
              <w:t>55</w:t>
            </w:r>
          </w:p>
        </w:tc>
        <w:tc>
          <w:tcPr>
            <w:tcW w:w="21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2"/>
              <w:ind w:right="1"/>
              <w:jc w:val="center"/>
              <w:rPr>
                <w:rFonts w:ascii="Times New Roman" w:hAnsi="Times New Roman" w:cs="Times New Roman" w:eastAsia="Times New Roman" w:hint="default"/>
                <w:sz w:val="18"/>
                <w:szCs w:val="18"/>
              </w:rPr>
            </w:pPr>
            <w:r>
              <w:rPr>
                <w:rFonts w:ascii="Times New Roman"/>
                <w:sz w:val="18"/>
              </w:rPr>
              <w:t>55</w:t>
            </w:r>
          </w:p>
        </w:tc>
      </w:tr>
      <w:tr>
        <w:trPr>
          <w:trHeight w:val="394" w:hRule="exact"/>
        </w:trPr>
        <w:tc>
          <w:tcPr>
            <w:tcW w:w="34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left"/>
              <w:rPr>
                <w:rFonts w:ascii="宋体" w:hAnsi="宋体" w:cs="宋体" w:eastAsia="宋体" w:hint="default"/>
                <w:sz w:val="18"/>
                <w:szCs w:val="18"/>
              </w:rPr>
            </w:pPr>
            <w:r>
              <w:rPr>
                <w:rFonts w:ascii="宋体" w:hAnsi="宋体" w:cs="宋体" w:eastAsia="宋体" w:hint="default"/>
                <w:sz w:val="18"/>
                <w:szCs w:val="18"/>
              </w:rPr>
              <w:t>西藏神州泰岳智能科技有限公司</w:t>
            </w:r>
          </w:p>
        </w:tc>
        <w:tc>
          <w:tcPr>
            <w:tcW w:w="18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731"/>
              <w:jc w:val="right"/>
              <w:rPr>
                <w:rFonts w:ascii="宋体" w:hAnsi="宋体" w:cs="宋体" w:eastAsia="宋体" w:hint="default"/>
                <w:sz w:val="18"/>
                <w:szCs w:val="18"/>
              </w:rPr>
            </w:pPr>
            <w:r>
              <w:rPr>
                <w:rFonts w:ascii="宋体" w:hAnsi="宋体" w:cs="宋体" w:eastAsia="宋体" w:hint="default"/>
                <w:sz w:val="18"/>
                <w:szCs w:val="18"/>
              </w:rPr>
              <w:t>二级</w:t>
            </w:r>
          </w:p>
        </w:tc>
        <w:tc>
          <w:tcPr>
            <w:tcW w:w="21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1"/>
              <w:jc w:val="center"/>
              <w:rPr>
                <w:rFonts w:ascii="Times New Roman" w:hAnsi="Times New Roman" w:cs="Times New Roman" w:eastAsia="Times New Roman" w:hint="default"/>
                <w:sz w:val="18"/>
                <w:szCs w:val="18"/>
              </w:rPr>
            </w:pPr>
            <w:r>
              <w:rPr>
                <w:rFonts w:ascii="Times New Roman"/>
                <w:sz w:val="18"/>
              </w:rPr>
              <w:t>100</w:t>
            </w:r>
          </w:p>
        </w:tc>
        <w:tc>
          <w:tcPr>
            <w:tcW w:w="21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0"/>
              <w:jc w:val="center"/>
              <w:rPr>
                <w:rFonts w:ascii="Times New Roman" w:hAnsi="Times New Roman" w:cs="Times New Roman" w:eastAsia="Times New Roman" w:hint="default"/>
                <w:sz w:val="18"/>
                <w:szCs w:val="18"/>
              </w:rPr>
            </w:pPr>
            <w:r>
              <w:rPr>
                <w:rFonts w:ascii="Times New Roman"/>
                <w:sz w:val="18"/>
              </w:rPr>
              <w:t>100</w:t>
            </w:r>
          </w:p>
        </w:tc>
      </w:tr>
    </w:tbl>
    <w:p>
      <w:pPr>
        <w:spacing w:line="240" w:lineRule="auto" w:before="3"/>
        <w:rPr>
          <w:rFonts w:ascii="宋体" w:hAnsi="宋体" w:cs="宋体" w:eastAsia="宋体" w:hint="default"/>
          <w:b/>
          <w:bCs/>
          <w:sz w:val="21"/>
          <w:szCs w:val="21"/>
        </w:rPr>
      </w:pPr>
    </w:p>
    <w:p>
      <w:pPr>
        <w:pStyle w:val="Heading5"/>
        <w:spacing w:line="240" w:lineRule="auto" w:before="44"/>
        <w:ind w:left="334" w:right="0"/>
        <w:jc w:val="left"/>
        <w:rPr>
          <w:b w:val="0"/>
          <w:bCs w:val="0"/>
        </w:rPr>
      </w:pPr>
      <w:r>
        <w:rPr>
          <w:rFonts w:ascii="Times New Roman" w:hAnsi="Times New Roman" w:cs="Times New Roman" w:eastAsia="Times New Roman" w:hint="default"/>
          <w:spacing w:val="-3"/>
        </w:rPr>
        <w:t>2</w:t>
      </w:r>
      <w:r>
        <w:rPr>
          <w:spacing w:val="-3"/>
        </w:rPr>
        <w:t>、公司本年因清算减少三级子公司</w:t>
      </w:r>
      <w:r>
        <w:rPr>
          <w:rFonts w:ascii="Times New Roman" w:hAnsi="Times New Roman" w:cs="Times New Roman" w:eastAsia="Times New Roman" w:hint="default"/>
          <w:spacing w:val="-3"/>
        </w:rPr>
        <w:t>RED</w:t>
      </w:r>
      <w:r>
        <w:rPr>
          <w:rFonts w:ascii="Times New Roman" w:hAnsi="Times New Roman" w:cs="Times New Roman" w:eastAsia="Times New Roman" w:hint="default"/>
          <w:spacing w:val="-9"/>
        </w:rPr>
        <w:t> </w:t>
      </w:r>
      <w:r>
        <w:rPr>
          <w:rFonts w:ascii="Times New Roman" w:hAnsi="Times New Roman" w:cs="Times New Roman" w:eastAsia="Times New Roman" w:hint="default"/>
        </w:rPr>
        <w:t>TRUST</w:t>
      </w:r>
      <w:r>
        <w:rPr>
          <w:rFonts w:ascii="Times New Roman" w:hAnsi="Times New Roman" w:cs="Times New Roman" w:eastAsia="Times New Roman" w:hint="default"/>
          <w:spacing w:val="-7"/>
        </w:rPr>
        <w:t> </w:t>
      </w:r>
      <w:r>
        <w:rPr>
          <w:rFonts w:ascii="Times New Roman" w:hAnsi="Times New Roman" w:cs="Times New Roman" w:eastAsia="Times New Roman" w:hint="default"/>
        </w:rPr>
        <w:t>SOFTWARE</w:t>
      </w:r>
      <w:r>
        <w:rPr>
          <w:rFonts w:ascii="Times New Roman" w:hAnsi="Times New Roman" w:cs="Times New Roman" w:eastAsia="Times New Roman" w:hint="default"/>
          <w:spacing w:val="-7"/>
        </w:rPr>
        <w:t> </w:t>
      </w:r>
      <w:r>
        <w:rPr>
          <w:rFonts w:ascii="Times New Roman" w:hAnsi="Times New Roman" w:cs="Times New Roman" w:eastAsia="Times New Roman" w:hint="default"/>
        </w:rPr>
        <w:t>AND</w:t>
      </w:r>
      <w:r>
        <w:rPr>
          <w:rFonts w:ascii="Times New Roman" w:hAnsi="Times New Roman" w:cs="Times New Roman" w:eastAsia="Times New Roman" w:hint="default"/>
          <w:spacing w:val="-7"/>
        </w:rPr>
        <w:t> </w:t>
      </w:r>
      <w:r>
        <w:rPr>
          <w:rFonts w:ascii="Times New Roman" w:hAnsi="Times New Roman" w:cs="Times New Roman" w:eastAsia="Times New Roman" w:hint="default"/>
        </w:rPr>
        <w:t>SERVICE</w:t>
      </w:r>
      <w:r>
        <w:rPr>
          <w:rFonts w:ascii="Times New Roman" w:hAnsi="Times New Roman" w:cs="Times New Roman" w:eastAsia="Times New Roman" w:hint="default"/>
          <w:spacing w:val="-7"/>
        </w:rPr>
        <w:t> </w:t>
      </w:r>
      <w:r>
        <w:rPr>
          <w:rFonts w:ascii="Times New Roman" w:hAnsi="Times New Roman" w:cs="Times New Roman" w:eastAsia="Times New Roman" w:hint="default"/>
        </w:rPr>
        <w:t>TECHNOLOGY COMPANY</w:t>
      </w:r>
      <w:r>
        <w:rPr>
          <w:rFonts w:ascii="Times New Roman" w:hAnsi="Times New Roman" w:cs="Times New Roman" w:eastAsia="Times New Roman" w:hint="default"/>
          <w:spacing w:val="-7"/>
        </w:rPr>
        <w:t> </w:t>
      </w:r>
      <w:r>
        <w:rPr>
          <w:rFonts w:ascii="Times New Roman" w:hAnsi="Times New Roman" w:cs="Times New Roman" w:eastAsia="Times New Roman" w:hint="default"/>
        </w:rPr>
        <w:t>LIMITED</w:t>
      </w:r>
      <w:r>
        <w:rPr/>
        <w:t>。</w:t>
      </w:r>
      <w:r>
        <w:rPr>
          <w:b w:val="0"/>
          <w:bCs w:val="0"/>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9"/>
        <w:rPr>
          <w:rFonts w:ascii="宋体" w:hAnsi="宋体" w:cs="宋体" w:eastAsia="宋体" w:hint="default"/>
          <w:b/>
          <w:bCs/>
          <w:sz w:val="13"/>
          <w:szCs w:val="13"/>
        </w:rPr>
      </w:pPr>
    </w:p>
    <w:p>
      <w:pPr>
        <w:pStyle w:val="Heading3"/>
        <w:spacing w:line="240" w:lineRule="auto"/>
        <w:ind w:right="0"/>
        <w:jc w:val="left"/>
        <w:rPr>
          <w:b w:val="0"/>
          <w:bCs w:val="0"/>
        </w:rPr>
      </w:pPr>
      <w:bookmarkStart w:name="6、其他" w:id="370"/>
      <w:bookmarkEnd w:id="370"/>
      <w:r>
        <w:rPr>
          <w:b w:val="0"/>
          <w:bCs w:val="0"/>
        </w:rPr>
      </w:r>
      <w:r>
        <w:rPr>
          <w:rFonts w:ascii="Times New Roman" w:hAnsi="Times New Roman" w:cs="Times New Roman" w:eastAsia="Times New Roman" w:hint="default"/>
        </w:rPr>
        <w:t>6</w:t>
      </w:r>
      <w:r>
        <w:rPr/>
        <w:t>、其他</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14" w:right="0"/>
        <w:jc w:val="left"/>
      </w:pPr>
      <w:r>
        <w:rPr/>
        <w:t>无。</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bookmarkStart w:name="九、在其他主体中的权益" w:id="371"/>
      <w:bookmarkEnd w:id="371"/>
      <w:r>
        <w:rPr>
          <w:b w:val="0"/>
          <w:bCs w:val="0"/>
        </w:rPr>
      </w:r>
      <w:r>
        <w:rPr/>
        <w:t>九、在其他主体中的权益</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在子公司中的权益" w:id="372"/>
      <w:bookmarkEnd w:id="372"/>
      <w:r>
        <w:rPr>
          <w:b w:val="0"/>
          <w:bCs w:val="0"/>
        </w:rPr>
      </w:r>
      <w:r>
        <w:rPr>
          <w:rFonts w:ascii="Times New Roman" w:hAnsi="Times New Roman" w:cs="Times New Roman" w:eastAsia="Times New Roman" w:hint="default"/>
        </w:rPr>
        <w:t>1</w:t>
      </w:r>
      <w:r>
        <w:rPr/>
        <w:t>、在子公司中的权益</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企业集团的构成" w:id="373"/>
      <w:bookmarkEnd w:id="373"/>
      <w:r>
        <w:rPr>
          <w:b w:val="0"/>
          <w:bCs w:val="0"/>
        </w:rPr>
      </w:r>
      <w:r>
        <w:rPr/>
        <w:t>（</w:t>
      </w:r>
      <w:r>
        <w:rPr>
          <w:rFonts w:ascii="Times New Roman" w:hAnsi="Times New Roman" w:cs="Times New Roman" w:eastAsia="Times New Roman" w:hint="default"/>
        </w:rPr>
        <w:t>1</w:t>
      </w:r>
      <w:r>
        <w:rPr/>
        <w:t>）企业集团的构成</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978"/>
        <w:gridCol w:w="993"/>
        <w:gridCol w:w="851"/>
        <w:gridCol w:w="1559"/>
        <w:gridCol w:w="710"/>
        <w:gridCol w:w="850"/>
        <w:gridCol w:w="1728"/>
      </w:tblGrid>
      <w:tr>
        <w:trPr>
          <w:trHeight w:val="402" w:hRule="exact"/>
        </w:trPr>
        <w:tc>
          <w:tcPr>
            <w:tcW w:w="297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9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40"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85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150"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5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413"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55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3"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72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497"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2" w:hRule="exact"/>
        </w:trPr>
        <w:tc>
          <w:tcPr>
            <w:tcW w:w="2978" w:type="dxa"/>
            <w:vMerge/>
            <w:tcBorders>
              <w:left w:val="single" w:sz="4" w:space="0" w:color="000000"/>
              <w:bottom w:val="single" w:sz="4" w:space="0" w:color="000000"/>
              <w:right w:val="single" w:sz="4" w:space="0" w:color="000000"/>
            </w:tcBorders>
            <w:shd w:val="clear" w:color="auto" w:fill="D2D2D2"/>
          </w:tcPr>
          <w:p>
            <w:pPr/>
          </w:p>
        </w:tc>
        <w:tc>
          <w:tcPr>
            <w:tcW w:w="993" w:type="dxa"/>
            <w:vMerge/>
            <w:tcBorders>
              <w:left w:val="single" w:sz="4" w:space="0" w:color="000000"/>
              <w:bottom w:val="single" w:sz="4" w:space="0" w:color="000000"/>
              <w:right w:val="single" w:sz="4" w:space="0" w:color="000000"/>
            </w:tcBorders>
            <w:shd w:val="clear" w:color="auto" w:fill="D2D2D2"/>
          </w:tcPr>
          <w:p>
            <w:pPr/>
          </w:p>
        </w:tc>
        <w:tc>
          <w:tcPr>
            <w:tcW w:w="851" w:type="dxa"/>
            <w:vMerge/>
            <w:tcBorders>
              <w:left w:val="single" w:sz="4" w:space="0" w:color="000000"/>
              <w:bottom w:val="single" w:sz="4" w:space="0" w:color="000000"/>
              <w:right w:val="single" w:sz="4" w:space="0" w:color="000000"/>
            </w:tcBorders>
            <w:shd w:val="clear" w:color="auto" w:fill="D2D2D2"/>
          </w:tcPr>
          <w:p>
            <w:pPr/>
          </w:p>
        </w:tc>
        <w:tc>
          <w:tcPr>
            <w:tcW w:w="1559" w:type="dxa"/>
            <w:vMerge/>
            <w:tcBorders>
              <w:left w:val="single" w:sz="4" w:space="0" w:color="000000"/>
              <w:bottom w:val="single" w:sz="4" w:space="0" w:color="000000"/>
              <w:right w:val="single" w:sz="4" w:space="0" w:color="000000"/>
            </w:tcBorders>
            <w:shd w:val="clear" w:color="auto" w:fill="D2D2D2"/>
          </w:tcPr>
          <w:p>
            <w:pPr/>
          </w:p>
        </w:tc>
        <w:tc>
          <w:tcPr>
            <w:tcW w:w="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9" w:right="0"/>
              <w:jc w:val="left"/>
              <w:rPr>
                <w:rFonts w:ascii="宋体" w:hAnsi="宋体" w:cs="宋体" w:eastAsia="宋体" w:hint="default"/>
                <w:sz w:val="18"/>
                <w:szCs w:val="18"/>
              </w:rPr>
            </w:pPr>
            <w:r>
              <w:rPr>
                <w:rFonts w:ascii="宋体" w:hAnsi="宋体" w:cs="宋体" w:eastAsia="宋体" w:hint="default"/>
                <w:sz w:val="18"/>
                <w:szCs w:val="18"/>
              </w:rPr>
              <w:t>直接</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0" w:right="0"/>
              <w:jc w:val="left"/>
              <w:rPr>
                <w:rFonts w:ascii="宋体" w:hAnsi="宋体" w:cs="宋体" w:eastAsia="宋体" w:hint="default"/>
                <w:sz w:val="18"/>
                <w:szCs w:val="18"/>
              </w:rPr>
            </w:pPr>
            <w:r>
              <w:rPr>
                <w:rFonts w:ascii="宋体" w:hAnsi="宋体" w:cs="宋体" w:eastAsia="宋体" w:hint="default"/>
                <w:sz w:val="18"/>
                <w:szCs w:val="18"/>
              </w:rPr>
              <w:t>间接</w:t>
            </w:r>
          </w:p>
        </w:tc>
        <w:tc>
          <w:tcPr>
            <w:tcW w:w="1728"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北京新媒传信科技有限公司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北京互联时代通讯科技有限公司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重庆新媒农信科技有限公司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重庆</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重庆</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重庆新媒亿网科技有限公司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重庆</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重庆</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2" w:right="0"/>
              <w:jc w:val="lef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重庆新迈峰科技有限公司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重庆</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重庆</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2" w:right="0"/>
              <w:jc w:val="lef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北京神州泰岳信息安全技术有限公司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北京神州泰岳系统集成有限公司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北京融聚世界网络科技有限公司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75.00%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spacing w:after="0" w:line="240" w:lineRule="auto"/>
        <w:jc w:val="left"/>
        <w:rPr>
          <w:rFonts w:ascii="宋体" w:hAnsi="宋体" w:cs="宋体" w:eastAsia="宋体" w:hint="default"/>
          <w:sz w:val="18"/>
          <w:szCs w:val="18"/>
        </w:rPr>
        <w:sectPr>
          <w:pgSz w:w="11910" w:h="16840"/>
          <w:pgMar w:header="851" w:footer="979" w:top="1400" w:bottom="1160" w:left="980" w:right="0"/>
        </w:sectPr>
      </w:pPr>
    </w:p>
    <w:tbl>
      <w:tblPr>
        <w:tblW w:w="0" w:type="auto"/>
        <w:jc w:val="left"/>
        <w:tblInd w:w="109" w:type="dxa"/>
        <w:tblLayout w:type="fixed"/>
        <w:tblCellMar>
          <w:top w:w="0" w:type="dxa"/>
          <w:left w:w="0" w:type="dxa"/>
          <w:bottom w:w="0" w:type="dxa"/>
          <w:right w:w="0" w:type="dxa"/>
        </w:tblCellMar>
        <w:tblLook w:val="01E0"/>
      </w:tblPr>
      <w:tblGrid>
        <w:gridCol w:w="2978"/>
        <w:gridCol w:w="993"/>
        <w:gridCol w:w="851"/>
        <w:gridCol w:w="1559"/>
        <w:gridCol w:w="710"/>
        <w:gridCol w:w="850"/>
        <w:gridCol w:w="1728"/>
      </w:tblGrid>
      <w:tr>
        <w:trPr>
          <w:trHeight w:val="414" w:hRule="exact"/>
        </w:trPr>
        <w:tc>
          <w:tcPr>
            <w:tcW w:w="297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宁波普天通信技术有限公司</w:t>
            </w:r>
          </w:p>
        </w:tc>
        <w:tc>
          <w:tcPr>
            <w:tcW w:w="99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宁波</w:t>
            </w:r>
          </w:p>
        </w:tc>
        <w:tc>
          <w:tcPr>
            <w:tcW w:w="85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宁波</w:t>
            </w:r>
          </w:p>
        </w:tc>
        <w:tc>
          <w:tcPr>
            <w:tcW w:w="155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2"/>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100.00%</w:t>
            </w:r>
          </w:p>
        </w:tc>
        <w:tc>
          <w:tcPr>
            <w:tcW w:w="850" w:type="dxa"/>
            <w:tcBorders>
              <w:top w:val="single" w:sz="10" w:space="0" w:color="000000"/>
              <w:left w:val="single" w:sz="4" w:space="0" w:color="000000"/>
              <w:bottom w:val="single" w:sz="4" w:space="0" w:color="000000"/>
              <w:right w:val="single" w:sz="4" w:space="0" w:color="000000"/>
            </w:tcBorders>
          </w:tcPr>
          <w:p>
            <w:pPr/>
          </w:p>
        </w:tc>
        <w:tc>
          <w:tcPr>
            <w:tcW w:w="172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2" w:right="0"/>
              <w:jc w:val="left"/>
              <w:rPr>
                <w:rFonts w:ascii="宋体" w:hAnsi="宋体" w:cs="宋体" w:eastAsia="宋体" w:hint="default"/>
                <w:sz w:val="18"/>
                <w:szCs w:val="18"/>
              </w:rPr>
            </w:pPr>
            <w:r>
              <w:rPr>
                <w:rFonts w:ascii="宋体" w:hAnsi="宋体" w:cs="宋体" w:eastAsia="宋体" w:hint="default"/>
                <w:sz w:val="18"/>
                <w:szCs w:val="18"/>
              </w:rPr>
              <w:t>宁波移畅通信设备有限公司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宁波</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宁波</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9"/>
              <w:jc w:val="righ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2" w:right="0"/>
              <w:jc w:val="left"/>
              <w:rPr>
                <w:rFonts w:ascii="宋体" w:hAnsi="宋体" w:cs="宋体" w:eastAsia="宋体" w:hint="default"/>
                <w:sz w:val="18"/>
                <w:szCs w:val="18"/>
              </w:rPr>
            </w:pPr>
            <w:r>
              <w:rPr>
                <w:rFonts w:ascii="宋体" w:hAnsi="宋体" w:cs="宋体" w:eastAsia="宋体" w:hint="default"/>
                <w:sz w:val="18"/>
                <w:szCs w:val="18"/>
              </w:rPr>
              <w:t>宁波金信通讯技术有限公司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宁波</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宁波</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9"/>
              <w:jc w:val="righ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2" w:right="0"/>
              <w:jc w:val="left"/>
              <w:rPr>
                <w:rFonts w:ascii="宋体" w:hAnsi="宋体" w:cs="宋体" w:eastAsia="宋体" w:hint="default"/>
                <w:sz w:val="18"/>
                <w:szCs w:val="18"/>
              </w:rPr>
            </w:pPr>
            <w:r>
              <w:rPr>
                <w:rFonts w:ascii="宋体" w:hAnsi="宋体" w:cs="宋体" w:eastAsia="宋体" w:hint="default"/>
                <w:sz w:val="18"/>
                <w:szCs w:val="18"/>
              </w:rPr>
              <w:t>宁波普天通信技术（香港）有限公司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
              <w:jc w:val="center"/>
              <w:rPr>
                <w:rFonts w:ascii="宋体" w:hAnsi="宋体" w:cs="宋体" w:eastAsia="宋体" w:hint="default"/>
                <w:sz w:val="18"/>
                <w:szCs w:val="18"/>
              </w:rPr>
            </w:pPr>
            <w:r>
              <w:rPr>
                <w:rFonts w:ascii="宋体" w:hAnsi="宋体" w:cs="宋体" w:eastAsia="宋体" w:hint="default"/>
                <w:sz w:val="18"/>
                <w:szCs w:val="18"/>
              </w:rPr>
              <w:t>香港</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
              <w:jc w:val="center"/>
              <w:rPr>
                <w:rFonts w:ascii="宋体" w:hAnsi="宋体" w:cs="宋体" w:eastAsia="宋体" w:hint="default"/>
                <w:sz w:val="18"/>
                <w:szCs w:val="18"/>
              </w:rPr>
            </w:pPr>
            <w:r>
              <w:rPr>
                <w:rFonts w:ascii="宋体" w:hAnsi="宋体" w:cs="宋体" w:eastAsia="宋体" w:hint="default"/>
                <w:sz w:val="18"/>
                <w:szCs w:val="18"/>
              </w:rPr>
              <w:t>香港</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9"/>
              <w:jc w:val="righ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2" w:right="0"/>
              <w:jc w:val="left"/>
              <w:rPr>
                <w:rFonts w:ascii="宋体" w:hAnsi="宋体" w:cs="宋体" w:eastAsia="宋体" w:hint="default"/>
                <w:sz w:val="18"/>
                <w:szCs w:val="18"/>
              </w:rPr>
            </w:pPr>
            <w:r>
              <w:rPr>
                <w:rFonts w:ascii="宋体" w:hAnsi="宋体" w:cs="宋体" w:eastAsia="宋体" w:hint="default"/>
                <w:sz w:val="18"/>
                <w:szCs w:val="18"/>
              </w:rPr>
              <w:t>宁波普金通信设备有限公司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宁波</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宁波</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1"/>
              <w:jc w:val="right"/>
              <w:rPr>
                <w:rFonts w:ascii="Times New Roman" w:hAnsi="Times New Roman" w:cs="Times New Roman" w:eastAsia="Times New Roman" w:hint="default"/>
                <w:sz w:val="18"/>
                <w:szCs w:val="18"/>
              </w:rPr>
            </w:pPr>
            <w:r>
              <w:rPr>
                <w:rFonts w:ascii="Times New Roman"/>
                <w:sz w:val="18"/>
              </w:rPr>
              <w:t>40.00%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9"/>
              <w:jc w:val="right"/>
              <w:rPr>
                <w:rFonts w:ascii="Times New Roman" w:hAnsi="Times New Roman" w:cs="Times New Roman" w:eastAsia="Times New Roman" w:hint="default"/>
                <w:sz w:val="18"/>
                <w:szCs w:val="18"/>
              </w:rPr>
            </w:pPr>
            <w:r>
              <w:rPr>
                <w:rFonts w:ascii="Times New Roman"/>
                <w:sz w:val="18"/>
              </w:rPr>
              <w:t>60.00%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2" w:right="0"/>
              <w:jc w:val="left"/>
              <w:rPr>
                <w:rFonts w:ascii="宋体" w:hAnsi="宋体" w:cs="宋体" w:eastAsia="宋体" w:hint="default"/>
                <w:sz w:val="18"/>
                <w:szCs w:val="18"/>
              </w:rPr>
            </w:pPr>
            <w:r>
              <w:rPr>
                <w:rFonts w:ascii="宋体" w:hAnsi="宋体" w:cs="宋体" w:eastAsia="宋体" w:hint="default"/>
                <w:sz w:val="18"/>
                <w:szCs w:val="18"/>
              </w:rPr>
              <w:t>宁波神州泰岳锐智信息科技有限公司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宁波</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宁波</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9"/>
              <w:jc w:val="right"/>
              <w:rPr>
                <w:rFonts w:ascii="Times New Roman" w:hAnsi="Times New Roman" w:cs="Times New Roman" w:eastAsia="Times New Roman" w:hint="default"/>
                <w:sz w:val="18"/>
                <w:szCs w:val="18"/>
              </w:rPr>
            </w:pPr>
            <w:r>
              <w:rPr>
                <w:rFonts w:ascii="Times New Roman"/>
                <w:sz w:val="18"/>
              </w:rPr>
              <w:t>65.00%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2" w:right="0"/>
              <w:jc w:val="left"/>
              <w:rPr>
                <w:rFonts w:ascii="宋体" w:hAnsi="宋体" w:cs="宋体" w:eastAsia="宋体" w:hint="default"/>
                <w:sz w:val="18"/>
                <w:szCs w:val="18"/>
              </w:rPr>
            </w:pPr>
            <w:r>
              <w:rPr>
                <w:rFonts w:ascii="宋体" w:hAnsi="宋体" w:cs="宋体" w:eastAsia="宋体" w:hint="default"/>
                <w:sz w:val="18"/>
                <w:szCs w:val="18"/>
              </w:rPr>
              <w:t>宁波高新区捷远科技有限公司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宁波</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宁波</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9"/>
              <w:jc w:val="righ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714"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7"/>
              <w:ind w:left="22" w:right="63"/>
              <w:jc w:val="left"/>
              <w:rPr>
                <w:rFonts w:ascii="宋体" w:hAnsi="宋体" w:cs="宋体" w:eastAsia="宋体" w:hint="default"/>
                <w:sz w:val="18"/>
                <w:szCs w:val="18"/>
              </w:rPr>
            </w:pPr>
            <w:r>
              <w:rPr>
                <w:rFonts w:ascii="宋体" w:hAnsi="宋体" w:cs="宋体" w:eastAsia="宋体" w:hint="default"/>
                <w:sz w:val="18"/>
                <w:szCs w:val="18"/>
              </w:rPr>
              <w:t>奇点新源国际技术开发（北京）有限 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69.88%</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2" w:right="0"/>
              <w:jc w:val="left"/>
              <w:rPr>
                <w:rFonts w:ascii="宋体" w:hAnsi="宋体" w:cs="宋体" w:eastAsia="宋体" w:hint="default"/>
                <w:sz w:val="18"/>
                <w:szCs w:val="18"/>
              </w:rPr>
            </w:pPr>
            <w:r>
              <w:rPr>
                <w:rFonts w:ascii="宋体" w:hAnsi="宋体" w:cs="宋体" w:eastAsia="宋体" w:hint="default"/>
                <w:sz w:val="18"/>
                <w:szCs w:val="18"/>
              </w:rPr>
              <w:t>北京神州泰岳智能数据技术有限公司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1"/>
              <w:jc w:val="right"/>
              <w:rPr>
                <w:rFonts w:ascii="Times New Roman" w:hAnsi="Times New Roman" w:cs="Times New Roman" w:eastAsia="Times New Roman" w:hint="default"/>
                <w:sz w:val="18"/>
                <w:szCs w:val="18"/>
              </w:rPr>
            </w:pPr>
            <w:r>
              <w:rPr>
                <w:rFonts w:ascii="Times New Roman"/>
                <w:sz w:val="18"/>
              </w:rPr>
              <w:t>85.00%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2" w:right="0"/>
              <w:jc w:val="left"/>
              <w:rPr>
                <w:rFonts w:ascii="宋体" w:hAnsi="宋体" w:cs="宋体" w:eastAsia="宋体" w:hint="default"/>
                <w:sz w:val="18"/>
                <w:szCs w:val="18"/>
              </w:rPr>
            </w:pPr>
            <w:r>
              <w:rPr>
                <w:rFonts w:ascii="宋体" w:hAnsi="宋体" w:cs="宋体" w:eastAsia="宋体" w:hint="default"/>
                <w:sz w:val="18"/>
                <w:szCs w:val="18"/>
              </w:rPr>
              <w:t>神州泰岳（香港）有限公司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香港</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香港</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1"/>
              <w:jc w:val="right"/>
              <w:rPr>
                <w:rFonts w:ascii="Times New Roman" w:hAnsi="Times New Roman" w:cs="Times New Roman" w:eastAsia="Times New Roman" w:hint="default"/>
                <w:sz w:val="18"/>
                <w:szCs w:val="18"/>
              </w:rPr>
            </w:pPr>
            <w:r>
              <w:rPr>
                <w:rFonts w:ascii="Times New Roman"/>
                <w:sz w:val="18"/>
              </w:rPr>
              <w:t>100.00%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2" w:right="0"/>
              <w:jc w:val="left"/>
              <w:rPr>
                <w:rFonts w:ascii="Times New Roman" w:hAnsi="Times New Roman" w:cs="Times New Roman" w:eastAsia="Times New Roman" w:hint="default"/>
                <w:sz w:val="18"/>
                <w:szCs w:val="18"/>
              </w:rPr>
            </w:pPr>
            <w:r>
              <w:rPr>
                <w:rFonts w:ascii="Times New Roman"/>
                <w:sz w:val="18"/>
              </w:rPr>
              <w:t>Bridge Minds Consulting Pte</w:t>
            </w:r>
            <w:r>
              <w:rPr>
                <w:rFonts w:ascii="Times New Roman"/>
                <w:spacing w:val="-5"/>
                <w:sz w:val="18"/>
              </w:rPr>
              <w:t> </w:t>
            </w:r>
            <w:r>
              <w:rPr>
                <w:rFonts w:ascii="Times New Roman"/>
                <w:sz w:val="18"/>
              </w:rPr>
              <w:t>Ltd</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新加坡</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
              <w:jc w:val="center"/>
              <w:rPr>
                <w:rFonts w:ascii="宋体" w:hAnsi="宋体" w:cs="宋体" w:eastAsia="宋体" w:hint="default"/>
                <w:sz w:val="18"/>
                <w:szCs w:val="18"/>
              </w:rPr>
            </w:pPr>
            <w:r>
              <w:rPr>
                <w:rFonts w:ascii="宋体" w:hAnsi="宋体" w:cs="宋体" w:eastAsia="宋体" w:hint="default"/>
                <w:sz w:val="18"/>
                <w:szCs w:val="18"/>
              </w:rPr>
              <w:t>新加坡</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9"/>
              <w:jc w:val="right"/>
              <w:rPr>
                <w:rFonts w:ascii="Times New Roman" w:hAnsi="Times New Roman" w:cs="Times New Roman" w:eastAsia="Times New Roman" w:hint="default"/>
                <w:sz w:val="18"/>
                <w:szCs w:val="18"/>
              </w:rPr>
            </w:pPr>
            <w:r>
              <w:rPr>
                <w:rFonts w:ascii="Times New Roman"/>
                <w:sz w:val="18"/>
              </w:rPr>
              <w:t>80.00%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北京泰岳智桥信息技术有限公司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9"/>
              <w:jc w:val="righ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天津壳木软件有限责任公司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天津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天津</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1"/>
              <w:jc w:val="right"/>
              <w:rPr>
                <w:rFonts w:ascii="Times New Roman" w:hAnsi="Times New Roman" w:cs="Times New Roman" w:eastAsia="Times New Roman" w:hint="default"/>
                <w:sz w:val="18"/>
                <w:szCs w:val="18"/>
              </w:rPr>
            </w:pPr>
            <w:r>
              <w:rPr>
                <w:rFonts w:ascii="Times New Roman"/>
                <w:sz w:val="18"/>
              </w:rPr>
              <w:t>100.00%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北京壳木软件有限责任公司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9"/>
              <w:jc w:val="righ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2" w:right="0"/>
              <w:jc w:val="left"/>
              <w:rPr>
                <w:rFonts w:ascii="Times New Roman" w:hAnsi="Times New Roman" w:cs="Times New Roman" w:eastAsia="Times New Roman" w:hint="default"/>
                <w:sz w:val="18"/>
                <w:szCs w:val="18"/>
              </w:rPr>
            </w:pPr>
            <w:r>
              <w:rPr>
                <w:rFonts w:ascii="Times New Roman"/>
                <w:sz w:val="18"/>
              </w:rPr>
              <w:t>CAMEL GAMES</w:t>
            </w:r>
            <w:r>
              <w:rPr>
                <w:rFonts w:ascii="Times New Roman"/>
                <w:spacing w:val="-8"/>
                <w:sz w:val="18"/>
              </w:rPr>
              <w:t> </w:t>
            </w:r>
            <w:r>
              <w:rPr>
                <w:rFonts w:ascii="Times New Roman"/>
                <w:sz w:val="18"/>
              </w:rPr>
              <w:t>LIMITED</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香港</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香港</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9"/>
              <w:jc w:val="righ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北京骆骆软件科技有限责任公司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9"/>
              <w:jc w:val="righ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7"/>
              <w:ind w:left="22" w:right="63"/>
              <w:jc w:val="left"/>
              <w:rPr>
                <w:rFonts w:ascii="宋体" w:hAnsi="宋体" w:cs="宋体" w:eastAsia="宋体" w:hint="default"/>
                <w:sz w:val="18"/>
                <w:szCs w:val="18"/>
              </w:rPr>
            </w:pPr>
            <w:r>
              <w:rPr>
                <w:rFonts w:ascii="宋体" w:hAnsi="宋体" w:cs="宋体" w:eastAsia="宋体" w:hint="default"/>
                <w:sz w:val="18"/>
                <w:szCs w:val="18"/>
              </w:rPr>
              <w:t>霍尔果斯小小橙软件开发有限责任公 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霍尔果斯</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霍尔果斯</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2" w:right="0"/>
              <w:jc w:val="left"/>
              <w:rPr>
                <w:rFonts w:ascii="Times New Roman" w:hAnsi="Times New Roman" w:cs="Times New Roman" w:eastAsia="Times New Roman" w:hint="default"/>
                <w:sz w:val="18"/>
                <w:szCs w:val="18"/>
              </w:rPr>
            </w:pPr>
            <w:r>
              <w:rPr>
                <w:rFonts w:ascii="Times New Roman"/>
                <w:sz w:val="18"/>
              </w:rPr>
              <w:t>CAMEL GAMES</w:t>
            </w:r>
            <w:r>
              <w:rPr>
                <w:rFonts w:ascii="Times New Roman"/>
                <w:spacing w:val="-8"/>
                <w:sz w:val="18"/>
              </w:rPr>
              <w:t> </w:t>
            </w:r>
            <w:r>
              <w:rPr>
                <w:rFonts w:ascii="Times New Roman"/>
                <w:sz w:val="18"/>
              </w:rPr>
              <w:t>INC.</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美国</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美国</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9"/>
              <w:jc w:val="righ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天津安纳西科技有限公司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天津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天津</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9"/>
              <w:jc w:val="righ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北京安纳西科技有限公司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9"/>
              <w:jc w:val="righ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北京安纳西互娱科技有限公司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9"/>
              <w:jc w:val="righ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霍尔果斯于艺网络科技有限公司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霍尔果斯</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霍尔果斯</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9"/>
              <w:jc w:val="righ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天津泰岳小漫科技有限公司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天津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天津</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1"/>
              <w:jc w:val="right"/>
              <w:rPr>
                <w:rFonts w:ascii="Times New Roman" w:hAnsi="Times New Roman" w:cs="Times New Roman" w:eastAsia="Times New Roman" w:hint="default"/>
                <w:sz w:val="18"/>
                <w:szCs w:val="18"/>
              </w:rPr>
            </w:pPr>
            <w:r>
              <w:rPr>
                <w:rFonts w:ascii="Times New Roman"/>
                <w:sz w:val="18"/>
              </w:rPr>
              <w:t>51.00%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北京小漫科技有限公司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9"/>
              <w:jc w:val="righ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泰岳小漫（香港）有限公司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香港</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香港</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9"/>
              <w:jc w:val="righ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北京广通神州网络技术有限公司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1"/>
              <w:jc w:val="right"/>
              <w:rPr>
                <w:rFonts w:ascii="Times New Roman" w:hAnsi="Times New Roman" w:cs="Times New Roman" w:eastAsia="Times New Roman" w:hint="default"/>
                <w:sz w:val="18"/>
                <w:szCs w:val="18"/>
              </w:rPr>
            </w:pPr>
            <w:r>
              <w:rPr>
                <w:rFonts w:ascii="Times New Roman"/>
                <w:sz w:val="18"/>
              </w:rPr>
              <w:t>100.00%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广州短讯神州网络技术有限公司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广州</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广州</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9"/>
              <w:jc w:val="righ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苏州短讯神州网络技术有限公司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苏州</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苏州</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9"/>
              <w:jc w:val="righ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北京神州祥升软件有限公司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1"/>
              <w:jc w:val="right"/>
              <w:rPr>
                <w:rFonts w:ascii="Times New Roman" w:hAnsi="Times New Roman" w:cs="Times New Roman" w:eastAsia="Times New Roman" w:hint="default"/>
                <w:sz w:val="18"/>
                <w:szCs w:val="18"/>
              </w:rPr>
            </w:pPr>
            <w:r>
              <w:rPr>
                <w:rFonts w:ascii="Times New Roman"/>
                <w:sz w:val="18"/>
              </w:rPr>
              <w:t>100.00%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北京浩宇纵横科技有限公司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9"/>
              <w:jc w:val="righ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中科鼎富（北京）科技发展有限公司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1"/>
              <w:jc w:val="right"/>
              <w:rPr>
                <w:rFonts w:ascii="Times New Roman" w:hAnsi="Times New Roman" w:cs="Times New Roman" w:eastAsia="Times New Roman" w:hint="default"/>
                <w:sz w:val="18"/>
                <w:szCs w:val="18"/>
              </w:rPr>
            </w:pPr>
            <w:r>
              <w:rPr>
                <w:rFonts w:ascii="Times New Roman"/>
                <w:sz w:val="18"/>
              </w:rPr>
              <w:t>100.00%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上海奔耀信息科技有限公司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上海</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上海</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9"/>
              <w:jc w:val="righ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广州市奔耀信息科技有限公司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广州</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
              <w:jc w:val="center"/>
              <w:rPr>
                <w:rFonts w:ascii="宋体" w:hAnsi="宋体" w:cs="宋体" w:eastAsia="宋体" w:hint="default"/>
                <w:sz w:val="18"/>
                <w:szCs w:val="18"/>
              </w:rPr>
            </w:pPr>
            <w:r>
              <w:rPr>
                <w:rFonts w:ascii="宋体" w:hAnsi="宋体" w:cs="宋体" w:eastAsia="宋体" w:hint="default"/>
                <w:sz w:val="18"/>
                <w:szCs w:val="18"/>
              </w:rPr>
              <w:t>广州</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1"/>
              <w:jc w:val="center"/>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9"/>
              <w:jc w:val="right"/>
              <w:rPr>
                <w:rFonts w:ascii="Times New Roman" w:hAnsi="Times New Roman" w:cs="Times New Roman" w:eastAsia="Times New Roman" w:hint="default"/>
                <w:sz w:val="18"/>
                <w:szCs w:val="18"/>
              </w:rPr>
            </w:pPr>
            <w:r>
              <w:rPr>
                <w:rFonts w:ascii="Times New Roman"/>
                <w:sz w:val="18"/>
              </w:rPr>
              <w:t>100.00%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bl>
    <w:p>
      <w:pPr>
        <w:spacing w:after="0" w:line="240" w:lineRule="auto"/>
        <w:jc w:val="left"/>
        <w:rPr>
          <w:rFonts w:ascii="宋体" w:hAnsi="宋体" w:cs="宋体" w:eastAsia="宋体" w:hint="default"/>
          <w:sz w:val="18"/>
          <w:szCs w:val="18"/>
        </w:rPr>
        <w:sectPr>
          <w:pgSz w:w="11910" w:h="16840"/>
          <w:pgMar w:header="851" w:footer="979" w:top="1440" w:bottom="1160" w:left="1020" w:right="0"/>
        </w:sectPr>
      </w:pPr>
    </w:p>
    <w:p>
      <w:pPr>
        <w:spacing w:line="240" w:lineRule="auto" w:before="6"/>
        <w:rPr>
          <w:rFonts w:ascii="宋体" w:hAnsi="宋体" w:cs="宋体" w:eastAsia="宋体" w:hint="default"/>
          <w:b/>
          <w:bCs/>
          <w:sz w:val="2"/>
          <w:szCs w:val="2"/>
        </w:rPr>
      </w:pPr>
    </w:p>
    <w:tbl>
      <w:tblPr>
        <w:tblW w:w="0" w:type="auto"/>
        <w:jc w:val="left"/>
        <w:tblInd w:w="109" w:type="dxa"/>
        <w:tblLayout w:type="fixed"/>
        <w:tblCellMar>
          <w:top w:w="0" w:type="dxa"/>
          <w:left w:w="0" w:type="dxa"/>
          <w:bottom w:w="0" w:type="dxa"/>
          <w:right w:w="0" w:type="dxa"/>
        </w:tblCellMar>
        <w:tblLook w:val="01E0"/>
      </w:tblPr>
      <w:tblGrid>
        <w:gridCol w:w="2978"/>
        <w:gridCol w:w="993"/>
        <w:gridCol w:w="851"/>
        <w:gridCol w:w="1559"/>
        <w:gridCol w:w="710"/>
        <w:gridCol w:w="850"/>
        <w:gridCol w:w="1728"/>
      </w:tblGrid>
      <w:tr>
        <w:trPr>
          <w:trHeight w:val="414" w:hRule="exact"/>
        </w:trPr>
        <w:tc>
          <w:tcPr>
            <w:tcW w:w="297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北京华泰德丰技术有限公司</w:t>
            </w:r>
          </w:p>
        </w:tc>
        <w:tc>
          <w:tcPr>
            <w:tcW w:w="99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left="310"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left="240"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Times New Roman" w:hAnsi="Times New Roman" w:cs="Times New Roman" w:eastAsia="Times New Roman" w:hint="default"/>
                <w:sz w:val="18"/>
                <w:szCs w:val="18"/>
              </w:rPr>
            </w:pPr>
            <w:r>
              <w:rPr>
                <w:rFonts w:ascii="Times New Roman"/>
                <w:sz w:val="18"/>
              </w:rPr>
              <w:t>70.00%</w:t>
            </w:r>
          </w:p>
        </w:tc>
        <w:tc>
          <w:tcPr>
            <w:tcW w:w="850" w:type="dxa"/>
            <w:tcBorders>
              <w:top w:val="single" w:sz="10" w:space="0" w:color="000000"/>
              <w:left w:val="single" w:sz="4" w:space="0" w:color="000000"/>
              <w:bottom w:val="single" w:sz="4" w:space="0" w:color="000000"/>
              <w:right w:val="single" w:sz="4" w:space="0" w:color="000000"/>
            </w:tcBorders>
          </w:tcPr>
          <w:p>
            <w:pPr/>
          </w:p>
        </w:tc>
        <w:tc>
          <w:tcPr>
            <w:tcW w:w="172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714"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63"/>
              <w:jc w:val="left"/>
              <w:rPr>
                <w:rFonts w:ascii="宋体" w:hAnsi="宋体" w:cs="宋体" w:eastAsia="宋体" w:hint="default"/>
                <w:sz w:val="18"/>
                <w:szCs w:val="18"/>
              </w:rPr>
            </w:pPr>
            <w:r>
              <w:rPr>
                <w:rFonts w:ascii="宋体" w:hAnsi="宋体" w:cs="宋体" w:eastAsia="宋体" w:hint="default"/>
                <w:sz w:val="18"/>
                <w:szCs w:val="18"/>
              </w:rPr>
              <w:t>深圳市前海泰岳梧桐投资基金管理有 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310"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40"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投资管理</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非同一控制下合并</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北京神州泰核物联网技术有限公司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310"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0"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75.00%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北京泰岳睿安科技有限公司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310"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0"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75.00%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北京慧联神州科技有限公司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310"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0"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75.00%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北京神州智核信息技术有限公司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310"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0"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75.00%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横琴神州泰奇互动科技有限公司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310"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0"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62" w:right="0"/>
              <w:jc w:val="left"/>
              <w:rPr>
                <w:rFonts w:ascii="Times New Roman" w:hAnsi="Times New Roman" w:cs="Times New Roman" w:eastAsia="Times New Roman" w:hint="default"/>
                <w:sz w:val="18"/>
                <w:szCs w:val="18"/>
              </w:rPr>
            </w:pPr>
            <w:r>
              <w:rPr>
                <w:rFonts w:ascii="Times New Roman"/>
                <w:sz w:val="18"/>
              </w:rPr>
              <w:t>55.00%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安徽省泰岳祥升软件有限公司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合肥</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北京泰岳阳光科技有限公司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神州泰岳（香港）发展有限公司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新疆神州泰岳智能科技有限公司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乌鲁木齐</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乌鲁木齐</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75%</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北京泰岳宏光科技发展有限公司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55%</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西藏神州泰岳智能科技有限公司</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拉萨</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拉萨</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计算机应用服务业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100%</w:t>
            </w:r>
          </w:p>
        </w:tc>
        <w:tc>
          <w:tcPr>
            <w:tcW w:w="850" w:type="dxa"/>
            <w:tcBorders>
              <w:top w:val="single" w:sz="4" w:space="0" w:color="000000"/>
              <w:left w:val="single" w:sz="4" w:space="0" w:color="000000"/>
              <w:bottom w:val="single" w:sz="4" w:space="0" w:color="000000"/>
              <w:right w:val="single" w:sz="4" w:space="0" w:color="000000"/>
            </w:tcBorders>
          </w:tcPr>
          <w:p>
            <w:pP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spacing w:line="240" w:lineRule="auto" w:before="2"/>
        <w:rPr>
          <w:rFonts w:ascii="宋体" w:hAnsi="宋体" w:cs="宋体" w:eastAsia="宋体" w:hint="default"/>
          <w:b/>
          <w:bCs/>
          <w:sz w:val="19"/>
          <w:szCs w:val="19"/>
        </w:rPr>
      </w:pPr>
    </w:p>
    <w:p>
      <w:pPr>
        <w:pStyle w:val="Heading3"/>
        <w:spacing w:line="240" w:lineRule="auto" w:before="35"/>
        <w:ind w:left="114" w:right="1276"/>
        <w:jc w:val="left"/>
        <w:rPr>
          <w:b w:val="0"/>
          <w:bCs w:val="0"/>
        </w:rPr>
      </w:pPr>
      <w:bookmarkStart w:name="（2）重要的非全资子公司" w:id="374"/>
      <w:bookmarkEnd w:id="374"/>
      <w:r>
        <w:rPr>
          <w:b w:val="0"/>
          <w:bCs w:val="0"/>
        </w:rPr>
      </w:r>
      <w:r>
        <w:rPr/>
        <w:t>（</w:t>
      </w:r>
      <w:r>
        <w:rPr>
          <w:rFonts w:ascii="Times New Roman" w:hAnsi="Times New Roman" w:cs="Times New Roman" w:eastAsia="Times New Roman" w:hint="default"/>
        </w:rPr>
        <w:t>2</w:t>
      </w:r>
      <w:r>
        <w:rPr/>
        <w:t>）重要的非全资子公司</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917"/>
        <w:gridCol w:w="1914"/>
        <w:gridCol w:w="1914"/>
        <w:gridCol w:w="1913"/>
        <w:gridCol w:w="1913"/>
      </w:tblGrid>
      <w:tr>
        <w:trPr>
          <w:trHeight w:val="765" w:hRule="exact"/>
        </w:trPr>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503"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少数股东持股比例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7"/>
              <w:ind w:left="771" w:right="50" w:hanging="720"/>
              <w:jc w:val="left"/>
              <w:rPr>
                <w:rFonts w:ascii="宋体" w:hAnsi="宋体" w:cs="宋体" w:eastAsia="宋体" w:hint="default"/>
                <w:sz w:val="18"/>
                <w:szCs w:val="18"/>
              </w:rPr>
            </w:pPr>
            <w:r>
              <w:rPr>
                <w:rFonts w:ascii="宋体" w:hAnsi="宋体" w:cs="宋体" w:eastAsia="宋体" w:hint="default"/>
                <w:sz w:val="18"/>
                <w:szCs w:val="18"/>
              </w:rPr>
              <w:t>本期归属于少数股东的 损益</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7"/>
              <w:ind w:left="591" w:right="51" w:hanging="540"/>
              <w:jc w:val="left"/>
              <w:rPr>
                <w:rFonts w:ascii="宋体" w:hAnsi="宋体" w:cs="宋体" w:eastAsia="宋体" w:hint="default"/>
                <w:sz w:val="18"/>
                <w:szCs w:val="18"/>
              </w:rPr>
            </w:pPr>
            <w:r>
              <w:rPr>
                <w:rFonts w:ascii="宋体" w:hAnsi="宋体" w:cs="宋体" w:eastAsia="宋体" w:hint="default"/>
                <w:sz w:val="18"/>
                <w:szCs w:val="18"/>
              </w:rPr>
              <w:t>本期向少数股东宣告分 派的股利</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49"/>
              <w:jc w:val="right"/>
              <w:rPr>
                <w:rFonts w:ascii="宋体" w:hAnsi="宋体" w:cs="宋体" w:eastAsia="宋体" w:hint="default"/>
                <w:sz w:val="18"/>
                <w:szCs w:val="18"/>
              </w:rPr>
            </w:pPr>
            <w:r>
              <w:rPr>
                <w:rFonts w:ascii="宋体" w:hAnsi="宋体" w:cs="宋体" w:eastAsia="宋体" w:hint="default"/>
                <w:sz w:val="18"/>
                <w:szCs w:val="18"/>
              </w:rPr>
              <w:t>期末少数股东权益余额</w:t>
            </w:r>
          </w:p>
        </w:tc>
      </w:tr>
      <w:tr>
        <w:trPr>
          <w:trHeight w:val="714" w:hRule="exact"/>
        </w:trPr>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奇点新源国际技术开发</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（北京）有限公司</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30.12%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6,022,975.52</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-1,346,291.45</w:t>
            </w:r>
          </w:p>
        </w:tc>
      </w:tr>
      <w:tr>
        <w:trPr>
          <w:trHeight w:val="714" w:hRule="exact"/>
        </w:trPr>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82"/>
              <w:jc w:val="left"/>
              <w:rPr>
                <w:rFonts w:ascii="宋体" w:hAnsi="宋体" w:cs="宋体" w:eastAsia="宋体" w:hint="default"/>
                <w:sz w:val="18"/>
                <w:szCs w:val="18"/>
              </w:rPr>
            </w:pPr>
            <w:r>
              <w:rPr>
                <w:rFonts w:ascii="宋体" w:hAnsi="宋体" w:cs="宋体" w:eastAsia="宋体" w:hint="default"/>
                <w:sz w:val="18"/>
                <w:szCs w:val="18"/>
              </w:rPr>
              <w:t>天津泰岳小漫科技有限 公司</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49.00%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8,122,930.56</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14,932,364.83</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3）重要非全资子公司的主要财务信息" w:id="375"/>
      <w:bookmarkEnd w:id="375"/>
      <w:r>
        <w:rPr>
          <w:b w:val="0"/>
          <w:bCs w:val="0"/>
        </w:rPr>
      </w:r>
      <w:r>
        <w:rPr/>
        <w:t>（</w:t>
      </w:r>
      <w:r>
        <w:rPr>
          <w:rFonts w:ascii="Times New Roman" w:hAnsi="Times New Roman" w:cs="Times New Roman" w:eastAsia="Times New Roman" w:hint="default"/>
        </w:rPr>
        <w:t>3</w:t>
      </w:r>
      <w:r>
        <w:rPr/>
        <w:t>）重要非全资子公司的主要财务信息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736"/>
        <w:gridCol w:w="737"/>
        <w:gridCol w:w="736"/>
        <w:gridCol w:w="736"/>
        <w:gridCol w:w="737"/>
        <w:gridCol w:w="735"/>
        <w:gridCol w:w="736"/>
        <w:gridCol w:w="734"/>
        <w:gridCol w:w="736"/>
        <w:gridCol w:w="735"/>
        <w:gridCol w:w="737"/>
        <w:gridCol w:w="737"/>
        <w:gridCol w:w="736"/>
      </w:tblGrid>
      <w:tr>
        <w:trPr>
          <w:trHeight w:val="401" w:hRule="exact"/>
        </w:trPr>
        <w:tc>
          <w:tcPr>
            <w:tcW w:w="7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82" w:right="93" w:hanging="90"/>
              <w:jc w:val="left"/>
              <w:rPr>
                <w:rFonts w:ascii="宋体" w:hAnsi="宋体" w:cs="宋体" w:eastAsia="宋体" w:hint="default"/>
                <w:sz w:val="18"/>
                <w:szCs w:val="18"/>
              </w:rPr>
            </w:pPr>
            <w:r>
              <w:rPr>
                <w:rFonts w:ascii="宋体" w:hAnsi="宋体" w:cs="宋体" w:eastAsia="宋体" w:hint="default"/>
                <w:sz w:val="18"/>
                <w:szCs w:val="18"/>
              </w:rPr>
              <w:t>子公司 名称</w:t>
            </w:r>
          </w:p>
        </w:tc>
        <w:tc>
          <w:tcPr>
            <w:tcW w:w="4415"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414"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714" w:hRule="exact"/>
        </w:trPr>
        <w:tc>
          <w:tcPr>
            <w:tcW w:w="736" w:type="dxa"/>
            <w:vMerge/>
            <w:tcBorders>
              <w:left w:val="single" w:sz="4" w:space="0" w:color="000000"/>
              <w:bottom w:val="single" w:sz="4" w:space="0" w:color="000000"/>
              <w:right w:val="single" w:sz="4" w:space="0" w:color="000000"/>
            </w:tcBorders>
            <w:shd w:val="clear" w:color="auto" w:fill="D2D2D2"/>
          </w:tcPr>
          <w:p>
            <w:pP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73" w:right="91"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82" w:right="91" w:hanging="90"/>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72" w:right="91"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73" w:right="91"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82" w:right="90" w:hanging="90"/>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72" w:right="91" w:hanging="180"/>
              <w:jc w:val="left"/>
              <w:rPr>
                <w:rFonts w:ascii="宋体" w:hAnsi="宋体" w:cs="宋体" w:eastAsia="宋体" w:hint="default"/>
                <w:sz w:val="18"/>
                <w:szCs w:val="18"/>
              </w:rPr>
            </w:pPr>
            <w:r>
              <w:rPr>
                <w:rFonts w:ascii="宋体" w:hAnsi="宋体" w:cs="宋体" w:eastAsia="宋体" w:hint="default"/>
                <w:sz w:val="18"/>
                <w:szCs w:val="18"/>
              </w:rPr>
              <w:t>负债合 计</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72" w:right="90"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82" w:right="91" w:hanging="90"/>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72" w:right="90"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73" w:right="91"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83" w:right="91" w:hanging="90"/>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72" w:right="91" w:hanging="180"/>
              <w:jc w:val="left"/>
              <w:rPr>
                <w:rFonts w:ascii="宋体" w:hAnsi="宋体" w:cs="宋体" w:eastAsia="宋体" w:hint="default"/>
                <w:sz w:val="18"/>
                <w:szCs w:val="18"/>
              </w:rPr>
            </w:pPr>
            <w:r>
              <w:rPr>
                <w:rFonts w:ascii="宋体" w:hAnsi="宋体" w:cs="宋体" w:eastAsia="宋体" w:hint="default"/>
                <w:sz w:val="18"/>
                <w:szCs w:val="18"/>
              </w:rPr>
              <w:t>负债合 计</w:t>
            </w:r>
          </w:p>
        </w:tc>
      </w:tr>
      <w:tr>
        <w:trPr>
          <w:trHeight w:val="1962"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1"/>
              <w:jc w:val="left"/>
              <w:rPr>
                <w:rFonts w:ascii="宋体" w:hAnsi="宋体" w:cs="宋体" w:eastAsia="宋体" w:hint="default"/>
                <w:sz w:val="18"/>
                <w:szCs w:val="18"/>
              </w:rPr>
            </w:pPr>
            <w:r>
              <w:rPr>
                <w:rFonts w:ascii="宋体" w:hAnsi="宋体" w:cs="宋体" w:eastAsia="宋体" w:hint="default"/>
                <w:sz w:val="18"/>
                <w:szCs w:val="18"/>
              </w:rPr>
              <w:t>奇点新 源国际 技术开 发（北 </w:t>
            </w:r>
            <w:r>
              <w:rPr>
                <w:rFonts w:ascii="宋体" w:hAnsi="宋体" w:cs="宋体" w:eastAsia="宋体" w:hint="default"/>
                <w:spacing w:val="-10"/>
                <w:sz w:val="18"/>
                <w:szCs w:val="18"/>
              </w:rPr>
              <w:t>京）有限</w:t>
            </w:r>
            <w:r>
              <w:rPr>
                <w:rFonts w:ascii="宋体" w:hAnsi="宋体" w:cs="宋体" w:eastAsia="宋体" w:hint="default"/>
                <w:sz w:val="18"/>
                <w:szCs w:val="18"/>
              </w:rPr>
              <w:t> 公司</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102,071,</w:t>
            </w:r>
          </w:p>
          <w:p>
            <w:pPr>
              <w:pStyle w:val="TableParagraph"/>
              <w:spacing w:line="240" w:lineRule="auto" w:before="105"/>
              <w:ind w:left="188" w:right="0"/>
              <w:jc w:val="center"/>
              <w:rPr>
                <w:rFonts w:ascii="Times New Roman" w:hAnsi="Times New Roman" w:cs="Times New Roman" w:eastAsia="Times New Roman" w:hint="default"/>
                <w:sz w:val="18"/>
                <w:szCs w:val="18"/>
              </w:rPr>
            </w:pPr>
            <w:r>
              <w:rPr>
                <w:rFonts w:ascii="Times New Roman"/>
                <w:sz w:val="18"/>
              </w:rPr>
              <w:t>863.84</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73" w:right="0"/>
              <w:jc w:val="left"/>
              <w:rPr>
                <w:rFonts w:ascii="Times New Roman" w:hAnsi="Times New Roman" w:cs="Times New Roman" w:eastAsia="Times New Roman" w:hint="default"/>
                <w:sz w:val="18"/>
                <w:szCs w:val="18"/>
              </w:rPr>
            </w:pPr>
            <w:r>
              <w:rPr>
                <w:rFonts w:ascii="Times New Roman"/>
                <w:sz w:val="18"/>
              </w:rPr>
              <w:t>75,071,2</w:t>
            </w:r>
          </w:p>
          <w:p>
            <w:pPr>
              <w:pStyle w:val="TableParagraph"/>
              <w:spacing w:line="240" w:lineRule="auto" w:before="105"/>
              <w:ind w:left="298" w:right="0"/>
              <w:jc w:val="left"/>
              <w:rPr>
                <w:rFonts w:ascii="Times New Roman" w:hAnsi="Times New Roman" w:cs="Times New Roman" w:eastAsia="Times New Roman" w:hint="default"/>
                <w:sz w:val="18"/>
                <w:szCs w:val="18"/>
              </w:rPr>
            </w:pPr>
            <w:r>
              <w:rPr>
                <w:rFonts w:ascii="Times New Roman"/>
                <w:sz w:val="18"/>
              </w:rPr>
              <w:t>14.04</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50" w:right="0"/>
              <w:jc w:val="center"/>
              <w:rPr>
                <w:rFonts w:ascii="Times New Roman" w:hAnsi="Times New Roman" w:cs="Times New Roman" w:eastAsia="Times New Roman" w:hint="default"/>
                <w:sz w:val="18"/>
                <w:szCs w:val="18"/>
              </w:rPr>
            </w:pPr>
            <w:r>
              <w:rPr>
                <w:rFonts w:ascii="Times New Roman"/>
                <w:sz w:val="18"/>
              </w:rPr>
              <w:t>177,143,</w:t>
            </w:r>
          </w:p>
          <w:p>
            <w:pPr>
              <w:pStyle w:val="TableParagraph"/>
              <w:spacing w:line="240" w:lineRule="auto" w:before="105"/>
              <w:ind w:left="186" w:right="0"/>
              <w:jc w:val="center"/>
              <w:rPr>
                <w:rFonts w:ascii="Times New Roman" w:hAnsi="Times New Roman" w:cs="Times New Roman" w:eastAsia="Times New Roman" w:hint="default"/>
                <w:sz w:val="18"/>
                <w:szCs w:val="18"/>
              </w:rPr>
            </w:pPr>
            <w:r>
              <w:rPr>
                <w:rFonts w:ascii="Times New Roman"/>
                <w:sz w:val="18"/>
              </w:rPr>
              <w:t>077.88</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175,401,</w:t>
            </w:r>
          </w:p>
          <w:p>
            <w:pPr>
              <w:pStyle w:val="TableParagraph"/>
              <w:spacing w:line="240" w:lineRule="auto" w:before="105"/>
              <w:ind w:left="188" w:right="0"/>
              <w:jc w:val="center"/>
              <w:rPr>
                <w:rFonts w:ascii="Times New Roman" w:hAnsi="Times New Roman" w:cs="Times New Roman" w:eastAsia="Times New Roman" w:hint="default"/>
                <w:sz w:val="18"/>
                <w:szCs w:val="18"/>
              </w:rPr>
            </w:pPr>
            <w:r>
              <w:rPr>
                <w:rFonts w:ascii="Times New Roman"/>
                <w:sz w:val="18"/>
              </w:rPr>
              <w:t>847.94</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6,210,98</w:t>
            </w:r>
          </w:p>
          <w:p>
            <w:pPr>
              <w:pStyle w:val="TableParagraph"/>
              <w:spacing w:line="240" w:lineRule="auto" w:before="105"/>
              <w:ind w:left="387" w:right="0"/>
              <w:jc w:val="left"/>
              <w:rPr>
                <w:rFonts w:ascii="Times New Roman" w:hAnsi="Times New Roman" w:cs="Times New Roman" w:eastAsia="Times New Roman" w:hint="default"/>
                <w:sz w:val="18"/>
                <w:szCs w:val="18"/>
              </w:rPr>
            </w:pPr>
            <w:r>
              <w:rPr>
                <w:rFonts w:ascii="Times New Roman"/>
                <w:sz w:val="18"/>
              </w:rPr>
              <w:t>9.06</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181,612,</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837.00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23,688,5</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80.53</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55,267,2</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06.02</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78,955,7</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86.55</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101,648,</w:t>
            </w:r>
          </w:p>
          <w:p>
            <w:pPr>
              <w:pStyle w:val="TableParagraph"/>
              <w:spacing w:line="240" w:lineRule="auto" w:before="105"/>
              <w:ind w:left="188" w:right="0"/>
              <w:jc w:val="center"/>
              <w:rPr>
                <w:rFonts w:ascii="Times New Roman" w:hAnsi="Times New Roman" w:cs="Times New Roman" w:eastAsia="Times New Roman" w:hint="default"/>
                <w:sz w:val="18"/>
                <w:szCs w:val="18"/>
              </w:rPr>
            </w:pPr>
            <w:r>
              <w:rPr>
                <w:rFonts w:ascii="Times New Roman"/>
                <w:sz w:val="18"/>
              </w:rPr>
              <w:t>833.14</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1,773,31</w:t>
            </w:r>
          </w:p>
          <w:p>
            <w:pPr>
              <w:pStyle w:val="TableParagraph"/>
              <w:spacing w:line="240" w:lineRule="auto" w:before="105"/>
              <w:ind w:left="389" w:right="0"/>
              <w:jc w:val="left"/>
              <w:rPr>
                <w:rFonts w:ascii="Times New Roman" w:hAnsi="Times New Roman" w:cs="Times New Roman" w:eastAsia="Times New Roman" w:hint="default"/>
                <w:sz w:val="18"/>
                <w:szCs w:val="18"/>
              </w:rPr>
            </w:pPr>
            <w:r>
              <w:rPr>
                <w:rFonts w:ascii="Times New Roman"/>
                <w:sz w:val="18"/>
              </w:rPr>
              <w:t>1.20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50" w:right="0"/>
              <w:jc w:val="center"/>
              <w:rPr>
                <w:rFonts w:ascii="Times New Roman" w:hAnsi="Times New Roman" w:cs="Times New Roman" w:eastAsia="Times New Roman" w:hint="default"/>
                <w:sz w:val="18"/>
                <w:szCs w:val="18"/>
              </w:rPr>
            </w:pPr>
            <w:r>
              <w:rPr>
                <w:rFonts w:ascii="Times New Roman"/>
                <w:sz w:val="18"/>
              </w:rPr>
              <w:t>103,422,</w:t>
            </w:r>
          </w:p>
          <w:p>
            <w:pPr>
              <w:pStyle w:val="TableParagraph"/>
              <w:spacing w:line="240" w:lineRule="auto" w:before="105"/>
              <w:ind w:left="186" w:right="0"/>
              <w:jc w:val="center"/>
              <w:rPr>
                <w:rFonts w:ascii="Times New Roman" w:hAnsi="Times New Roman" w:cs="Times New Roman" w:eastAsia="Times New Roman" w:hint="default"/>
                <w:sz w:val="18"/>
                <w:szCs w:val="18"/>
              </w:rPr>
            </w:pPr>
            <w:r>
              <w:rPr>
                <w:rFonts w:ascii="Times New Roman"/>
                <w:sz w:val="18"/>
              </w:rPr>
              <w:t>144.34</w:t>
            </w:r>
          </w:p>
        </w:tc>
      </w:tr>
      <w:tr>
        <w:trPr>
          <w:trHeight w:val="403"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天津泰</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74" w:right="0"/>
              <w:jc w:val="left"/>
              <w:rPr>
                <w:rFonts w:ascii="Times New Roman" w:hAnsi="Times New Roman" w:cs="Times New Roman" w:eastAsia="Times New Roman" w:hint="default"/>
                <w:sz w:val="18"/>
                <w:szCs w:val="18"/>
              </w:rPr>
            </w:pPr>
            <w:r>
              <w:rPr>
                <w:rFonts w:ascii="Times New Roman"/>
                <w:sz w:val="18"/>
              </w:rPr>
              <w:t>44,056,6</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73" w:right="0"/>
              <w:jc w:val="left"/>
              <w:rPr>
                <w:rFonts w:ascii="Times New Roman" w:hAnsi="Times New Roman" w:cs="Times New Roman" w:eastAsia="Times New Roman" w:hint="default"/>
                <w:sz w:val="18"/>
                <w:szCs w:val="18"/>
              </w:rPr>
            </w:pPr>
            <w:r>
              <w:rPr>
                <w:rFonts w:ascii="Times New Roman"/>
                <w:sz w:val="18"/>
              </w:rPr>
              <w:t>3,623,73</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73" w:right="0"/>
              <w:jc w:val="left"/>
              <w:rPr>
                <w:rFonts w:ascii="Times New Roman" w:hAnsi="Times New Roman" w:cs="Times New Roman" w:eastAsia="Times New Roman" w:hint="default"/>
                <w:sz w:val="18"/>
                <w:szCs w:val="18"/>
              </w:rPr>
            </w:pPr>
            <w:r>
              <w:rPr>
                <w:rFonts w:ascii="Times New Roman"/>
                <w:sz w:val="18"/>
              </w:rPr>
              <w:t>47,680,4</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74" w:right="0"/>
              <w:jc w:val="left"/>
              <w:rPr>
                <w:rFonts w:ascii="Times New Roman" w:hAnsi="Times New Roman" w:cs="Times New Roman" w:eastAsia="Times New Roman" w:hint="default"/>
                <w:sz w:val="18"/>
                <w:szCs w:val="18"/>
              </w:rPr>
            </w:pPr>
            <w:r>
              <w:rPr>
                <w:rFonts w:ascii="Times New Roman"/>
                <w:sz w:val="18"/>
              </w:rPr>
              <w:t>17,206,2</w:t>
            </w:r>
          </w:p>
        </w:tc>
        <w:tc>
          <w:tcPr>
            <w:tcW w:w="735"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71" w:right="0"/>
              <w:jc w:val="left"/>
              <w:rPr>
                <w:rFonts w:ascii="Times New Roman" w:hAnsi="Times New Roman" w:cs="Times New Roman" w:eastAsia="Times New Roman" w:hint="default"/>
                <w:sz w:val="18"/>
                <w:szCs w:val="18"/>
              </w:rPr>
            </w:pPr>
            <w:r>
              <w:rPr>
                <w:rFonts w:ascii="Times New Roman"/>
                <w:sz w:val="18"/>
              </w:rPr>
              <w:t>17,206,2</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71" w:right="0"/>
              <w:jc w:val="left"/>
              <w:rPr>
                <w:rFonts w:ascii="Times New Roman" w:hAnsi="Times New Roman" w:cs="Times New Roman" w:eastAsia="Times New Roman" w:hint="default"/>
                <w:sz w:val="18"/>
                <w:szCs w:val="18"/>
              </w:rPr>
            </w:pPr>
            <w:r>
              <w:rPr>
                <w:rFonts w:ascii="Times New Roman"/>
                <w:sz w:val="18"/>
              </w:rPr>
              <w:t>20,271,7</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71" w:right="0"/>
              <w:jc w:val="left"/>
              <w:rPr>
                <w:rFonts w:ascii="Times New Roman" w:hAnsi="Times New Roman" w:cs="Times New Roman" w:eastAsia="Times New Roman" w:hint="default"/>
                <w:sz w:val="18"/>
                <w:szCs w:val="18"/>
              </w:rPr>
            </w:pPr>
            <w:r>
              <w:rPr>
                <w:rFonts w:ascii="Times New Roman"/>
                <w:sz w:val="18"/>
              </w:rPr>
              <w:t>3,793,17</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71" w:right="0"/>
              <w:jc w:val="left"/>
              <w:rPr>
                <w:rFonts w:ascii="Times New Roman" w:hAnsi="Times New Roman" w:cs="Times New Roman" w:eastAsia="Times New Roman" w:hint="default"/>
                <w:sz w:val="18"/>
                <w:szCs w:val="18"/>
              </w:rPr>
            </w:pPr>
            <w:r>
              <w:rPr>
                <w:rFonts w:ascii="Times New Roman"/>
                <w:sz w:val="18"/>
              </w:rPr>
              <w:t>24,064,9</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74" w:right="0"/>
              <w:jc w:val="left"/>
              <w:rPr>
                <w:rFonts w:ascii="Times New Roman" w:hAnsi="Times New Roman" w:cs="Times New Roman" w:eastAsia="Times New Roman" w:hint="default"/>
                <w:sz w:val="18"/>
                <w:szCs w:val="18"/>
              </w:rPr>
            </w:pPr>
            <w:r>
              <w:rPr>
                <w:rFonts w:ascii="Times New Roman"/>
                <w:sz w:val="18"/>
              </w:rPr>
              <w:t>10,354,5</w:t>
            </w: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73" w:right="0"/>
              <w:jc w:val="left"/>
              <w:rPr>
                <w:rFonts w:ascii="Times New Roman" w:hAnsi="Times New Roman" w:cs="Times New Roman" w:eastAsia="Times New Roman" w:hint="default"/>
                <w:sz w:val="18"/>
                <w:szCs w:val="18"/>
              </w:rPr>
            </w:pPr>
            <w:r>
              <w:rPr>
                <w:rFonts w:ascii="Times New Roman"/>
                <w:sz w:val="18"/>
              </w:rPr>
              <w:t>10,354,5</w:t>
            </w:r>
          </w:p>
        </w:tc>
      </w:tr>
    </w:tbl>
    <w:p>
      <w:pPr>
        <w:spacing w:after="0" w:line="240" w:lineRule="auto"/>
        <w:jc w:val="left"/>
        <w:rPr>
          <w:rFonts w:ascii="Times New Roman" w:hAnsi="Times New Roman" w:cs="Times New Roman" w:eastAsia="Times New Roman" w:hint="default"/>
          <w:sz w:val="18"/>
          <w:szCs w:val="18"/>
        </w:rPr>
        <w:sectPr>
          <w:pgSz w:w="11910" w:h="16840"/>
          <w:pgMar w:header="851" w:footer="979" w:top="1400" w:bottom="1160" w:left="1020" w:right="0"/>
        </w:sectPr>
      </w:pPr>
    </w:p>
    <w:p>
      <w:pPr>
        <w:spacing w:line="240" w:lineRule="auto" w:before="6"/>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736"/>
        <w:gridCol w:w="737"/>
        <w:gridCol w:w="736"/>
        <w:gridCol w:w="736"/>
        <w:gridCol w:w="737"/>
        <w:gridCol w:w="735"/>
        <w:gridCol w:w="736"/>
        <w:gridCol w:w="734"/>
        <w:gridCol w:w="736"/>
        <w:gridCol w:w="735"/>
        <w:gridCol w:w="737"/>
        <w:gridCol w:w="737"/>
        <w:gridCol w:w="736"/>
      </w:tblGrid>
      <w:tr>
        <w:trPr>
          <w:trHeight w:val="998" w:hRule="exact"/>
        </w:trPr>
        <w:tc>
          <w:tcPr>
            <w:tcW w:w="736" w:type="dxa"/>
            <w:tcBorders>
              <w:top w:val="single" w:sz="10" w:space="0" w:color="000000"/>
              <w:left w:val="single" w:sz="4" w:space="0" w:color="000000"/>
              <w:bottom w:val="single" w:sz="4" w:space="0" w:color="000000"/>
              <w:right w:val="single" w:sz="4" w:space="0" w:color="000000"/>
            </w:tcBorders>
          </w:tcPr>
          <w:p>
            <w:pPr>
              <w:pStyle w:val="TableParagraph"/>
              <w:spacing w:line="319" w:lineRule="auto" w:before="16"/>
              <w:ind w:left="22" w:right="161"/>
              <w:jc w:val="both"/>
              <w:rPr>
                <w:rFonts w:ascii="宋体" w:hAnsi="宋体" w:cs="宋体" w:eastAsia="宋体" w:hint="default"/>
                <w:sz w:val="18"/>
                <w:szCs w:val="18"/>
              </w:rPr>
            </w:pPr>
            <w:r>
              <w:rPr>
                <w:rFonts w:ascii="宋体" w:hAnsi="宋体" w:cs="宋体" w:eastAsia="宋体" w:hint="default"/>
                <w:sz w:val="18"/>
                <w:szCs w:val="18"/>
              </w:rPr>
              <w:t>岳小漫 科技有 限公司</w:t>
            </w:r>
          </w:p>
        </w:tc>
        <w:tc>
          <w:tcPr>
            <w:tcW w:w="73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left="299" w:right="0"/>
              <w:jc w:val="left"/>
              <w:rPr>
                <w:rFonts w:ascii="Times New Roman" w:hAnsi="Times New Roman" w:cs="Times New Roman" w:eastAsia="Times New Roman" w:hint="default"/>
                <w:sz w:val="18"/>
                <w:szCs w:val="18"/>
              </w:rPr>
            </w:pPr>
            <w:r>
              <w:rPr>
                <w:rFonts w:ascii="Times New Roman"/>
                <w:sz w:val="18"/>
              </w:rPr>
              <w:t>96.82</w:t>
            </w:r>
          </w:p>
        </w:tc>
        <w:tc>
          <w:tcPr>
            <w:tcW w:w="73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left="388" w:right="0"/>
              <w:jc w:val="left"/>
              <w:rPr>
                <w:rFonts w:ascii="Times New Roman" w:hAnsi="Times New Roman" w:cs="Times New Roman" w:eastAsia="Times New Roman" w:hint="default"/>
                <w:sz w:val="18"/>
                <w:szCs w:val="18"/>
              </w:rPr>
            </w:pPr>
            <w:r>
              <w:rPr>
                <w:rFonts w:ascii="Times New Roman"/>
                <w:sz w:val="18"/>
              </w:rPr>
              <w:t>9.97</w:t>
            </w:r>
          </w:p>
        </w:tc>
        <w:tc>
          <w:tcPr>
            <w:tcW w:w="73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left="298" w:right="0"/>
              <w:jc w:val="left"/>
              <w:rPr>
                <w:rFonts w:ascii="Times New Roman" w:hAnsi="Times New Roman" w:cs="Times New Roman" w:eastAsia="Times New Roman" w:hint="default"/>
                <w:sz w:val="18"/>
                <w:szCs w:val="18"/>
              </w:rPr>
            </w:pPr>
            <w:r>
              <w:rPr>
                <w:rFonts w:ascii="Times New Roman"/>
                <w:sz w:val="18"/>
              </w:rPr>
              <w:t>36.79</w:t>
            </w:r>
          </w:p>
        </w:tc>
        <w:tc>
          <w:tcPr>
            <w:tcW w:w="73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left="299" w:right="0"/>
              <w:jc w:val="left"/>
              <w:rPr>
                <w:rFonts w:ascii="Times New Roman" w:hAnsi="Times New Roman" w:cs="Times New Roman" w:eastAsia="Times New Roman" w:hint="default"/>
                <w:sz w:val="18"/>
                <w:szCs w:val="18"/>
              </w:rPr>
            </w:pPr>
            <w:r>
              <w:rPr>
                <w:rFonts w:ascii="Times New Roman"/>
                <w:sz w:val="18"/>
              </w:rPr>
              <w:t>22.86</w:t>
            </w:r>
          </w:p>
        </w:tc>
        <w:tc>
          <w:tcPr>
            <w:tcW w:w="735" w:type="dxa"/>
            <w:tcBorders>
              <w:top w:val="single" w:sz="10" w:space="0" w:color="000000"/>
              <w:left w:val="single" w:sz="4" w:space="0" w:color="000000"/>
              <w:bottom w:val="single" w:sz="4" w:space="0" w:color="000000"/>
              <w:right w:val="single" w:sz="4" w:space="0" w:color="000000"/>
            </w:tcBorders>
          </w:tcPr>
          <w:p>
            <w:pPr/>
          </w:p>
        </w:tc>
        <w:tc>
          <w:tcPr>
            <w:tcW w:w="73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left="297" w:right="0"/>
              <w:jc w:val="left"/>
              <w:rPr>
                <w:rFonts w:ascii="Times New Roman" w:hAnsi="Times New Roman" w:cs="Times New Roman" w:eastAsia="Times New Roman" w:hint="default"/>
                <w:sz w:val="18"/>
                <w:szCs w:val="18"/>
              </w:rPr>
            </w:pPr>
            <w:r>
              <w:rPr>
                <w:rFonts w:ascii="Times New Roman"/>
                <w:sz w:val="18"/>
              </w:rPr>
              <w:t>22.86</w:t>
            </w:r>
          </w:p>
        </w:tc>
        <w:tc>
          <w:tcPr>
            <w:tcW w:w="73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left="297" w:right="0"/>
              <w:jc w:val="left"/>
              <w:rPr>
                <w:rFonts w:ascii="Times New Roman" w:hAnsi="Times New Roman" w:cs="Times New Roman" w:eastAsia="Times New Roman" w:hint="default"/>
                <w:sz w:val="18"/>
                <w:szCs w:val="18"/>
              </w:rPr>
            </w:pPr>
            <w:r>
              <w:rPr>
                <w:rFonts w:ascii="Times New Roman"/>
                <w:sz w:val="18"/>
              </w:rPr>
              <w:t>55.45</w:t>
            </w:r>
          </w:p>
        </w:tc>
        <w:tc>
          <w:tcPr>
            <w:tcW w:w="73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left="387" w:right="0"/>
              <w:jc w:val="left"/>
              <w:rPr>
                <w:rFonts w:ascii="Times New Roman" w:hAnsi="Times New Roman" w:cs="Times New Roman" w:eastAsia="Times New Roman" w:hint="default"/>
                <w:sz w:val="18"/>
                <w:szCs w:val="18"/>
              </w:rPr>
            </w:pPr>
            <w:r>
              <w:rPr>
                <w:rFonts w:ascii="Times New Roman"/>
                <w:sz w:val="18"/>
              </w:rPr>
              <w:t>6.39</w:t>
            </w:r>
          </w:p>
        </w:tc>
        <w:tc>
          <w:tcPr>
            <w:tcW w:w="735"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left="297" w:right="0"/>
              <w:jc w:val="left"/>
              <w:rPr>
                <w:rFonts w:ascii="Times New Roman" w:hAnsi="Times New Roman" w:cs="Times New Roman" w:eastAsia="Times New Roman" w:hint="default"/>
                <w:sz w:val="18"/>
                <w:szCs w:val="18"/>
              </w:rPr>
            </w:pPr>
            <w:r>
              <w:rPr>
                <w:rFonts w:ascii="Times New Roman"/>
                <w:sz w:val="18"/>
              </w:rPr>
              <w:t>31.84</w:t>
            </w:r>
          </w:p>
        </w:tc>
        <w:tc>
          <w:tcPr>
            <w:tcW w:w="73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left="299" w:right="0"/>
              <w:jc w:val="left"/>
              <w:rPr>
                <w:rFonts w:ascii="Times New Roman" w:hAnsi="Times New Roman" w:cs="Times New Roman" w:eastAsia="Times New Roman" w:hint="default"/>
                <w:sz w:val="18"/>
                <w:szCs w:val="18"/>
              </w:rPr>
            </w:pPr>
            <w:r>
              <w:rPr>
                <w:rFonts w:ascii="Times New Roman"/>
                <w:sz w:val="18"/>
              </w:rPr>
              <w:t>70.18</w:t>
            </w:r>
          </w:p>
        </w:tc>
        <w:tc>
          <w:tcPr>
            <w:tcW w:w="737" w:type="dxa"/>
            <w:tcBorders>
              <w:top w:val="single" w:sz="10" w:space="0" w:color="000000"/>
              <w:left w:val="single" w:sz="4" w:space="0" w:color="000000"/>
              <w:bottom w:val="single" w:sz="4" w:space="0" w:color="000000"/>
              <w:right w:val="single" w:sz="4" w:space="0" w:color="000000"/>
            </w:tcBorders>
          </w:tcPr>
          <w:p>
            <w:pPr/>
          </w:p>
        </w:tc>
        <w:tc>
          <w:tcPr>
            <w:tcW w:w="73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left="298" w:right="0"/>
              <w:jc w:val="left"/>
              <w:rPr>
                <w:rFonts w:ascii="Times New Roman" w:hAnsi="Times New Roman" w:cs="Times New Roman" w:eastAsia="Times New Roman" w:hint="default"/>
                <w:sz w:val="18"/>
                <w:szCs w:val="18"/>
              </w:rPr>
            </w:pPr>
            <w:r>
              <w:rPr>
                <w:rFonts w:ascii="Times New Roman"/>
                <w:sz w:val="18"/>
              </w:rPr>
              <w:t>70.18</w:t>
            </w:r>
          </w:p>
        </w:tc>
      </w:tr>
    </w:tbl>
    <w:p>
      <w:pPr>
        <w:pStyle w:val="BodyText"/>
        <w:spacing w:line="240" w:lineRule="auto" w:before="51"/>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29" w:type="dxa"/>
        <w:tblLayout w:type="fixed"/>
        <w:tblCellMar>
          <w:top w:w="0" w:type="dxa"/>
          <w:left w:w="0" w:type="dxa"/>
          <w:bottom w:w="0" w:type="dxa"/>
          <w:right w:w="0" w:type="dxa"/>
        </w:tblCellMar>
        <w:tblLook w:val="01E0"/>
      </w:tblPr>
      <w:tblGrid>
        <w:gridCol w:w="1061"/>
        <w:gridCol w:w="1061"/>
        <w:gridCol w:w="1062"/>
        <w:gridCol w:w="1066"/>
        <w:gridCol w:w="1064"/>
        <w:gridCol w:w="1063"/>
        <w:gridCol w:w="1064"/>
        <w:gridCol w:w="1063"/>
        <w:gridCol w:w="1066"/>
      </w:tblGrid>
      <w:tr>
        <w:trPr>
          <w:trHeight w:val="402" w:hRule="exact"/>
        </w:trPr>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75"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4253"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1061" w:type="dxa"/>
            <w:vMerge/>
            <w:tcBorders>
              <w:left w:val="single" w:sz="4" w:space="0" w:color="000000"/>
              <w:bottom w:val="single" w:sz="4" w:space="0" w:color="000000"/>
              <w:right w:val="single" w:sz="4" w:space="0" w:color="000000"/>
            </w:tcBorders>
            <w:shd w:val="clear" w:color="auto" w:fill="D2D2D2"/>
          </w:tcPr>
          <w:p>
            <w:pP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37" w:right="76"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56" w:right="77"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净利润</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35" w:right="77"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57" w:right="77"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r>
      <w:tr>
        <w:trPr>
          <w:trHeight w:val="1338"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6"/>
              <w:jc w:val="left"/>
              <w:rPr>
                <w:rFonts w:ascii="宋体" w:hAnsi="宋体" w:cs="宋体" w:eastAsia="宋体" w:hint="default"/>
                <w:sz w:val="18"/>
                <w:szCs w:val="18"/>
              </w:rPr>
            </w:pPr>
            <w:r>
              <w:rPr>
                <w:rFonts w:ascii="宋体" w:hAnsi="宋体" w:cs="宋体" w:eastAsia="宋体" w:hint="default"/>
                <w:sz w:val="18"/>
                <w:szCs w:val="18"/>
              </w:rPr>
              <w:t>奇点新源国 际技术开发</w:t>
            </w:r>
          </w:p>
          <w:p>
            <w:pPr>
              <w:pStyle w:val="TableParagraph"/>
              <w:spacing w:line="319" w:lineRule="auto" w:before="19"/>
              <w:ind w:left="22" w:right="21"/>
              <w:jc w:val="left"/>
              <w:rPr>
                <w:rFonts w:ascii="宋体" w:hAnsi="宋体" w:cs="宋体" w:eastAsia="宋体" w:hint="default"/>
                <w:sz w:val="18"/>
                <w:szCs w:val="18"/>
              </w:rPr>
            </w:pPr>
            <w:r>
              <w:rPr>
                <w:rFonts w:ascii="宋体" w:hAnsi="宋体" w:cs="宋体" w:eastAsia="宋体" w:hint="default"/>
                <w:spacing w:val="-13"/>
                <w:sz w:val="18"/>
                <w:szCs w:val="18"/>
              </w:rPr>
              <w:t>（北京）有限</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94,558,097.1</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19,996,598.6</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7</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19,996,598.6</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7</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36,790,516.1</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13,993,285.3</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-19,338,154.5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-19,338,154.5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8</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6" w:right="0"/>
              <w:jc w:val="center"/>
              <w:rPr>
                <w:rFonts w:ascii="Times New Roman" w:hAnsi="Times New Roman" w:cs="Times New Roman" w:eastAsia="Times New Roman" w:hint="default"/>
                <w:sz w:val="18"/>
                <w:szCs w:val="18"/>
              </w:rPr>
            </w:pPr>
            <w:r>
              <w:rPr>
                <w:rFonts w:ascii="Times New Roman"/>
                <w:sz w:val="18"/>
              </w:rPr>
              <w:t>-8,413,918.33</w:t>
            </w:r>
          </w:p>
        </w:tc>
      </w:tr>
      <w:tr>
        <w:trPr>
          <w:trHeight w:val="1026"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6"/>
              <w:jc w:val="both"/>
              <w:rPr>
                <w:rFonts w:ascii="宋体" w:hAnsi="宋体" w:cs="宋体" w:eastAsia="宋体" w:hint="default"/>
                <w:sz w:val="18"/>
                <w:szCs w:val="18"/>
              </w:rPr>
            </w:pPr>
            <w:r>
              <w:rPr>
                <w:rFonts w:ascii="宋体" w:hAnsi="宋体" w:cs="宋体" w:eastAsia="宋体" w:hint="default"/>
                <w:sz w:val="18"/>
                <w:szCs w:val="18"/>
              </w:rPr>
              <w:t>天津泰岳小 漫科技有限 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83,400,250.1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16,577,409.3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16,577,409.3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16,551,894.8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42,166,676.2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1" w:right="0"/>
              <w:jc w:val="center"/>
              <w:rPr>
                <w:rFonts w:ascii="Times New Roman" w:hAnsi="Times New Roman" w:cs="Times New Roman" w:eastAsia="Times New Roman" w:hint="default"/>
                <w:sz w:val="18"/>
                <w:szCs w:val="18"/>
              </w:rPr>
            </w:pPr>
            <w:r>
              <w:rPr>
                <w:rFonts w:ascii="Times New Roman"/>
                <w:sz w:val="18"/>
              </w:rPr>
              <w:t>6,604,657.56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6,604,657.56</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6" w:right="0"/>
              <w:jc w:val="center"/>
              <w:rPr>
                <w:rFonts w:ascii="Times New Roman" w:hAnsi="Times New Roman" w:cs="Times New Roman" w:eastAsia="Times New Roman" w:hint="default"/>
                <w:sz w:val="18"/>
                <w:szCs w:val="18"/>
              </w:rPr>
            </w:pPr>
            <w:r>
              <w:rPr>
                <w:rFonts w:ascii="Times New Roman"/>
                <w:sz w:val="18"/>
              </w:rPr>
              <w:t>3,252,275.32</w:t>
            </w:r>
          </w:p>
        </w:tc>
      </w:tr>
    </w:tbl>
    <w:p>
      <w:pPr>
        <w:spacing w:line="240" w:lineRule="auto" w:before="2"/>
        <w:rPr>
          <w:rFonts w:ascii="宋体" w:hAnsi="宋体" w:cs="宋体" w:eastAsia="宋体" w:hint="default"/>
          <w:sz w:val="19"/>
          <w:szCs w:val="19"/>
        </w:rPr>
      </w:pPr>
    </w:p>
    <w:p>
      <w:pPr>
        <w:pStyle w:val="Heading3"/>
        <w:spacing w:line="240" w:lineRule="auto" w:before="35"/>
        <w:ind w:left="134" w:right="1032"/>
        <w:jc w:val="left"/>
        <w:rPr>
          <w:b w:val="0"/>
          <w:bCs w:val="0"/>
        </w:rPr>
      </w:pPr>
      <w:bookmarkStart w:name="2、在子公司的所有者权益份额发生变化且仍控制子公司的交易" w:id="376"/>
      <w:bookmarkEnd w:id="376"/>
      <w:r>
        <w:rPr>
          <w:b w:val="0"/>
          <w:bCs w:val="0"/>
        </w:rPr>
      </w:r>
      <w:r>
        <w:rPr>
          <w:rFonts w:ascii="Times New Roman" w:hAnsi="Times New Roman" w:cs="Times New Roman" w:eastAsia="Times New Roman" w:hint="default"/>
        </w:rPr>
        <w:t>2</w:t>
      </w:r>
      <w:r>
        <w:rPr/>
        <w:t>、在子公司的所有者权益份额发生变化且仍控制子公司的交易</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494" w:right="7680"/>
        <w:jc w:val="left"/>
      </w:pPr>
      <w:r>
        <w:rPr/>
        <w:t>无。</w:t>
      </w:r>
    </w:p>
    <w:p>
      <w:pPr>
        <w:spacing w:line="240" w:lineRule="auto" w:before="11"/>
        <w:rPr>
          <w:rFonts w:ascii="宋体" w:hAnsi="宋体" w:cs="宋体" w:eastAsia="宋体" w:hint="default"/>
          <w:sz w:val="26"/>
          <w:szCs w:val="26"/>
        </w:rPr>
      </w:pPr>
    </w:p>
    <w:p>
      <w:pPr>
        <w:pStyle w:val="Heading3"/>
        <w:spacing w:line="240" w:lineRule="auto"/>
        <w:ind w:left="134" w:right="1032"/>
        <w:jc w:val="left"/>
        <w:rPr>
          <w:b w:val="0"/>
          <w:bCs w:val="0"/>
        </w:rPr>
      </w:pPr>
      <w:bookmarkStart w:name="3、在合营安排或联营企业中的权益" w:id="377"/>
      <w:bookmarkEnd w:id="377"/>
      <w:r>
        <w:rPr>
          <w:b w:val="0"/>
          <w:bCs w:val="0"/>
        </w:rPr>
      </w:r>
      <w:r>
        <w:rPr>
          <w:rFonts w:ascii="Times New Roman" w:hAnsi="Times New Roman" w:cs="Times New Roman" w:eastAsia="Times New Roman" w:hint="default"/>
        </w:rPr>
        <w:t>3</w:t>
      </w:r>
      <w:r>
        <w:rPr/>
        <w:t>、在合营安排或联营企业中的权益</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34" w:right="1032"/>
        <w:jc w:val="left"/>
        <w:rPr>
          <w:b w:val="0"/>
          <w:bCs w:val="0"/>
        </w:rPr>
      </w:pPr>
      <w:bookmarkStart w:name="（1）重要的合营企业或联营企业" w:id="378"/>
      <w:bookmarkEnd w:id="378"/>
      <w:r>
        <w:rPr>
          <w:b w:val="0"/>
          <w:bCs w:val="0"/>
        </w:rPr>
      </w:r>
      <w:r>
        <w:rPr/>
        <w:t>（</w:t>
      </w:r>
      <w:r>
        <w:rPr>
          <w:rFonts w:ascii="Times New Roman" w:hAnsi="Times New Roman" w:cs="Times New Roman" w:eastAsia="Times New Roman" w:hint="default"/>
        </w:rPr>
        <w:t>1</w:t>
      </w:r>
      <w:r>
        <w:rPr/>
        <w:t>）重要的合营企业或联营企业</w:t>
      </w:r>
      <w:r>
        <w:rPr>
          <w:b w:val="0"/>
          <w:bCs w:val="0"/>
        </w:rPr>
      </w:r>
    </w:p>
    <w:p>
      <w:pPr>
        <w:spacing w:line="240" w:lineRule="auto" w:before="10"/>
        <w:rPr>
          <w:rFonts w:ascii="宋体" w:hAnsi="宋体" w:cs="宋体" w:eastAsia="宋体" w:hint="default"/>
          <w:b/>
          <w:bCs/>
          <w:sz w:val="25"/>
          <w:szCs w:val="25"/>
        </w:rPr>
      </w:pPr>
    </w:p>
    <w:tbl>
      <w:tblPr>
        <w:tblW w:w="0" w:type="auto"/>
        <w:jc w:val="left"/>
        <w:tblInd w:w="129" w:type="dxa"/>
        <w:tblLayout w:type="fixed"/>
        <w:tblCellMar>
          <w:top w:w="0" w:type="dxa"/>
          <w:left w:w="0" w:type="dxa"/>
          <w:bottom w:w="0" w:type="dxa"/>
          <w:right w:w="0" w:type="dxa"/>
        </w:tblCellMar>
        <w:tblLook w:val="01E0"/>
      </w:tblPr>
      <w:tblGrid>
        <w:gridCol w:w="2268"/>
        <w:gridCol w:w="1134"/>
        <w:gridCol w:w="1134"/>
        <w:gridCol w:w="1418"/>
        <w:gridCol w:w="1276"/>
        <w:gridCol w:w="976"/>
        <w:gridCol w:w="1366"/>
      </w:tblGrid>
      <w:tr>
        <w:trPr>
          <w:trHeight w:val="402" w:hRule="exact"/>
        </w:trPr>
        <w:tc>
          <w:tcPr>
            <w:tcW w:w="22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38" w:right="0"/>
              <w:jc w:val="left"/>
              <w:rPr>
                <w:rFonts w:ascii="宋体" w:hAnsi="宋体" w:cs="宋体" w:eastAsia="宋体" w:hint="default"/>
                <w:sz w:val="18"/>
                <w:szCs w:val="18"/>
              </w:rPr>
            </w:pPr>
            <w:r>
              <w:rPr>
                <w:rFonts w:ascii="宋体" w:hAnsi="宋体" w:cs="宋体" w:eastAsia="宋体" w:hint="default"/>
                <w:sz w:val="18"/>
                <w:szCs w:val="18"/>
              </w:rPr>
              <w:t>合营企业或联营企业名称</w:t>
            </w:r>
          </w:p>
        </w:tc>
        <w:tc>
          <w:tcPr>
            <w:tcW w:w="113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11"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13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91"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41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343"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25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47" w:right="47"/>
              <w:jc w:val="center"/>
              <w:rPr>
                <w:rFonts w:ascii="宋体" w:hAnsi="宋体" w:cs="宋体" w:eastAsia="宋体" w:hint="default"/>
                <w:sz w:val="18"/>
                <w:szCs w:val="18"/>
              </w:rPr>
            </w:pPr>
            <w:r>
              <w:rPr>
                <w:rFonts w:ascii="宋体" w:hAnsi="宋体" w:cs="宋体" w:eastAsia="宋体" w:hint="default"/>
                <w:sz w:val="18"/>
                <w:szCs w:val="18"/>
              </w:rPr>
              <w:t>对合营企业或联 营企业投资的会 计处理方法</w:t>
            </w:r>
          </w:p>
        </w:tc>
      </w:tr>
      <w:tr>
        <w:trPr>
          <w:trHeight w:val="623" w:hRule="exact"/>
        </w:trPr>
        <w:tc>
          <w:tcPr>
            <w:tcW w:w="2268" w:type="dxa"/>
            <w:vMerge/>
            <w:tcBorders>
              <w:left w:val="single" w:sz="4" w:space="0" w:color="000000"/>
              <w:bottom w:val="single" w:sz="4" w:space="0" w:color="000000"/>
              <w:right w:val="single" w:sz="4" w:space="0" w:color="000000"/>
            </w:tcBorders>
            <w:shd w:val="clear" w:color="auto" w:fill="D2D2D2"/>
          </w:tcPr>
          <w:p>
            <w:pPr/>
          </w:p>
        </w:tc>
        <w:tc>
          <w:tcPr>
            <w:tcW w:w="1134" w:type="dxa"/>
            <w:vMerge/>
            <w:tcBorders>
              <w:left w:val="single" w:sz="4" w:space="0" w:color="000000"/>
              <w:bottom w:val="single" w:sz="4" w:space="0" w:color="000000"/>
              <w:right w:val="single" w:sz="4" w:space="0" w:color="000000"/>
            </w:tcBorders>
            <w:shd w:val="clear" w:color="auto" w:fill="D2D2D2"/>
          </w:tcPr>
          <w:p>
            <w:pPr/>
          </w:p>
        </w:tc>
        <w:tc>
          <w:tcPr>
            <w:tcW w:w="1134" w:type="dxa"/>
            <w:vMerge/>
            <w:tcBorders>
              <w:left w:val="single" w:sz="4" w:space="0" w:color="000000"/>
              <w:bottom w:val="single" w:sz="4" w:space="0" w:color="000000"/>
              <w:right w:val="single" w:sz="4" w:space="0" w:color="000000"/>
            </w:tcBorders>
            <w:shd w:val="clear" w:color="auto" w:fill="D2D2D2"/>
          </w:tcPr>
          <w:p>
            <w:pPr/>
          </w:p>
        </w:tc>
        <w:tc>
          <w:tcPr>
            <w:tcW w:w="1418" w:type="dxa"/>
            <w:vMerge/>
            <w:tcBorders>
              <w:left w:val="single" w:sz="4" w:space="0" w:color="000000"/>
              <w:bottom w:val="single" w:sz="4" w:space="0" w:color="000000"/>
              <w:right w:val="single" w:sz="4" w:space="0" w:color="000000"/>
            </w:tcBorders>
            <w:shd w:val="clear" w:color="auto" w:fill="D2D2D2"/>
          </w:tcPr>
          <w:p>
            <w:pP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9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715"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5"/>
              <w:jc w:val="left"/>
              <w:rPr>
                <w:rFonts w:ascii="宋体" w:hAnsi="宋体" w:cs="宋体" w:eastAsia="宋体" w:hint="default"/>
                <w:sz w:val="18"/>
                <w:szCs w:val="18"/>
              </w:rPr>
            </w:pPr>
            <w:r>
              <w:rPr>
                <w:rFonts w:ascii="宋体" w:hAnsi="宋体" w:cs="宋体" w:eastAsia="宋体" w:hint="default"/>
                <w:sz w:val="18"/>
                <w:szCs w:val="18"/>
              </w:rPr>
              <w:t>大连华信计算机技术股份有 限公司【注】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大连</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大连</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计算机应用服务</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778" w:right="0"/>
              <w:jc w:val="left"/>
              <w:rPr>
                <w:rFonts w:ascii="Times New Roman" w:hAnsi="Times New Roman" w:cs="Times New Roman" w:eastAsia="Times New Roman" w:hint="default"/>
                <w:sz w:val="18"/>
                <w:szCs w:val="18"/>
              </w:rPr>
            </w:pPr>
            <w:r>
              <w:rPr>
                <w:rFonts w:ascii="Times New Roman"/>
                <w:sz w:val="18"/>
              </w:rPr>
              <w:t>8.14%</w:t>
            </w:r>
          </w:p>
        </w:tc>
        <w:tc>
          <w:tcPr>
            <w:tcW w:w="97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bl>
    <w:p>
      <w:pPr>
        <w:spacing w:line="240" w:lineRule="auto" w:before="4"/>
        <w:rPr>
          <w:rFonts w:ascii="宋体" w:hAnsi="宋体" w:cs="宋体" w:eastAsia="宋体" w:hint="default"/>
          <w:b/>
          <w:bCs/>
          <w:sz w:val="9"/>
          <w:szCs w:val="9"/>
        </w:rPr>
      </w:pPr>
    </w:p>
    <w:p>
      <w:pPr>
        <w:pStyle w:val="BodyText"/>
        <w:spacing w:line="240" w:lineRule="auto" w:before="44"/>
        <w:ind w:left="208" w:right="1032"/>
        <w:jc w:val="left"/>
      </w:pPr>
      <w:r>
        <w:rPr/>
        <w:t>注：本公司系大连华信计算机技术股份有限公司单一第三大股东并派驻了董事，对其具有重大影响。</w:t>
      </w:r>
    </w:p>
    <w:p>
      <w:pPr>
        <w:spacing w:line="240" w:lineRule="auto" w:before="12"/>
        <w:rPr>
          <w:rFonts w:ascii="宋体" w:hAnsi="宋体" w:cs="宋体" w:eastAsia="宋体" w:hint="default"/>
          <w:sz w:val="26"/>
          <w:szCs w:val="26"/>
        </w:rPr>
      </w:pPr>
    </w:p>
    <w:p>
      <w:pPr>
        <w:pStyle w:val="Heading3"/>
        <w:spacing w:line="240" w:lineRule="auto"/>
        <w:ind w:left="134" w:right="1032"/>
        <w:jc w:val="left"/>
        <w:rPr>
          <w:b w:val="0"/>
          <w:bCs w:val="0"/>
        </w:rPr>
      </w:pPr>
      <w:bookmarkStart w:name="（2）重要合营企业的主要财务信息" w:id="379"/>
      <w:bookmarkEnd w:id="379"/>
      <w:r>
        <w:rPr>
          <w:b w:val="0"/>
          <w:bCs w:val="0"/>
        </w:rPr>
      </w:r>
      <w:r>
        <w:rPr/>
        <w:t>（</w:t>
      </w:r>
      <w:r>
        <w:rPr>
          <w:rFonts w:ascii="Times New Roman" w:hAnsi="Times New Roman" w:cs="Times New Roman" w:eastAsia="Times New Roman" w:hint="default"/>
        </w:rPr>
        <w:t>2</w:t>
      </w:r>
      <w:r>
        <w:rPr/>
        <w:t>）重要合营企业的主要财务信息</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494" w:right="7680"/>
        <w:jc w:val="left"/>
      </w:pPr>
      <w:r>
        <w:rPr/>
        <w:t>无。</w:t>
      </w:r>
    </w:p>
    <w:p>
      <w:pPr>
        <w:spacing w:line="240" w:lineRule="auto" w:before="10"/>
        <w:rPr>
          <w:rFonts w:ascii="宋体" w:hAnsi="宋体" w:cs="宋体" w:eastAsia="宋体" w:hint="default"/>
          <w:sz w:val="26"/>
          <w:szCs w:val="26"/>
        </w:rPr>
      </w:pPr>
    </w:p>
    <w:p>
      <w:pPr>
        <w:pStyle w:val="Heading3"/>
        <w:spacing w:line="240" w:lineRule="auto"/>
        <w:ind w:left="134" w:right="1032"/>
        <w:jc w:val="left"/>
        <w:rPr>
          <w:b w:val="0"/>
          <w:bCs w:val="0"/>
        </w:rPr>
      </w:pPr>
      <w:bookmarkStart w:name="（3）重要联营企业的主要财务信息" w:id="380"/>
      <w:bookmarkEnd w:id="380"/>
      <w:r>
        <w:rPr>
          <w:b w:val="0"/>
          <w:bCs w:val="0"/>
        </w:rPr>
      </w:r>
      <w:r>
        <w:rPr/>
        <w:t>（</w:t>
      </w:r>
      <w:r>
        <w:rPr>
          <w:rFonts w:ascii="Times New Roman" w:hAnsi="Times New Roman" w:cs="Times New Roman" w:eastAsia="Times New Roman" w:hint="default"/>
        </w:rPr>
        <w:t>3</w:t>
      </w:r>
      <w:r>
        <w:rPr/>
        <w:t>）重要联营企业的主要财务信息</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3" w:type="dxa"/>
        <w:tblLayout w:type="fixed"/>
        <w:tblCellMar>
          <w:top w:w="0" w:type="dxa"/>
          <w:left w:w="0" w:type="dxa"/>
          <w:bottom w:w="0" w:type="dxa"/>
          <w:right w:w="0" w:type="dxa"/>
        </w:tblCellMar>
        <w:tblLook w:val="01E0"/>
      </w:tblPr>
      <w:tblGrid>
        <w:gridCol w:w="3221"/>
        <w:gridCol w:w="3233"/>
        <w:gridCol w:w="3219"/>
      </w:tblGrid>
      <w:tr>
        <w:trPr>
          <w:trHeight w:val="403" w:hRule="exact"/>
        </w:trPr>
        <w:tc>
          <w:tcPr>
            <w:tcW w:w="32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7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2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75"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1" w:hRule="exact"/>
        </w:trPr>
        <w:tc>
          <w:tcPr>
            <w:tcW w:w="32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60" w:right="0"/>
              <w:jc w:val="left"/>
              <w:rPr>
                <w:rFonts w:ascii="宋体" w:hAnsi="宋体" w:cs="宋体" w:eastAsia="宋体" w:hint="default"/>
                <w:sz w:val="18"/>
                <w:szCs w:val="18"/>
              </w:rPr>
            </w:pPr>
            <w:r>
              <w:rPr>
                <w:rFonts w:ascii="宋体" w:hAnsi="宋体" w:cs="宋体" w:eastAsia="宋体" w:hint="default"/>
                <w:sz w:val="18"/>
                <w:szCs w:val="18"/>
              </w:rPr>
              <w:t>大连华信计算机技术股份有限公司</w:t>
            </w:r>
          </w:p>
        </w:tc>
        <w:tc>
          <w:tcPr>
            <w:tcW w:w="32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9" w:right="0"/>
              <w:jc w:val="left"/>
              <w:rPr>
                <w:rFonts w:ascii="宋体" w:hAnsi="宋体" w:cs="宋体" w:eastAsia="宋体" w:hint="default"/>
                <w:sz w:val="18"/>
                <w:szCs w:val="18"/>
              </w:rPr>
            </w:pPr>
            <w:r>
              <w:rPr>
                <w:rFonts w:ascii="宋体" w:hAnsi="宋体" w:cs="宋体" w:eastAsia="宋体" w:hint="default"/>
                <w:sz w:val="18"/>
                <w:szCs w:val="18"/>
              </w:rPr>
              <w:t>大连华信计算机技术股份有限公司</w:t>
            </w:r>
          </w:p>
        </w:tc>
      </w:tr>
      <w:tr>
        <w:trPr>
          <w:trHeight w:val="403" w:hRule="exact"/>
        </w:trPr>
        <w:tc>
          <w:tcPr>
            <w:tcW w:w="32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23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1928" w:right="0"/>
              <w:jc w:val="left"/>
              <w:rPr>
                <w:rFonts w:ascii="Times New Roman" w:hAnsi="Times New Roman" w:cs="Times New Roman" w:eastAsia="Times New Roman" w:hint="default"/>
                <w:sz w:val="18"/>
                <w:szCs w:val="18"/>
              </w:rPr>
            </w:pPr>
            <w:r>
              <w:rPr>
                <w:rFonts w:ascii="Times New Roman"/>
                <w:sz w:val="18"/>
              </w:rPr>
              <w:t>1,555,340,660.49</w:t>
            </w:r>
          </w:p>
        </w:tc>
        <w:tc>
          <w:tcPr>
            <w:tcW w:w="3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937" w:right="0"/>
              <w:jc w:val="left"/>
              <w:rPr>
                <w:rFonts w:ascii="Times New Roman" w:hAnsi="Times New Roman" w:cs="Times New Roman" w:eastAsia="Times New Roman" w:hint="default"/>
                <w:sz w:val="18"/>
                <w:szCs w:val="18"/>
              </w:rPr>
            </w:pPr>
            <w:r>
              <w:rPr>
                <w:rFonts w:ascii="Times New Roman"/>
                <w:sz w:val="18"/>
              </w:rPr>
              <w:t>1,255,787,829.90</w:t>
            </w:r>
          </w:p>
        </w:tc>
      </w:tr>
    </w:tbl>
    <w:p>
      <w:pPr>
        <w:spacing w:after="0" w:line="240" w:lineRule="auto"/>
        <w:jc w:val="left"/>
        <w:rPr>
          <w:rFonts w:ascii="Times New Roman" w:hAnsi="Times New Roman" w:cs="Times New Roman" w:eastAsia="Times New Roman" w:hint="default"/>
          <w:sz w:val="18"/>
          <w:szCs w:val="18"/>
        </w:rPr>
        <w:sectPr>
          <w:pgSz w:w="11910" w:h="16840"/>
          <w:pgMar w:header="851" w:footer="979" w:top="1400" w:bottom="1160" w:left="1000" w:right="0"/>
        </w:sectPr>
      </w:pPr>
    </w:p>
    <w:p>
      <w:pPr>
        <w:spacing w:line="240" w:lineRule="auto" w:before="6"/>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3232"/>
        <w:gridCol w:w="3232"/>
        <w:gridCol w:w="3231"/>
      </w:tblGrid>
      <w:tr>
        <w:trPr>
          <w:trHeight w:val="414" w:hRule="exact"/>
        </w:trPr>
        <w:tc>
          <w:tcPr>
            <w:tcW w:w="323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23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Times New Roman" w:hAnsi="Times New Roman" w:cs="Times New Roman" w:eastAsia="Times New Roman" w:hint="default"/>
                <w:sz w:val="18"/>
                <w:szCs w:val="18"/>
              </w:rPr>
            </w:pPr>
            <w:r>
              <w:rPr>
                <w:rFonts w:ascii="Times New Roman"/>
                <w:spacing w:val="-1"/>
                <w:sz w:val="18"/>
              </w:rPr>
              <w:t>1,170,808,707.67</w:t>
            </w:r>
          </w:p>
        </w:tc>
        <w:tc>
          <w:tcPr>
            <w:tcW w:w="323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Times New Roman" w:hAnsi="Times New Roman" w:cs="Times New Roman" w:eastAsia="Times New Roman" w:hint="default"/>
                <w:sz w:val="18"/>
                <w:szCs w:val="18"/>
              </w:rPr>
            </w:pPr>
            <w:r>
              <w:rPr>
                <w:rFonts w:ascii="Times New Roman"/>
                <w:spacing w:val="-1"/>
                <w:sz w:val="18"/>
              </w:rPr>
              <w:t>1,177,621,320.64</w:t>
            </w:r>
          </w:p>
        </w:tc>
      </w:tr>
      <w:tr>
        <w:trPr>
          <w:trHeight w:val="402"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2,726,149,368.16</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2,433,409,150.54</w:t>
            </w:r>
          </w:p>
        </w:tc>
      </w:tr>
      <w:tr>
        <w:trPr>
          <w:trHeight w:val="402"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816,544,726.95</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520,214,675.34</w:t>
            </w:r>
          </w:p>
        </w:tc>
      </w:tr>
      <w:tr>
        <w:trPr>
          <w:trHeight w:val="402"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507,121,340.10</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526,976,145.23</w:t>
            </w:r>
          </w:p>
        </w:tc>
      </w:tr>
      <w:tr>
        <w:trPr>
          <w:trHeight w:val="402"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1,323,666,067.05</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1,047,190,820.57</w:t>
            </w:r>
          </w:p>
        </w:tc>
      </w:tr>
      <w:tr>
        <w:trPr>
          <w:trHeight w:val="402"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94,868,176.96</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98,097,973.96</w:t>
            </w:r>
          </w:p>
        </w:tc>
      </w:tr>
      <w:tr>
        <w:trPr>
          <w:trHeight w:val="402"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归属于母公司股东权益</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1,307,615,124.15</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1,288,120,356.01</w:t>
            </w:r>
          </w:p>
        </w:tc>
      </w:tr>
      <w:tr>
        <w:trPr>
          <w:trHeight w:val="402"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按持股比例计算的净资产份额</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106,492,100.96</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104,904,456.30</w:t>
            </w:r>
          </w:p>
        </w:tc>
      </w:tr>
      <w:tr>
        <w:trPr>
          <w:trHeight w:val="402"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调整事项</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27,846,979.18</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27,846,979.18</w:t>
            </w:r>
          </w:p>
        </w:tc>
      </w:tr>
      <w:tr>
        <w:trPr>
          <w:trHeight w:val="402"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商誉</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27,157,906.03</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27,157,906.03</w:t>
            </w:r>
          </w:p>
        </w:tc>
      </w:tr>
      <w:tr>
        <w:trPr>
          <w:trHeight w:val="402"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689,073.15</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689,073.15</w:t>
            </w:r>
          </w:p>
        </w:tc>
      </w:tr>
      <w:tr>
        <w:trPr>
          <w:trHeight w:val="402"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对联营企业权益投资的账面价值</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134,339,080.14</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132,751,435.48</w:t>
            </w:r>
          </w:p>
        </w:tc>
      </w:tr>
      <w:tr>
        <w:trPr>
          <w:trHeight w:val="402"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2,310,263,294.81</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2,041,113,909.59</w:t>
            </w:r>
          </w:p>
        </w:tc>
      </w:tr>
      <w:tr>
        <w:trPr>
          <w:trHeight w:val="402"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201,056,785.78</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189,863,986.52</w:t>
            </w:r>
          </w:p>
        </w:tc>
      </w:tr>
      <w:tr>
        <w:trPr>
          <w:trHeight w:val="402"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4,336,043.73</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-2,500,846.38</w:t>
            </w:r>
          </w:p>
        </w:tc>
      </w:tr>
      <w:tr>
        <w:trPr>
          <w:trHeight w:val="402"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205,392,829.51</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187,363,140.14</w:t>
            </w:r>
          </w:p>
        </w:tc>
      </w:tr>
      <w:tr>
        <w:trPr>
          <w:trHeight w:val="402"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本年度收到的来自联营企业的股利</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15,600,000.00</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4,500,000.00</w:t>
            </w:r>
          </w:p>
        </w:tc>
      </w:tr>
    </w:tbl>
    <w:p>
      <w:pPr>
        <w:spacing w:line="240" w:lineRule="auto" w:before="3"/>
        <w:rPr>
          <w:rFonts w:ascii="宋体" w:hAnsi="宋体" w:cs="宋体" w:eastAsia="宋体" w:hint="default"/>
          <w:sz w:val="19"/>
          <w:szCs w:val="19"/>
        </w:rPr>
      </w:pPr>
    </w:p>
    <w:p>
      <w:pPr>
        <w:pStyle w:val="Heading3"/>
        <w:spacing w:line="240" w:lineRule="auto" w:before="35"/>
        <w:ind w:left="134" w:right="1032"/>
        <w:jc w:val="left"/>
        <w:rPr>
          <w:b w:val="0"/>
          <w:bCs w:val="0"/>
        </w:rPr>
      </w:pPr>
      <w:bookmarkStart w:name="（4）不重要的合营企业和联营企业的汇总财务信息" w:id="381"/>
      <w:bookmarkEnd w:id="381"/>
      <w:r>
        <w:rPr>
          <w:b w:val="0"/>
          <w:bCs w:val="0"/>
        </w:rPr>
      </w:r>
      <w:r>
        <w:rPr/>
        <w:t>（</w:t>
      </w:r>
      <w:r>
        <w:rPr>
          <w:rFonts w:ascii="Times New Roman" w:hAnsi="Times New Roman" w:cs="Times New Roman" w:eastAsia="Times New Roman" w:hint="default"/>
        </w:rPr>
        <w:t>4</w:t>
      </w:r>
      <w:r>
        <w:rPr/>
        <w:t>）不重要的合营企业和联营企业的汇总财务信息</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0" w:type="dxa"/>
        <w:tblLayout w:type="fixed"/>
        <w:tblCellMar>
          <w:top w:w="0" w:type="dxa"/>
          <w:left w:w="0" w:type="dxa"/>
          <w:bottom w:w="0" w:type="dxa"/>
          <w:right w:w="0" w:type="dxa"/>
        </w:tblCellMar>
        <w:tblLook w:val="01E0"/>
      </w:tblPr>
      <w:tblGrid>
        <w:gridCol w:w="3302"/>
        <w:gridCol w:w="3071"/>
        <w:gridCol w:w="3186"/>
      </w:tblGrid>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00"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2"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投资账面价值合计</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179,752,344.57</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58,655,640.91</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净利润</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-17,159,073.03</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-6,073,991.42</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其他综合收益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-203,594.02</w:t>
            </w:r>
            <w:r>
              <w:rPr>
                <w:rFonts w:ascii="Times New Roman"/>
                <w:sz w:val="18"/>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-6,418,792.25</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综合收益总额</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-17,362,667.05</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-12,492,783.67</w:t>
            </w:r>
          </w:p>
        </w:tc>
      </w:tr>
    </w:tbl>
    <w:p>
      <w:pPr>
        <w:spacing w:line="240" w:lineRule="auto" w:before="2"/>
        <w:rPr>
          <w:rFonts w:ascii="宋体" w:hAnsi="宋体" w:cs="宋体" w:eastAsia="宋体" w:hint="default"/>
          <w:sz w:val="19"/>
          <w:szCs w:val="19"/>
        </w:rPr>
      </w:pPr>
    </w:p>
    <w:p>
      <w:pPr>
        <w:pStyle w:val="Heading3"/>
        <w:spacing w:line="240" w:lineRule="auto" w:before="35"/>
        <w:ind w:left="134" w:right="1032"/>
        <w:jc w:val="left"/>
        <w:rPr>
          <w:b w:val="0"/>
          <w:bCs w:val="0"/>
        </w:rPr>
      </w:pPr>
      <w:bookmarkStart w:name="（5）合营企业或联营企业向本公司转移资金的能力存在重大限制的说明" w:id="382"/>
      <w:bookmarkEnd w:id="382"/>
      <w:r>
        <w:rPr>
          <w:b w:val="0"/>
          <w:bCs w:val="0"/>
        </w:rPr>
      </w:r>
      <w:r>
        <w:rPr/>
        <w:t>（</w:t>
      </w:r>
      <w:r>
        <w:rPr>
          <w:rFonts w:ascii="Times New Roman" w:hAnsi="Times New Roman" w:cs="Times New Roman" w:eastAsia="Times New Roman" w:hint="default"/>
        </w:rPr>
        <w:t>5</w:t>
      </w:r>
      <w:r>
        <w:rPr/>
        <w:t>）合营企业或联营企业向本公司转移资金的能力存在重大限制的说明</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494" w:right="7680"/>
        <w:jc w:val="left"/>
      </w:pPr>
      <w:r>
        <w:rPr/>
        <w:t>无。</w:t>
      </w:r>
    </w:p>
    <w:p>
      <w:pPr>
        <w:spacing w:after="0" w:line="240" w:lineRule="auto"/>
        <w:jc w:val="left"/>
        <w:sectPr>
          <w:pgSz w:w="11910" w:h="16840"/>
          <w:pgMar w:header="851" w:footer="979" w:top="1400" w:bottom="1160" w:left="100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6）合营企业或联营企业发生的超额亏损" w:id="383"/>
      <w:bookmarkEnd w:id="383"/>
      <w:r>
        <w:rPr>
          <w:b w:val="0"/>
          <w:bCs w:val="0"/>
        </w:rPr>
      </w:r>
      <w:r>
        <w:rPr/>
        <w:t>（</w:t>
      </w:r>
      <w:r>
        <w:rPr>
          <w:rFonts w:ascii="Times New Roman" w:hAnsi="Times New Roman" w:cs="Times New Roman" w:eastAsia="Times New Roman" w:hint="default"/>
        </w:rPr>
        <w:t>6</w:t>
      </w:r>
      <w:r>
        <w:rPr/>
        <w:t>）合营企业或联营企业发生的超额亏损</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978"/>
        <w:gridCol w:w="2127"/>
        <w:gridCol w:w="2070"/>
        <w:gridCol w:w="2394"/>
      </w:tblGrid>
      <w:tr>
        <w:trPr>
          <w:trHeight w:val="714" w:hRule="exact"/>
        </w:trPr>
        <w:tc>
          <w:tcPr>
            <w:tcW w:w="29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93" w:right="0"/>
              <w:jc w:val="left"/>
              <w:rPr>
                <w:rFonts w:ascii="宋体" w:hAnsi="宋体" w:cs="宋体" w:eastAsia="宋体" w:hint="default"/>
                <w:sz w:val="18"/>
                <w:szCs w:val="18"/>
              </w:rPr>
            </w:pPr>
            <w:r>
              <w:rPr>
                <w:rFonts w:ascii="宋体" w:hAnsi="宋体" w:cs="宋体" w:eastAsia="宋体" w:hint="default"/>
                <w:sz w:val="18"/>
                <w:szCs w:val="18"/>
              </w:rPr>
              <w:t>合营企业或联营企业名称</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877" w:right="69" w:hanging="811"/>
              <w:jc w:val="left"/>
              <w:rPr>
                <w:rFonts w:ascii="宋体" w:hAnsi="宋体" w:cs="宋体" w:eastAsia="宋体" w:hint="default"/>
                <w:sz w:val="18"/>
                <w:szCs w:val="18"/>
              </w:rPr>
            </w:pPr>
            <w:r>
              <w:rPr>
                <w:rFonts w:ascii="宋体" w:hAnsi="宋体" w:cs="宋体" w:eastAsia="宋体" w:hint="default"/>
                <w:sz w:val="18"/>
                <w:szCs w:val="18"/>
              </w:rPr>
              <w:t>累积未确认前期累计认的 损失</w:t>
            </w:r>
          </w:p>
        </w:tc>
        <w:tc>
          <w:tcPr>
            <w:tcW w:w="2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09" w:right="39" w:hanging="270"/>
              <w:jc w:val="left"/>
              <w:rPr>
                <w:rFonts w:ascii="宋体" w:hAnsi="宋体" w:cs="宋体" w:eastAsia="宋体" w:hint="default"/>
                <w:sz w:val="18"/>
                <w:szCs w:val="18"/>
              </w:rPr>
            </w:pPr>
            <w:r>
              <w:rPr>
                <w:rFonts w:ascii="宋体" w:hAnsi="宋体" w:cs="宋体" w:eastAsia="宋体" w:hint="default"/>
                <w:sz w:val="18"/>
                <w:szCs w:val="18"/>
              </w:rPr>
              <w:t>本期未确认的损失（或本 期分享的净利润）</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本期末累积未确认的损失</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北京神州泰岳教育科技有限公司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3,419,456.08</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0"/>
              <w:jc w:val="right"/>
              <w:rPr>
                <w:rFonts w:ascii="Times New Roman" w:hAnsi="Times New Roman" w:cs="Times New Roman" w:eastAsia="Times New Roman" w:hint="default"/>
                <w:sz w:val="18"/>
                <w:szCs w:val="18"/>
              </w:rPr>
            </w:pPr>
            <w:r>
              <w:rPr>
                <w:rFonts w:ascii="Times New Roman"/>
                <w:spacing w:val="-1"/>
                <w:sz w:val="18"/>
              </w:rPr>
              <w:t>2,878,167.69</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6,297,623.77</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北京岳海云测信息技术有限公司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230,795.12</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4,729.05</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235,524.17</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Ultrapower 360 PTE</w:t>
            </w:r>
            <w:r>
              <w:rPr>
                <w:rFonts w:ascii="Times New Roman"/>
                <w:spacing w:val="-2"/>
                <w:sz w:val="18"/>
              </w:rPr>
              <w:t> </w:t>
            </w:r>
            <w:r>
              <w:rPr>
                <w:rFonts w:ascii="Times New Roman"/>
                <w:spacing w:val="-6"/>
                <w:sz w:val="18"/>
              </w:rPr>
              <w:t>LTD</w:t>
            </w:r>
          </w:p>
        </w:tc>
        <w:tc>
          <w:tcPr>
            <w:tcW w:w="2127" w:type="dxa"/>
            <w:tcBorders>
              <w:top w:val="single" w:sz="4" w:space="0" w:color="000000"/>
              <w:left w:val="single" w:sz="4" w:space="0" w:color="000000"/>
              <w:bottom w:val="single" w:sz="4" w:space="0" w:color="000000"/>
              <w:right w:val="single" w:sz="4" w:space="0" w:color="000000"/>
            </w:tcBorders>
          </w:tcPr>
          <w:p>
            <w:pPr/>
          </w:p>
        </w:tc>
        <w:tc>
          <w:tcPr>
            <w:tcW w:w="2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484,987.89</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484,987.89</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7）与合营企业投资相关的未确认承诺" w:id="384"/>
      <w:bookmarkEnd w:id="384"/>
      <w:r>
        <w:rPr>
          <w:b w:val="0"/>
          <w:bCs w:val="0"/>
        </w:rPr>
      </w:r>
      <w:r>
        <w:rPr/>
        <w:t>（</w:t>
      </w:r>
      <w:r>
        <w:rPr>
          <w:rFonts w:ascii="Times New Roman" w:hAnsi="Times New Roman" w:cs="Times New Roman" w:eastAsia="Times New Roman" w:hint="default"/>
        </w:rPr>
        <w:t>7</w:t>
      </w:r>
      <w:r>
        <w:rPr/>
        <w:t>）与合营企业投资相关的未确认承诺</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14" w:right="0"/>
        <w:jc w:val="left"/>
      </w:pPr>
      <w:r>
        <w:rPr/>
        <w:t>无。</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8）与合营企业或联营企业投资相关的或有负债" w:id="385"/>
      <w:bookmarkEnd w:id="385"/>
      <w:r>
        <w:rPr>
          <w:b w:val="0"/>
          <w:bCs w:val="0"/>
        </w:rPr>
      </w:r>
      <w:r>
        <w:rPr/>
        <w:t>（</w:t>
      </w:r>
      <w:r>
        <w:rPr>
          <w:rFonts w:ascii="Times New Roman" w:hAnsi="Times New Roman" w:cs="Times New Roman" w:eastAsia="Times New Roman" w:hint="default"/>
        </w:rPr>
        <w:t>8</w:t>
      </w:r>
      <w:r>
        <w:rPr/>
        <w:t>）与合营企业或联营企业投资相关的或有负债</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514" w:right="0"/>
        <w:jc w:val="left"/>
      </w:pPr>
      <w:r>
        <w:rPr/>
        <w:t>无。</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4、重要的共同经营" w:id="386"/>
      <w:bookmarkEnd w:id="386"/>
      <w:r>
        <w:rPr>
          <w:b w:val="0"/>
          <w:bCs w:val="0"/>
        </w:rPr>
      </w:r>
      <w:r>
        <w:rPr>
          <w:rFonts w:ascii="Times New Roman" w:hAnsi="Times New Roman" w:cs="Times New Roman" w:eastAsia="Times New Roman" w:hint="default"/>
        </w:rPr>
        <w:t>4</w:t>
      </w:r>
      <w:r>
        <w:rPr/>
        <w:t>、重要的共同经营</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514" w:right="0"/>
        <w:jc w:val="left"/>
      </w:pPr>
      <w:r>
        <w:rPr/>
        <w:t>无。</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5、在未纳入合并财务报表范围的结构化主体中的权益" w:id="387"/>
      <w:bookmarkEnd w:id="387"/>
      <w:r>
        <w:rPr>
          <w:b w:val="0"/>
          <w:bCs w:val="0"/>
        </w:rPr>
      </w:r>
      <w:r>
        <w:rPr>
          <w:rFonts w:ascii="Times New Roman" w:hAnsi="Times New Roman" w:cs="Times New Roman" w:eastAsia="Times New Roman" w:hint="default"/>
        </w:rPr>
        <w:t>5</w:t>
      </w:r>
      <w:r>
        <w:rPr/>
        <w:t>、在未纳入合并财务报表范围的结构化主体中的权益</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514" w:right="0"/>
        <w:jc w:val="left"/>
      </w:pPr>
      <w:r>
        <w:rPr/>
        <w:t>无。</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6、其他" w:id="388"/>
      <w:bookmarkEnd w:id="388"/>
      <w:r>
        <w:rPr>
          <w:b w:val="0"/>
          <w:bCs w:val="0"/>
        </w:rPr>
      </w:r>
      <w:r>
        <w:rPr>
          <w:rFonts w:ascii="Times New Roman" w:hAnsi="Times New Roman" w:cs="Times New Roman" w:eastAsia="Times New Roman" w:hint="default"/>
        </w:rPr>
        <w:t>6</w:t>
      </w:r>
      <w:r>
        <w:rPr/>
        <w:t>、其他</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14" w:right="0"/>
        <w:jc w:val="left"/>
      </w:pPr>
      <w:r>
        <w:rPr/>
        <w:t>无。</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bookmarkStart w:name="十、与金融工具相关的风险" w:id="389"/>
      <w:bookmarkEnd w:id="389"/>
      <w:r>
        <w:rPr>
          <w:b w:val="0"/>
          <w:bCs w:val="0"/>
        </w:rPr>
      </w:r>
      <w:r>
        <w:rPr/>
        <w:t>十、与金融工具相关的风险</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1132" w:firstLine="360"/>
        <w:jc w:val="both"/>
      </w:pPr>
      <w:r>
        <w:rPr>
          <w:spacing w:val="-2"/>
        </w:rPr>
        <w:t>本公司在经营过程中面临各种金融风险：信用风险、市场风险和流动性风险。公司董事会全面负责风险管理目标和政策</w:t>
      </w:r>
      <w:r>
        <w:rPr/>
        <w:t> </w:t>
      </w:r>
      <w:r>
        <w:rPr>
          <w:spacing w:val="-2"/>
        </w:rPr>
        <w:t>的确定，并对风险管理目标和政策承担最终责任，但是董事会已授权本公司相关部门设计和实施能确保风险管理目标和政策</w:t>
      </w:r>
      <w:r>
        <w:rPr>
          <w:spacing w:val="-64"/>
        </w:rPr>
        <w:t> </w:t>
      </w:r>
      <w:r>
        <w:rPr>
          <w:spacing w:val="-64"/>
        </w:rPr>
      </w:r>
      <w:r>
        <w:rPr>
          <w:spacing w:val="-2"/>
        </w:rPr>
        <w:t>得以有效执行的程序。董事会通过部门主管递交的报告来审查已执行程序的有效性以及风险管理目标和政策的合理性。本公</w:t>
      </w:r>
      <w:r>
        <w:rPr>
          <w:spacing w:val="-64"/>
        </w:rPr>
        <w:t> </w:t>
      </w:r>
      <w:r>
        <w:rPr>
          <w:spacing w:val="-64"/>
        </w:rPr>
      </w:r>
      <w:r>
        <w:rPr/>
        <w:t>司的内部审计师也会审计风险管理的政策和程序，并且将有关发现汇报给审计委员会。</w:t>
      </w:r>
    </w:p>
    <w:p>
      <w:pPr>
        <w:pStyle w:val="BodyText"/>
        <w:spacing w:line="477" w:lineRule="auto" w:before="54"/>
        <w:ind w:left="514" w:right="1026"/>
        <w:jc w:val="left"/>
      </w:pPr>
      <w:r>
        <w:rPr/>
        <w:t>本公司风险管理的总体目标是在不过度影响公司竞争力和应变力的情况下，制定尽可能降低风险的风险管理政策。 </w:t>
      </w:r>
      <w:r>
        <w:rPr>
          <w:rFonts w:ascii="宋体" w:hAnsi="宋体" w:cs="宋体" w:eastAsia="宋体" w:hint="default"/>
          <w:b/>
          <w:bCs/>
        </w:rPr>
        <w:t>1.</w:t>
      </w:r>
      <w:r>
        <w:rPr>
          <w:rFonts w:ascii="宋体" w:hAnsi="宋体" w:cs="宋体" w:eastAsia="宋体" w:hint="default"/>
          <w:b/>
          <w:bCs/>
        </w:rPr>
        <w:t>信用风险</w:t>
      </w:r>
      <w:r>
        <w:rPr>
          <w:rFonts w:ascii="宋体" w:hAnsi="宋体" w:cs="宋体" w:eastAsia="宋体" w:hint="default"/>
          <w:b/>
          <w:bCs/>
          <w:w w:val="99"/>
        </w:rPr>
        <w:t> </w:t>
      </w:r>
      <w:r>
        <w:rPr>
          <w:spacing w:val="-4"/>
        </w:rPr>
        <w:t>信用风险是指金融工具的一方不履行义务，造成另一方发生财务损失的风险。本公司主要面临赊销导致的客户信用风险。</w:t>
      </w:r>
    </w:p>
    <w:p>
      <w:pPr>
        <w:pStyle w:val="BodyText"/>
        <w:spacing w:line="240" w:lineRule="auto" w:before="54"/>
        <w:ind w:right="0"/>
        <w:jc w:val="left"/>
      </w:pPr>
      <w:r>
        <w:rPr/>
        <w:t>在签订新合同之前，本公司会对新客户的信用风险进行评估，包括外部信用评级和在某些情况下的银行资信证明（当此信息</w:t>
      </w:r>
    </w:p>
    <w:p>
      <w:pPr>
        <w:spacing w:after="0" w:line="240" w:lineRule="auto"/>
        <w:jc w:val="left"/>
        <w:sectPr>
          <w:pgSz w:w="11910" w:h="16840"/>
          <w:pgMar w:header="851" w:footer="979" w:top="1400" w:bottom="1160" w:left="980" w:right="0"/>
        </w:sectPr>
      </w:pPr>
    </w:p>
    <w:p>
      <w:pPr>
        <w:spacing w:line="240" w:lineRule="auto" w:before="11"/>
        <w:rPr>
          <w:rFonts w:ascii="宋体" w:hAnsi="宋体" w:cs="宋体" w:eastAsia="宋体" w:hint="default"/>
          <w:sz w:val="2"/>
          <w:szCs w:val="2"/>
        </w:rPr>
      </w:pPr>
    </w:p>
    <w:p>
      <w:pPr>
        <w:spacing w:line="20" w:lineRule="exact"/>
        <w:ind w:left="17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BodyText"/>
        <w:spacing w:line="477" w:lineRule="auto" w:before="83"/>
        <w:ind w:left="574" w:right="1032" w:hanging="360"/>
        <w:jc w:val="left"/>
      </w:pPr>
      <w:r>
        <w:rPr/>
        <w:t>可获取时）。公司对每一客户均设置了赊销限额，该限额为无需获得额外批准的最大额度。 公司通过对已有客户信用评级的季度监控以及应收账款账龄分析的月度审核来确保公司的整体信用风险在可控的范围</w:t>
      </w:r>
    </w:p>
    <w:p>
      <w:pPr>
        <w:pStyle w:val="BodyText"/>
        <w:spacing w:line="451" w:lineRule="auto" w:before="54"/>
        <w:ind w:left="214" w:right="1132"/>
        <w:jc w:val="both"/>
      </w:pPr>
      <w:r>
        <w:rPr>
          <w:spacing w:val="-2"/>
        </w:rPr>
        <w:t>内。在监控客户的信用风险时，按照客户的信用特征对其分组。被评为</w:t>
      </w:r>
      <w:r>
        <w:rPr>
          <w:rFonts w:ascii="Times New Roman" w:hAnsi="Times New Roman" w:cs="Times New Roman" w:eastAsia="Times New Roman" w:hint="default"/>
          <w:spacing w:val="-2"/>
        </w:rPr>
        <w:t>“</w:t>
      </w:r>
      <w:r>
        <w:rPr>
          <w:spacing w:val="-2"/>
        </w:rPr>
        <w:t>高风险</w:t>
      </w:r>
      <w:r>
        <w:rPr>
          <w:rFonts w:ascii="Times New Roman" w:hAnsi="Times New Roman" w:cs="Times New Roman" w:eastAsia="Times New Roman" w:hint="default"/>
          <w:spacing w:val="-2"/>
        </w:rPr>
        <w:t>”</w:t>
      </w:r>
      <w:r>
        <w:rPr>
          <w:spacing w:val="-2"/>
        </w:rPr>
        <w:t>级别的客户会放在受限制客户名单里，并且</w:t>
      </w:r>
      <w:r>
        <w:rPr>
          <w:spacing w:val="-45"/>
        </w:rPr>
        <w:t> </w:t>
      </w:r>
      <w:r>
        <w:rPr>
          <w:spacing w:val="-45"/>
        </w:rPr>
      </w:r>
      <w:r>
        <w:rPr/>
        <w:t>只有在额外批准的前提下，公司才可在未来期间内对其赊销，否则必须要求其提前支付相应款项。</w:t>
      </w:r>
    </w:p>
    <w:p>
      <w:pPr>
        <w:spacing w:line="451" w:lineRule="auto" w:before="74"/>
        <w:ind w:left="574" w:right="1032" w:firstLine="1"/>
        <w:jc w:val="left"/>
        <w:rPr>
          <w:rFonts w:ascii="宋体" w:hAnsi="宋体" w:cs="宋体" w:eastAsia="宋体" w:hint="default"/>
          <w:sz w:val="18"/>
          <w:szCs w:val="18"/>
        </w:rPr>
      </w:pPr>
      <w:r>
        <w:rPr>
          <w:rFonts w:ascii="宋体" w:hAnsi="宋体" w:cs="宋体" w:eastAsia="宋体" w:hint="default"/>
          <w:b/>
          <w:bCs/>
          <w:sz w:val="18"/>
          <w:szCs w:val="18"/>
        </w:rPr>
        <w:t>2.</w:t>
      </w:r>
      <w:r>
        <w:rPr>
          <w:rFonts w:ascii="宋体" w:hAnsi="宋体" w:cs="宋体" w:eastAsia="宋体" w:hint="default"/>
          <w:b/>
          <w:bCs/>
          <w:sz w:val="18"/>
          <w:szCs w:val="18"/>
        </w:rPr>
        <w:t>市场风险</w:t>
      </w:r>
      <w:r>
        <w:rPr>
          <w:rFonts w:ascii="宋体" w:hAnsi="宋体" w:cs="宋体" w:eastAsia="宋体" w:hint="default"/>
          <w:b/>
          <w:bCs/>
          <w:w w:val="99"/>
          <w:sz w:val="18"/>
          <w:szCs w:val="18"/>
        </w:rPr>
        <w:t> </w:t>
      </w:r>
      <w:r>
        <w:rPr>
          <w:rFonts w:ascii="宋体" w:hAnsi="宋体" w:cs="宋体" w:eastAsia="宋体" w:hint="default"/>
          <w:sz w:val="18"/>
          <w:szCs w:val="18"/>
        </w:rPr>
        <w:t>金融工具的市场风险，是指金融工具的公允价值或未来现金流量因市场价格变动而发生波动的风</w:t>
      </w:r>
      <w:r>
        <w:rPr>
          <w:rFonts w:ascii="宋体" w:hAnsi="宋体" w:cs="宋体" w:eastAsia="宋体" w:hint="default"/>
          <w:sz w:val="21"/>
          <w:szCs w:val="21"/>
        </w:rPr>
        <w:t>险，包括汇率</w:t>
      </w:r>
      <w:r>
        <w:rPr>
          <w:rFonts w:ascii="宋体" w:hAnsi="宋体" w:cs="宋体" w:eastAsia="宋体" w:hint="default"/>
          <w:sz w:val="18"/>
          <w:szCs w:val="18"/>
        </w:rPr>
        <w:t>风险、</w:t>
      </w:r>
    </w:p>
    <w:p>
      <w:pPr>
        <w:pStyle w:val="BodyText"/>
        <w:spacing w:line="240" w:lineRule="auto" w:before="34"/>
        <w:ind w:left="214" w:right="1753"/>
        <w:jc w:val="left"/>
      </w:pPr>
      <w:r>
        <w:rPr/>
        <w:t>利率风险和其他价格风险。</w:t>
      </w:r>
    </w:p>
    <w:p>
      <w:pPr>
        <w:spacing w:line="240" w:lineRule="auto" w:before="10"/>
        <w:rPr>
          <w:rFonts w:ascii="宋体" w:hAnsi="宋体" w:cs="宋体" w:eastAsia="宋体" w:hint="default"/>
          <w:sz w:val="17"/>
          <w:szCs w:val="17"/>
        </w:rPr>
      </w:pPr>
    </w:p>
    <w:p>
      <w:pPr>
        <w:pStyle w:val="BodyText"/>
        <w:spacing w:line="451" w:lineRule="auto"/>
        <w:ind w:left="574" w:right="1032"/>
        <w:jc w:val="left"/>
      </w:pPr>
      <w:r>
        <w:rPr/>
        <w:t>（</w:t>
      </w:r>
      <w:r>
        <w:rPr>
          <w:rFonts w:ascii="Times New Roman" w:hAnsi="Times New Roman" w:cs="Times New Roman" w:eastAsia="Times New Roman" w:hint="default"/>
        </w:rPr>
        <w:t>1</w:t>
      </w:r>
      <w:r>
        <w:rPr/>
        <w:t>）利率风险 </w:t>
      </w:r>
      <w:r>
        <w:rPr>
          <w:spacing w:val="-2"/>
        </w:rPr>
        <w:t>利率风险，是指金融工具的公允价值或未来现金流量因市场利率变动而发生波动的风险。本公司面临的利率风险主要来</w:t>
      </w:r>
    </w:p>
    <w:p>
      <w:pPr>
        <w:pStyle w:val="BodyText"/>
        <w:spacing w:line="477" w:lineRule="auto" w:before="74"/>
        <w:ind w:left="214" w:right="1131"/>
        <w:jc w:val="both"/>
      </w:pPr>
      <w:r>
        <w:rPr>
          <w:spacing w:val="-2"/>
        </w:rPr>
        <w:t>源于银行的短期借款及超短期融资券等。公司目前的政策是主要以基准利率或基准利率适当上浮下浮的银行借款或其他适当</w:t>
      </w:r>
      <w:r>
        <w:rPr>
          <w:spacing w:val="-64"/>
        </w:rPr>
        <w:t> </w:t>
      </w:r>
      <w:r>
        <w:rPr>
          <w:spacing w:val="-64"/>
        </w:rPr>
      </w:r>
      <w:r>
        <w:rPr>
          <w:spacing w:val="-2"/>
        </w:rPr>
        <w:t>方式筹集资金。尽管上述政策不能使本公司完全避免支付的利率超出现行市场利率的风险，也不能完全消除与利息支付波动</w:t>
      </w:r>
      <w:r>
        <w:rPr>
          <w:spacing w:val="-64"/>
        </w:rPr>
        <w:t> </w:t>
      </w:r>
      <w:r>
        <w:rPr>
          <w:spacing w:val="-64"/>
        </w:rPr>
      </w:r>
      <w:r>
        <w:rPr/>
        <w:t>相关的现金流量风险，但是管理层认为该政策实现了这些风险之间的合理平衡。</w:t>
      </w:r>
    </w:p>
    <w:p>
      <w:pPr>
        <w:pStyle w:val="BodyText"/>
        <w:spacing w:line="451" w:lineRule="auto" w:before="54"/>
        <w:ind w:left="214" w:right="1131" w:firstLine="360"/>
        <w:jc w:val="both"/>
      </w:pPr>
      <w:r>
        <w:rPr>
          <w:spacing w:val="-2"/>
        </w:rPr>
        <w:t>于</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日，在其他变量保持不变的情况下，如果以浮动利率计算的借款利率上升或下降</w:t>
      </w:r>
      <w:r>
        <w:rPr>
          <w:rFonts w:ascii="Times New Roman" w:hAnsi="Times New Roman" w:cs="Times New Roman" w:eastAsia="Times New Roman" w:hint="default"/>
          <w:spacing w:val="-2"/>
        </w:rPr>
        <w:t>50</w:t>
      </w:r>
      <w:r>
        <w:rPr>
          <w:spacing w:val="-2"/>
        </w:rPr>
        <w:t>个基点，则本公司的</w:t>
      </w:r>
      <w:r>
        <w:rPr/>
        <w:t> 净利润将减少或增加</w:t>
      </w:r>
      <w:r>
        <w:rPr>
          <w:rFonts w:ascii="Times New Roman" w:hAnsi="Times New Roman" w:cs="Times New Roman" w:eastAsia="Times New Roman" w:hint="default"/>
        </w:rPr>
        <w:t>2,639,722.64</w:t>
      </w:r>
      <w:r>
        <w:rPr/>
        <w:t>元（</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w:t>
      </w:r>
      <w:r>
        <w:rPr>
          <w:rFonts w:ascii="Times New Roman" w:hAnsi="Times New Roman" w:cs="Times New Roman" w:eastAsia="Times New Roman" w:hint="default"/>
        </w:rPr>
        <w:t>1,807,029.87</w:t>
      </w:r>
      <w:r>
        <w:rPr/>
        <w:t>元）。管理层认为</w:t>
      </w:r>
      <w:r>
        <w:rPr>
          <w:rFonts w:ascii="Times New Roman" w:hAnsi="Times New Roman" w:cs="Times New Roman" w:eastAsia="Times New Roman" w:hint="default"/>
        </w:rPr>
        <w:t>50</w:t>
      </w:r>
      <w:r>
        <w:rPr/>
        <w:t>个基点合理反映了下一年度利率可 能发生变动的合理范围。</w:t>
      </w:r>
    </w:p>
    <w:p>
      <w:pPr>
        <w:pStyle w:val="BodyText"/>
        <w:spacing w:line="451" w:lineRule="auto" w:before="74"/>
        <w:ind w:left="574" w:right="1032"/>
        <w:jc w:val="left"/>
      </w:pPr>
      <w:r>
        <w:rPr/>
        <w:t>（</w:t>
      </w:r>
      <w:r>
        <w:rPr>
          <w:rFonts w:ascii="Times New Roman" w:hAnsi="Times New Roman" w:cs="Times New Roman" w:eastAsia="Times New Roman" w:hint="default"/>
        </w:rPr>
        <w:t>2</w:t>
      </w:r>
      <w:r>
        <w:rPr/>
        <w:t>）汇率风险 </w:t>
      </w:r>
      <w:r>
        <w:rPr>
          <w:spacing w:val="-2"/>
        </w:rPr>
        <w:t>汇率风险，是指金融工具的公允价值或未来现金流量因外汇汇率变动而发生波动的风险。本公司尽可能将外币收入与外</w:t>
      </w:r>
    </w:p>
    <w:p>
      <w:pPr>
        <w:pStyle w:val="BodyText"/>
        <w:spacing w:line="477" w:lineRule="auto" w:before="74"/>
        <w:ind w:left="574" w:right="1032" w:hanging="360"/>
        <w:jc w:val="left"/>
      </w:pPr>
      <w:r>
        <w:rPr/>
        <w:t>币支出相匹配以降低汇率风险，此外本公司未签署任何远期外汇合约或货币互换合约。 </w:t>
      </w:r>
      <w:r>
        <w:rPr>
          <w:spacing w:val="-2"/>
        </w:rPr>
        <w:t>本公司面临的汇率风险主要来源于以美元、港币计价的金融资产和金融负债，外币金融资产和外币金融负债折算成人民</w:t>
      </w:r>
    </w:p>
    <w:p>
      <w:pPr>
        <w:pStyle w:val="BodyText"/>
        <w:spacing w:line="240" w:lineRule="auto" w:before="54"/>
        <w:ind w:left="214" w:right="1753"/>
        <w:jc w:val="left"/>
      </w:pPr>
      <w:r>
        <w:rPr/>
        <w:t>币的金额列示如下：</w:t>
      </w:r>
    </w:p>
    <w:p>
      <w:pPr>
        <w:spacing w:line="240" w:lineRule="auto" w:before="13"/>
        <w:rPr>
          <w:rFonts w:ascii="宋体" w:hAnsi="宋体" w:cs="宋体" w:eastAsia="宋体" w:hint="default"/>
          <w:sz w:val="10"/>
          <w:szCs w:val="10"/>
        </w:rPr>
      </w:pPr>
    </w:p>
    <w:tbl>
      <w:tblPr>
        <w:tblW w:w="0" w:type="auto"/>
        <w:jc w:val="left"/>
        <w:tblInd w:w="101" w:type="dxa"/>
        <w:tblLayout w:type="fixed"/>
        <w:tblCellMar>
          <w:top w:w="0" w:type="dxa"/>
          <w:left w:w="0" w:type="dxa"/>
          <w:bottom w:w="0" w:type="dxa"/>
          <w:right w:w="0" w:type="dxa"/>
        </w:tblCellMar>
        <w:tblLook w:val="01E0"/>
      </w:tblPr>
      <w:tblGrid>
        <w:gridCol w:w="535"/>
        <w:gridCol w:w="495"/>
        <w:gridCol w:w="686"/>
        <w:gridCol w:w="644"/>
        <w:gridCol w:w="583"/>
        <w:gridCol w:w="726"/>
        <w:gridCol w:w="728"/>
        <w:gridCol w:w="644"/>
        <w:gridCol w:w="644"/>
        <w:gridCol w:w="582"/>
        <w:gridCol w:w="644"/>
        <w:gridCol w:w="584"/>
        <w:gridCol w:w="583"/>
        <w:gridCol w:w="544"/>
        <w:gridCol w:w="503"/>
        <w:gridCol w:w="730"/>
      </w:tblGrid>
      <w:tr>
        <w:trPr>
          <w:trHeight w:val="284" w:hRule="exact"/>
        </w:trPr>
        <w:tc>
          <w:tcPr>
            <w:tcW w:w="5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32" w:right="0"/>
              <w:jc w:val="left"/>
              <w:rPr>
                <w:rFonts w:ascii="宋体" w:hAnsi="宋体" w:cs="宋体" w:eastAsia="宋体" w:hint="default"/>
                <w:sz w:val="13"/>
                <w:szCs w:val="13"/>
              </w:rPr>
            </w:pPr>
            <w:r>
              <w:rPr>
                <w:rFonts w:ascii="宋体" w:hAnsi="宋体" w:cs="宋体" w:eastAsia="宋体" w:hint="default"/>
                <w:sz w:val="13"/>
                <w:szCs w:val="13"/>
              </w:rPr>
              <w:t>项目</w:t>
            </w:r>
          </w:p>
        </w:tc>
        <w:tc>
          <w:tcPr>
            <w:tcW w:w="3135"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1"/>
              <w:jc w:val="center"/>
              <w:rPr>
                <w:rFonts w:ascii="宋体" w:hAnsi="宋体" w:cs="宋体" w:eastAsia="宋体" w:hint="default"/>
                <w:sz w:val="13"/>
                <w:szCs w:val="13"/>
              </w:rPr>
            </w:pPr>
            <w:r>
              <w:rPr>
                <w:rFonts w:ascii="宋体" w:hAnsi="宋体" w:cs="宋体" w:eastAsia="宋体" w:hint="default"/>
                <w:sz w:val="13"/>
                <w:szCs w:val="13"/>
              </w:rPr>
              <w:t>期末余额</w:t>
            </w:r>
          </w:p>
        </w:tc>
        <w:tc>
          <w:tcPr>
            <w:tcW w:w="6186" w:type="dxa"/>
            <w:gridSpan w:val="10"/>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right="0"/>
              <w:jc w:val="center"/>
              <w:rPr>
                <w:rFonts w:ascii="宋体" w:hAnsi="宋体" w:cs="宋体" w:eastAsia="宋体" w:hint="default"/>
                <w:sz w:val="13"/>
                <w:szCs w:val="13"/>
              </w:rPr>
            </w:pPr>
            <w:r>
              <w:rPr>
                <w:rFonts w:ascii="宋体" w:hAnsi="宋体" w:cs="宋体" w:eastAsia="宋体" w:hint="default"/>
                <w:sz w:val="13"/>
                <w:szCs w:val="13"/>
              </w:rPr>
              <w:t>年初余额</w:t>
            </w:r>
          </w:p>
        </w:tc>
      </w:tr>
      <w:tr>
        <w:trPr>
          <w:trHeight w:val="649" w:hRule="exact"/>
        </w:trPr>
        <w:tc>
          <w:tcPr>
            <w:tcW w:w="535" w:type="dxa"/>
            <w:vMerge/>
            <w:tcBorders>
              <w:left w:val="single" w:sz="4" w:space="0" w:color="000000"/>
              <w:bottom w:val="single" w:sz="4" w:space="0" w:color="000000"/>
              <w:right w:val="single" w:sz="4" w:space="0" w:color="000000"/>
            </w:tcBorders>
            <w:shd w:val="clear" w:color="auto" w:fill="D2D2D2"/>
          </w:tcPr>
          <w:p>
            <w:pPr/>
          </w:p>
        </w:tc>
        <w:tc>
          <w:tcPr>
            <w:tcW w:w="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11" w:right="0"/>
              <w:jc w:val="left"/>
              <w:rPr>
                <w:rFonts w:ascii="宋体" w:hAnsi="宋体" w:cs="宋体" w:eastAsia="宋体" w:hint="default"/>
                <w:sz w:val="13"/>
                <w:szCs w:val="13"/>
              </w:rPr>
            </w:pPr>
            <w:r>
              <w:rPr>
                <w:rFonts w:ascii="宋体" w:hAnsi="宋体" w:cs="宋体" w:eastAsia="宋体" w:hint="default"/>
                <w:sz w:val="13"/>
                <w:szCs w:val="13"/>
              </w:rPr>
              <w:t>美元</w:t>
            </w:r>
          </w:p>
        </w:tc>
        <w:tc>
          <w:tcPr>
            <w:tcW w:w="6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07" w:right="0"/>
              <w:jc w:val="left"/>
              <w:rPr>
                <w:rFonts w:ascii="宋体" w:hAnsi="宋体" w:cs="宋体" w:eastAsia="宋体" w:hint="default"/>
                <w:sz w:val="13"/>
                <w:szCs w:val="13"/>
              </w:rPr>
            </w:pPr>
            <w:r>
              <w:rPr>
                <w:rFonts w:ascii="宋体" w:hAnsi="宋体" w:cs="宋体" w:eastAsia="宋体" w:hint="default"/>
                <w:sz w:val="13"/>
                <w:szCs w:val="13"/>
              </w:rPr>
              <w:t>港币</w:t>
            </w:r>
          </w:p>
        </w:tc>
        <w:tc>
          <w:tcPr>
            <w:tcW w:w="6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102"/>
              <w:ind w:left="251" w:right="121" w:hanging="130"/>
              <w:jc w:val="left"/>
              <w:rPr>
                <w:rFonts w:ascii="宋体" w:hAnsi="宋体" w:cs="宋体" w:eastAsia="宋体" w:hint="default"/>
                <w:sz w:val="13"/>
                <w:szCs w:val="13"/>
              </w:rPr>
            </w:pPr>
            <w:r>
              <w:rPr>
                <w:rFonts w:ascii="宋体" w:hAnsi="宋体" w:cs="宋体" w:eastAsia="宋体" w:hint="default"/>
                <w:sz w:val="13"/>
                <w:szCs w:val="13"/>
              </w:rPr>
              <w:t>新加坡</w:t>
            </w:r>
            <w:r>
              <w:rPr>
                <w:rFonts w:ascii="宋体" w:hAnsi="宋体" w:cs="宋体" w:eastAsia="宋体" w:hint="default"/>
                <w:w w:val="99"/>
                <w:sz w:val="13"/>
                <w:szCs w:val="13"/>
              </w:rPr>
              <w:t> </w:t>
            </w:r>
            <w:r>
              <w:rPr>
                <w:rFonts w:ascii="宋体" w:hAnsi="宋体" w:cs="宋体" w:eastAsia="宋体" w:hint="default"/>
                <w:sz w:val="13"/>
                <w:szCs w:val="13"/>
              </w:rPr>
              <w:t>币</w:t>
            </w:r>
          </w:p>
        </w:tc>
        <w:tc>
          <w:tcPr>
            <w:tcW w:w="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55" w:right="0"/>
              <w:jc w:val="left"/>
              <w:rPr>
                <w:rFonts w:ascii="宋体" w:hAnsi="宋体" w:cs="宋体" w:eastAsia="宋体" w:hint="default"/>
                <w:sz w:val="13"/>
                <w:szCs w:val="13"/>
              </w:rPr>
            </w:pPr>
            <w:r>
              <w:rPr>
                <w:rFonts w:ascii="宋体" w:hAnsi="宋体" w:cs="宋体" w:eastAsia="宋体" w:hint="default"/>
                <w:sz w:val="13"/>
                <w:szCs w:val="13"/>
              </w:rPr>
              <w:t>欧元</w:t>
            </w:r>
          </w:p>
        </w:tc>
        <w:tc>
          <w:tcPr>
            <w:tcW w:w="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26" w:right="0"/>
              <w:jc w:val="left"/>
              <w:rPr>
                <w:rFonts w:ascii="宋体" w:hAnsi="宋体" w:cs="宋体" w:eastAsia="宋体" w:hint="default"/>
                <w:sz w:val="13"/>
                <w:szCs w:val="13"/>
              </w:rPr>
            </w:pPr>
            <w:r>
              <w:rPr>
                <w:rFonts w:ascii="宋体" w:hAnsi="宋体" w:cs="宋体" w:eastAsia="宋体" w:hint="default"/>
                <w:sz w:val="13"/>
                <w:szCs w:val="13"/>
              </w:rPr>
              <w:t>合计</w:t>
            </w:r>
          </w:p>
        </w:tc>
        <w:tc>
          <w:tcPr>
            <w:tcW w:w="7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28" w:right="0"/>
              <w:jc w:val="left"/>
              <w:rPr>
                <w:rFonts w:ascii="宋体" w:hAnsi="宋体" w:cs="宋体" w:eastAsia="宋体" w:hint="default"/>
                <w:sz w:val="13"/>
                <w:szCs w:val="13"/>
              </w:rPr>
            </w:pPr>
            <w:r>
              <w:rPr>
                <w:rFonts w:ascii="宋体" w:hAnsi="宋体" w:cs="宋体" w:eastAsia="宋体" w:hint="default"/>
                <w:sz w:val="13"/>
                <w:szCs w:val="13"/>
              </w:rPr>
              <w:t>美元</w:t>
            </w:r>
          </w:p>
        </w:tc>
        <w:tc>
          <w:tcPr>
            <w:tcW w:w="6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187" w:right="0"/>
              <w:jc w:val="left"/>
              <w:rPr>
                <w:rFonts w:ascii="宋体" w:hAnsi="宋体" w:cs="宋体" w:eastAsia="宋体" w:hint="default"/>
                <w:sz w:val="13"/>
                <w:szCs w:val="13"/>
              </w:rPr>
            </w:pPr>
            <w:r>
              <w:rPr>
                <w:rFonts w:ascii="宋体" w:hAnsi="宋体" w:cs="宋体" w:eastAsia="宋体" w:hint="default"/>
                <w:sz w:val="13"/>
                <w:szCs w:val="13"/>
              </w:rPr>
              <w:t>港币</w:t>
            </w:r>
          </w:p>
        </w:tc>
        <w:tc>
          <w:tcPr>
            <w:tcW w:w="6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4"/>
                <w:szCs w:val="14"/>
              </w:rPr>
            </w:pPr>
          </w:p>
          <w:p>
            <w:pPr>
              <w:pStyle w:val="TableParagraph"/>
              <w:spacing w:line="273" w:lineRule="auto"/>
              <w:ind w:left="252" w:right="121" w:hanging="130"/>
              <w:jc w:val="left"/>
              <w:rPr>
                <w:rFonts w:ascii="宋体" w:hAnsi="宋体" w:cs="宋体" w:eastAsia="宋体" w:hint="default"/>
                <w:sz w:val="13"/>
                <w:szCs w:val="13"/>
              </w:rPr>
            </w:pPr>
            <w:r>
              <w:rPr>
                <w:rFonts w:ascii="宋体" w:hAnsi="宋体" w:cs="宋体" w:eastAsia="宋体" w:hint="default"/>
                <w:sz w:val="13"/>
                <w:szCs w:val="13"/>
              </w:rPr>
              <w:t>新加坡</w:t>
            </w:r>
            <w:r>
              <w:rPr>
                <w:rFonts w:ascii="宋体" w:hAnsi="宋体" w:cs="宋体" w:eastAsia="宋体" w:hint="default"/>
                <w:w w:val="99"/>
                <w:sz w:val="13"/>
                <w:szCs w:val="13"/>
              </w:rPr>
              <w:t> </w:t>
            </w:r>
            <w:r>
              <w:rPr>
                <w:rFonts w:ascii="宋体" w:hAnsi="宋体" w:cs="宋体" w:eastAsia="宋体" w:hint="default"/>
                <w:sz w:val="13"/>
                <w:szCs w:val="13"/>
              </w:rPr>
              <w:t>币</w:t>
            </w:r>
          </w:p>
        </w:tc>
        <w:tc>
          <w:tcPr>
            <w:tcW w:w="5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4"/>
                <w:szCs w:val="14"/>
              </w:rPr>
            </w:pPr>
          </w:p>
          <w:p>
            <w:pPr>
              <w:pStyle w:val="TableParagraph"/>
              <w:spacing w:line="273" w:lineRule="auto"/>
              <w:ind w:left="220" w:right="156" w:hanging="66"/>
              <w:jc w:val="left"/>
              <w:rPr>
                <w:rFonts w:ascii="宋体" w:hAnsi="宋体" w:cs="宋体" w:eastAsia="宋体" w:hint="default"/>
                <w:sz w:val="13"/>
                <w:szCs w:val="13"/>
              </w:rPr>
            </w:pPr>
            <w:r>
              <w:rPr>
                <w:rFonts w:ascii="宋体" w:hAnsi="宋体" w:cs="宋体" w:eastAsia="宋体" w:hint="default"/>
                <w:sz w:val="13"/>
                <w:szCs w:val="13"/>
              </w:rPr>
              <w:t>新台</w:t>
            </w:r>
            <w:r>
              <w:rPr>
                <w:rFonts w:ascii="宋体" w:hAnsi="宋体" w:cs="宋体" w:eastAsia="宋体" w:hint="default"/>
                <w:w w:val="99"/>
                <w:sz w:val="13"/>
                <w:szCs w:val="13"/>
              </w:rPr>
              <w:t> </w:t>
            </w:r>
            <w:r>
              <w:rPr>
                <w:rFonts w:ascii="宋体" w:hAnsi="宋体" w:cs="宋体" w:eastAsia="宋体" w:hint="default"/>
                <w:sz w:val="13"/>
                <w:szCs w:val="13"/>
              </w:rPr>
              <w:t>币</w:t>
            </w:r>
          </w:p>
        </w:tc>
        <w:tc>
          <w:tcPr>
            <w:tcW w:w="6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187" w:right="0"/>
              <w:jc w:val="left"/>
              <w:rPr>
                <w:rFonts w:ascii="宋体" w:hAnsi="宋体" w:cs="宋体" w:eastAsia="宋体" w:hint="default"/>
                <w:sz w:val="13"/>
                <w:szCs w:val="13"/>
              </w:rPr>
            </w:pPr>
            <w:r>
              <w:rPr>
                <w:rFonts w:ascii="宋体" w:hAnsi="宋体" w:cs="宋体" w:eastAsia="宋体" w:hint="default"/>
                <w:sz w:val="13"/>
                <w:szCs w:val="13"/>
              </w:rPr>
              <w:t>韩元</w:t>
            </w:r>
          </w:p>
        </w:tc>
        <w:tc>
          <w:tcPr>
            <w:tcW w:w="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4"/>
                <w:szCs w:val="14"/>
              </w:rPr>
            </w:pPr>
          </w:p>
          <w:p>
            <w:pPr>
              <w:pStyle w:val="TableParagraph"/>
              <w:spacing w:line="273" w:lineRule="auto"/>
              <w:ind w:left="222" w:right="156" w:hanging="67"/>
              <w:jc w:val="left"/>
              <w:rPr>
                <w:rFonts w:ascii="宋体" w:hAnsi="宋体" w:cs="宋体" w:eastAsia="宋体" w:hint="default"/>
                <w:sz w:val="13"/>
                <w:szCs w:val="13"/>
              </w:rPr>
            </w:pPr>
            <w:r>
              <w:rPr>
                <w:rFonts w:ascii="宋体" w:hAnsi="宋体" w:cs="宋体" w:eastAsia="宋体" w:hint="default"/>
                <w:sz w:val="13"/>
                <w:szCs w:val="13"/>
              </w:rPr>
              <w:t>越南</w:t>
            </w:r>
            <w:r>
              <w:rPr>
                <w:rFonts w:ascii="宋体" w:hAnsi="宋体" w:cs="宋体" w:eastAsia="宋体" w:hint="default"/>
                <w:w w:val="99"/>
                <w:sz w:val="13"/>
                <w:szCs w:val="13"/>
              </w:rPr>
              <w:t> </w:t>
            </w:r>
            <w:r>
              <w:rPr>
                <w:rFonts w:ascii="宋体" w:hAnsi="宋体" w:cs="宋体" w:eastAsia="宋体" w:hint="default"/>
                <w:sz w:val="13"/>
                <w:szCs w:val="13"/>
              </w:rPr>
              <w:t>盾</w:t>
            </w:r>
          </w:p>
        </w:tc>
        <w:tc>
          <w:tcPr>
            <w:tcW w:w="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156" w:right="0"/>
              <w:jc w:val="left"/>
              <w:rPr>
                <w:rFonts w:ascii="宋体" w:hAnsi="宋体" w:cs="宋体" w:eastAsia="宋体" w:hint="default"/>
                <w:sz w:val="13"/>
                <w:szCs w:val="13"/>
              </w:rPr>
            </w:pPr>
            <w:r>
              <w:rPr>
                <w:rFonts w:ascii="宋体" w:hAnsi="宋体" w:cs="宋体" w:eastAsia="宋体" w:hint="default"/>
                <w:sz w:val="13"/>
                <w:szCs w:val="13"/>
              </w:rPr>
              <w:t>泰铢</w:t>
            </w:r>
          </w:p>
        </w:tc>
        <w:tc>
          <w:tcPr>
            <w:tcW w:w="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136" w:right="0"/>
              <w:jc w:val="left"/>
              <w:rPr>
                <w:rFonts w:ascii="宋体" w:hAnsi="宋体" w:cs="宋体" w:eastAsia="宋体" w:hint="default"/>
                <w:sz w:val="13"/>
                <w:szCs w:val="13"/>
              </w:rPr>
            </w:pPr>
            <w:r>
              <w:rPr>
                <w:rFonts w:ascii="宋体" w:hAnsi="宋体" w:cs="宋体" w:eastAsia="宋体" w:hint="default"/>
                <w:sz w:val="13"/>
                <w:szCs w:val="13"/>
              </w:rPr>
              <w:t>欧元</w:t>
            </w:r>
          </w:p>
        </w:tc>
        <w:tc>
          <w:tcPr>
            <w:tcW w:w="5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116" w:right="0"/>
              <w:jc w:val="left"/>
              <w:rPr>
                <w:rFonts w:ascii="宋体" w:hAnsi="宋体" w:cs="宋体" w:eastAsia="宋体" w:hint="default"/>
                <w:sz w:val="13"/>
                <w:szCs w:val="13"/>
              </w:rPr>
            </w:pPr>
            <w:r>
              <w:rPr>
                <w:rFonts w:ascii="宋体" w:hAnsi="宋体" w:cs="宋体" w:eastAsia="宋体" w:hint="default"/>
                <w:sz w:val="13"/>
                <w:szCs w:val="13"/>
              </w:rPr>
              <w:t>加币</w:t>
            </w:r>
          </w:p>
        </w:tc>
        <w:tc>
          <w:tcPr>
            <w:tcW w:w="7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29" w:right="0"/>
              <w:jc w:val="left"/>
              <w:rPr>
                <w:rFonts w:ascii="宋体" w:hAnsi="宋体" w:cs="宋体" w:eastAsia="宋体" w:hint="default"/>
                <w:sz w:val="13"/>
                <w:szCs w:val="13"/>
              </w:rPr>
            </w:pPr>
            <w:r>
              <w:rPr>
                <w:rFonts w:ascii="宋体" w:hAnsi="宋体" w:cs="宋体" w:eastAsia="宋体" w:hint="default"/>
                <w:sz w:val="13"/>
                <w:szCs w:val="13"/>
              </w:rPr>
              <w:t>合计</w:t>
            </w:r>
          </w:p>
        </w:tc>
      </w:tr>
      <w:tr>
        <w:trPr>
          <w:trHeight w:val="778" w:hRule="exact"/>
        </w:trPr>
        <w:tc>
          <w:tcPr>
            <w:tcW w:w="5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2"/>
                <w:szCs w:val="12"/>
              </w:rPr>
            </w:pPr>
          </w:p>
          <w:p>
            <w:pPr>
              <w:pStyle w:val="TableParagraph"/>
              <w:spacing w:line="273" w:lineRule="auto"/>
              <w:ind w:left="103" w:right="161"/>
              <w:jc w:val="left"/>
              <w:rPr>
                <w:rFonts w:ascii="宋体" w:hAnsi="宋体" w:cs="宋体" w:eastAsia="宋体" w:hint="default"/>
                <w:sz w:val="13"/>
                <w:szCs w:val="13"/>
              </w:rPr>
            </w:pPr>
            <w:r>
              <w:rPr>
                <w:rFonts w:ascii="宋体" w:hAnsi="宋体" w:cs="宋体" w:eastAsia="宋体" w:hint="default"/>
                <w:sz w:val="13"/>
                <w:szCs w:val="13"/>
              </w:rPr>
              <w:t>货币</w:t>
            </w:r>
            <w:r>
              <w:rPr>
                <w:rFonts w:ascii="宋体" w:hAnsi="宋体" w:cs="宋体" w:eastAsia="宋体" w:hint="default"/>
                <w:w w:val="99"/>
                <w:sz w:val="13"/>
                <w:szCs w:val="13"/>
              </w:rPr>
              <w:t> </w:t>
            </w:r>
            <w:r>
              <w:rPr>
                <w:rFonts w:ascii="宋体" w:hAnsi="宋体" w:cs="宋体" w:eastAsia="宋体" w:hint="default"/>
                <w:sz w:val="13"/>
                <w:szCs w:val="13"/>
              </w:rPr>
              <w:t>资金</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53" w:right="0"/>
              <w:jc w:val="left"/>
              <w:rPr>
                <w:rFonts w:ascii="Times New Roman" w:hAnsi="Times New Roman" w:cs="Times New Roman" w:eastAsia="Times New Roman" w:hint="default"/>
                <w:sz w:val="13"/>
                <w:szCs w:val="13"/>
              </w:rPr>
            </w:pPr>
            <w:r>
              <w:rPr>
                <w:rFonts w:ascii="Times New Roman"/>
                <w:sz w:val="13"/>
              </w:rPr>
              <w:t>137,</w:t>
            </w:r>
          </w:p>
          <w:p>
            <w:pPr>
              <w:pStyle w:val="TableParagraph"/>
              <w:spacing w:line="240" w:lineRule="auto" w:before="23"/>
              <w:ind w:left="153" w:right="0"/>
              <w:jc w:val="left"/>
              <w:rPr>
                <w:rFonts w:ascii="Times New Roman" w:hAnsi="Times New Roman" w:cs="Times New Roman" w:eastAsia="Times New Roman" w:hint="default"/>
                <w:sz w:val="13"/>
                <w:szCs w:val="13"/>
              </w:rPr>
            </w:pPr>
            <w:r>
              <w:rPr>
                <w:rFonts w:ascii="Times New Roman"/>
                <w:sz w:val="13"/>
              </w:rPr>
              <w:t>996,</w:t>
            </w:r>
          </w:p>
          <w:p>
            <w:pPr>
              <w:pStyle w:val="TableParagraph"/>
              <w:spacing w:line="240" w:lineRule="auto" w:before="22"/>
              <w:ind w:left="153" w:right="0"/>
              <w:jc w:val="left"/>
              <w:rPr>
                <w:rFonts w:ascii="Times New Roman" w:hAnsi="Times New Roman" w:cs="Times New Roman" w:eastAsia="Times New Roman" w:hint="default"/>
                <w:sz w:val="13"/>
                <w:szCs w:val="13"/>
              </w:rPr>
            </w:pPr>
            <w:r>
              <w:rPr>
                <w:rFonts w:ascii="Times New Roman"/>
                <w:sz w:val="13"/>
              </w:rPr>
              <w:t>002.</w:t>
            </w:r>
          </w:p>
          <w:p>
            <w:pPr>
              <w:pStyle w:val="TableParagraph"/>
              <w:spacing w:line="240" w:lineRule="auto" w:before="22"/>
              <w:ind w:left="252" w:right="0"/>
              <w:jc w:val="left"/>
              <w:rPr>
                <w:rFonts w:ascii="Times New Roman" w:hAnsi="Times New Roman" w:cs="Times New Roman" w:eastAsia="Times New Roman" w:hint="default"/>
                <w:sz w:val="13"/>
                <w:szCs w:val="13"/>
              </w:rPr>
            </w:pPr>
            <w:r>
              <w:rPr>
                <w:rFonts w:ascii="Times New Roman"/>
                <w:sz w:val="13"/>
              </w:rPr>
              <w:t>56</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 w:right="0"/>
              <w:jc w:val="center"/>
              <w:rPr>
                <w:rFonts w:ascii="Times New Roman" w:hAnsi="Times New Roman" w:cs="Times New Roman" w:eastAsia="Times New Roman" w:hint="default"/>
                <w:sz w:val="13"/>
                <w:szCs w:val="13"/>
              </w:rPr>
            </w:pPr>
            <w:r>
              <w:rPr>
                <w:rFonts w:ascii="Times New Roman"/>
                <w:sz w:val="13"/>
              </w:rPr>
              <w:t>10,301,9</w:t>
            </w:r>
          </w:p>
          <w:p>
            <w:pPr>
              <w:pStyle w:val="TableParagraph"/>
              <w:spacing w:line="240" w:lineRule="auto" w:before="22"/>
              <w:ind w:left="176" w:right="0"/>
              <w:jc w:val="center"/>
              <w:rPr>
                <w:rFonts w:ascii="Times New Roman" w:hAnsi="Times New Roman" w:cs="Times New Roman" w:eastAsia="Times New Roman" w:hint="default"/>
                <w:sz w:val="13"/>
                <w:szCs w:val="13"/>
              </w:rPr>
            </w:pPr>
            <w:r>
              <w:rPr>
                <w:rFonts w:ascii="Times New Roman"/>
                <w:sz w:val="13"/>
              </w:rPr>
              <w:t>54.87</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1" w:right="0"/>
              <w:jc w:val="left"/>
              <w:rPr>
                <w:rFonts w:ascii="Times New Roman" w:hAnsi="Times New Roman" w:cs="Times New Roman" w:eastAsia="Times New Roman" w:hint="default"/>
                <w:sz w:val="13"/>
                <w:szCs w:val="13"/>
              </w:rPr>
            </w:pPr>
            <w:r>
              <w:rPr>
                <w:rFonts w:ascii="Times New Roman"/>
                <w:sz w:val="13"/>
              </w:rPr>
              <w:t>1,370,6</w:t>
            </w:r>
          </w:p>
          <w:p>
            <w:pPr>
              <w:pStyle w:val="TableParagraph"/>
              <w:spacing w:line="240" w:lineRule="auto" w:before="22"/>
              <w:ind w:left="238" w:right="0"/>
              <w:jc w:val="left"/>
              <w:rPr>
                <w:rFonts w:ascii="Times New Roman" w:hAnsi="Times New Roman" w:cs="Times New Roman" w:eastAsia="Times New Roman" w:hint="default"/>
                <w:sz w:val="13"/>
                <w:szCs w:val="13"/>
              </w:rPr>
            </w:pPr>
            <w:r>
              <w:rPr>
                <w:rFonts w:ascii="Times New Roman"/>
                <w:sz w:val="13"/>
              </w:rPr>
              <w:t>93.71</w:t>
            </w: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8" w:right="0"/>
              <w:jc w:val="center"/>
              <w:rPr>
                <w:rFonts w:ascii="Times New Roman" w:hAnsi="Times New Roman" w:cs="Times New Roman" w:eastAsia="Times New Roman" w:hint="default"/>
                <w:sz w:val="13"/>
                <w:szCs w:val="13"/>
              </w:rPr>
            </w:pPr>
            <w:r>
              <w:rPr>
                <w:rFonts w:ascii="Times New Roman"/>
                <w:sz w:val="13"/>
              </w:rPr>
              <w:t>190,77</w:t>
            </w:r>
          </w:p>
          <w:p>
            <w:pPr>
              <w:pStyle w:val="TableParagraph"/>
              <w:spacing w:line="240" w:lineRule="auto" w:before="22"/>
              <w:ind w:left="137" w:right="0"/>
              <w:jc w:val="center"/>
              <w:rPr>
                <w:rFonts w:ascii="Times New Roman" w:hAnsi="Times New Roman" w:cs="Times New Roman" w:eastAsia="Times New Roman" w:hint="default"/>
                <w:sz w:val="13"/>
                <w:szCs w:val="13"/>
              </w:rPr>
            </w:pPr>
            <w:r>
              <w:rPr>
                <w:rFonts w:ascii="Times New Roman"/>
                <w:sz w:val="13"/>
              </w:rPr>
              <w:t>6.81</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58" w:right="0"/>
              <w:jc w:val="left"/>
              <w:rPr>
                <w:rFonts w:ascii="Times New Roman" w:hAnsi="Times New Roman" w:cs="Times New Roman" w:eastAsia="Times New Roman" w:hint="default"/>
                <w:sz w:val="13"/>
                <w:szCs w:val="13"/>
              </w:rPr>
            </w:pPr>
            <w:r>
              <w:rPr>
                <w:rFonts w:ascii="Times New Roman"/>
                <w:sz w:val="13"/>
              </w:rPr>
              <w:t>149,859,</w:t>
            </w:r>
          </w:p>
          <w:p>
            <w:pPr>
              <w:pStyle w:val="TableParagraph"/>
              <w:spacing w:line="240" w:lineRule="auto" w:before="22"/>
              <w:ind w:left="255" w:right="0"/>
              <w:jc w:val="left"/>
              <w:rPr>
                <w:rFonts w:ascii="Times New Roman" w:hAnsi="Times New Roman" w:cs="Times New Roman" w:eastAsia="Times New Roman" w:hint="default"/>
                <w:sz w:val="13"/>
                <w:szCs w:val="13"/>
              </w:rPr>
            </w:pPr>
            <w:r>
              <w:rPr>
                <w:rFonts w:ascii="Times New Roman"/>
                <w:sz w:val="13"/>
              </w:rPr>
              <w:t>427.95</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59" w:right="0"/>
              <w:jc w:val="left"/>
              <w:rPr>
                <w:rFonts w:ascii="Times New Roman" w:hAnsi="Times New Roman" w:cs="Times New Roman" w:eastAsia="Times New Roman" w:hint="default"/>
                <w:sz w:val="13"/>
                <w:szCs w:val="13"/>
              </w:rPr>
            </w:pPr>
            <w:r>
              <w:rPr>
                <w:rFonts w:ascii="Times New Roman"/>
                <w:sz w:val="13"/>
              </w:rPr>
              <w:t>134,640,</w:t>
            </w:r>
          </w:p>
          <w:p>
            <w:pPr>
              <w:pStyle w:val="TableParagraph"/>
              <w:spacing w:line="240" w:lineRule="auto" w:before="22"/>
              <w:ind w:left="257" w:right="0"/>
              <w:jc w:val="left"/>
              <w:rPr>
                <w:rFonts w:ascii="Times New Roman" w:hAnsi="Times New Roman" w:cs="Times New Roman" w:eastAsia="Times New Roman" w:hint="default"/>
                <w:sz w:val="13"/>
                <w:szCs w:val="13"/>
              </w:rPr>
            </w:pPr>
            <w:r>
              <w:rPr>
                <w:rFonts w:ascii="Times New Roman"/>
                <w:sz w:val="13"/>
              </w:rPr>
              <w:t>536.38</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1" w:right="0"/>
              <w:jc w:val="left"/>
              <w:rPr>
                <w:rFonts w:ascii="Times New Roman" w:hAnsi="Times New Roman" w:cs="Times New Roman" w:eastAsia="Times New Roman" w:hint="default"/>
                <w:sz w:val="13"/>
                <w:szCs w:val="13"/>
              </w:rPr>
            </w:pPr>
            <w:r>
              <w:rPr>
                <w:rFonts w:ascii="Times New Roman"/>
                <w:sz w:val="13"/>
              </w:rPr>
              <w:t>8,564,9</w:t>
            </w:r>
          </w:p>
          <w:p>
            <w:pPr>
              <w:pStyle w:val="TableParagraph"/>
              <w:spacing w:line="240" w:lineRule="auto" w:before="22"/>
              <w:ind w:left="238" w:right="0"/>
              <w:jc w:val="left"/>
              <w:rPr>
                <w:rFonts w:ascii="Times New Roman" w:hAnsi="Times New Roman" w:cs="Times New Roman" w:eastAsia="Times New Roman" w:hint="default"/>
                <w:sz w:val="13"/>
                <w:szCs w:val="13"/>
              </w:rPr>
            </w:pPr>
            <w:r>
              <w:rPr>
                <w:rFonts w:ascii="Times New Roman"/>
                <w:sz w:val="13"/>
              </w:rPr>
              <w:t>54.55</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1" w:right="0"/>
              <w:jc w:val="left"/>
              <w:rPr>
                <w:rFonts w:ascii="Times New Roman" w:hAnsi="Times New Roman" w:cs="Times New Roman" w:eastAsia="Times New Roman" w:hint="default"/>
                <w:sz w:val="13"/>
                <w:szCs w:val="13"/>
              </w:rPr>
            </w:pPr>
            <w:r>
              <w:rPr>
                <w:rFonts w:ascii="Times New Roman"/>
                <w:sz w:val="13"/>
              </w:rPr>
              <w:t>1,686,2</w:t>
            </w:r>
          </w:p>
          <w:p>
            <w:pPr>
              <w:pStyle w:val="TableParagraph"/>
              <w:spacing w:line="240" w:lineRule="auto" w:before="22"/>
              <w:ind w:left="238" w:right="0"/>
              <w:jc w:val="left"/>
              <w:rPr>
                <w:rFonts w:ascii="Times New Roman" w:hAnsi="Times New Roman" w:cs="Times New Roman" w:eastAsia="Times New Roman" w:hint="default"/>
                <w:sz w:val="13"/>
                <w:szCs w:val="13"/>
              </w:rPr>
            </w:pPr>
            <w:r>
              <w:rPr>
                <w:rFonts w:ascii="Times New Roman"/>
                <w:sz w:val="13"/>
              </w:rPr>
              <w:t>90.45</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 w:right="0"/>
              <w:jc w:val="center"/>
              <w:rPr>
                <w:rFonts w:ascii="Times New Roman" w:hAnsi="Times New Roman" w:cs="Times New Roman" w:eastAsia="Times New Roman" w:hint="default"/>
                <w:sz w:val="13"/>
                <w:szCs w:val="13"/>
              </w:rPr>
            </w:pPr>
            <w:r>
              <w:rPr>
                <w:rFonts w:ascii="Times New Roman"/>
                <w:sz w:val="13"/>
              </w:rPr>
              <w:t>766,56</w:t>
            </w:r>
          </w:p>
          <w:p>
            <w:pPr>
              <w:pStyle w:val="TableParagraph"/>
              <w:spacing w:line="240" w:lineRule="auto" w:before="22"/>
              <w:ind w:left="136" w:right="0"/>
              <w:jc w:val="center"/>
              <w:rPr>
                <w:rFonts w:ascii="Times New Roman" w:hAnsi="Times New Roman" w:cs="Times New Roman" w:eastAsia="Times New Roman" w:hint="default"/>
                <w:sz w:val="13"/>
                <w:szCs w:val="13"/>
              </w:rPr>
            </w:pPr>
            <w:r>
              <w:rPr>
                <w:rFonts w:ascii="Times New Roman"/>
                <w:sz w:val="13"/>
              </w:rPr>
              <w:t>6.90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1" w:right="0"/>
              <w:jc w:val="left"/>
              <w:rPr>
                <w:rFonts w:ascii="Times New Roman" w:hAnsi="Times New Roman" w:cs="Times New Roman" w:eastAsia="Times New Roman" w:hint="default"/>
                <w:sz w:val="13"/>
                <w:szCs w:val="13"/>
              </w:rPr>
            </w:pPr>
            <w:r>
              <w:rPr>
                <w:rFonts w:ascii="Times New Roman"/>
                <w:sz w:val="13"/>
              </w:rPr>
              <w:t>1,656,9</w:t>
            </w:r>
          </w:p>
          <w:p>
            <w:pPr>
              <w:pStyle w:val="TableParagraph"/>
              <w:spacing w:line="240" w:lineRule="auto" w:before="22"/>
              <w:ind w:left="238" w:right="0"/>
              <w:jc w:val="left"/>
              <w:rPr>
                <w:rFonts w:ascii="Times New Roman" w:hAnsi="Times New Roman" w:cs="Times New Roman" w:eastAsia="Times New Roman" w:hint="default"/>
                <w:sz w:val="13"/>
                <w:szCs w:val="13"/>
              </w:rPr>
            </w:pPr>
            <w:r>
              <w:rPr>
                <w:rFonts w:ascii="Times New Roman"/>
                <w:sz w:val="13"/>
              </w:rPr>
              <w:t>44.01</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 w:right="0"/>
              <w:jc w:val="center"/>
              <w:rPr>
                <w:rFonts w:ascii="Times New Roman" w:hAnsi="Times New Roman" w:cs="Times New Roman" w:eastAsia="Times New Roman" w:hint="default"/>
                <w:sz w:val="13"/>
                <w:szCs w:val="13"/>
              </w:rPr>
            </w:pPr>
            <w:r>
              <w:rPr>
                <w:rFonts w:ascii="Times New Roman"/>
                <w:sz w:val="13"/>
              </w:rPr>
              <w:t>432,67</w:t>
            </w:r>
          </w:p>
          <w:p>
            <w:pPr>
              <w:pStyle w:val="TableParagraph"/>
              <w:spacing w:line="240" w:lineRule="auto" w:before="22"/>
              <w:ind w:left="138" w:right="0"/>
              <w:jc w:val="center"/>
              <w:rPr>
                <w:rFonts w:ascii="Times New Roman" w:hAnsi="Times New Roman" w:cs="Times New Roman" w:eastAsia="Times New Roman" w:hint="default"/>
                <w:sz w:val="13"/>
                <w:szCs w:val="13"/>
              </w:rPr>
            </w:pPr>
            <w:r>
              <w:rPr>
                <w:rFonts w:ascii="Times New Roman"/>
                <w:sz w:val="13"/>
              </w:rPr>
              <w:t>1.13</w:t>
            </w: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8" w:right="0"/>
              <w:jc w:val="center"/>
              <w:rPr>
                <w:rFonts w:ascii="Times New Roman" w:hAnsi="Times New Roman" w:cs="Times New Roman" w:eastAsia="Times New Roman" w:hint="default"/>
                <w:sz w:val="13"/>
                <w:szCs w:val="13"/>
              </w:rPr>
            </w:pPr>
            <w:r>
              <w:rPr>
                <w:rFonts w:ascii="Times New Roman"/>
                <w:sz w:val="13"/>
              </w:rPr>
              <w:t>748,39</w:t>
            </w:r>
          </w:p>
          <w:p>
            <w:pPr>
              <w:pStyle w:val="TableParagraph"/>
              <w:spacing w:line="240" w:lineRule="auto" w:before="22"/>
              <w:ind w:left="138" w:right="0"/>
              <w:jc w:val="center"/>
              <w:rPr>
                <w:rFonts w:ascii="Times New Roman" w:hAnsi="Times New Roman" w:cs="Times New Roman" w:eastAsia="Times New Roman" w:hint="default"/>
                <w:sz w:val="13"/>
                <w:szCs w:val="13"/>
              </w:rPr>
            </w:pPr>
            <w:r>
              <w:rPr>
                <w:rFonts w:ascii="Times New Roman"/>
                <w:sz w:val="13"/>
              </w:rPr>
              <w:t>9.55</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37" w:right="0"/>
              <w:jc w:val="left"/>
              <w:rPr>
                <w:rFonts w:ascii="Times New Roman" w:hAnsi="Times New Roman" w:cs="Times New Roman" w:eastAsia="Times New Roman" w:hint="default"/>
                <w:sz w:val="13"/>
                <w:szCs w:val="13"/>
              </w:rPr>
            </w:pPr>
            <w:r>
              <w:rPr>
                <w:rFonts w:ascii="Times New Roman"/>
                <w:sz w:val="13"/>
              </w:rPr>
              <w:t>80,62</w:t>
            </w:r>
          </w:p>
          <w:p>
            <w:pPr>
              <w:pStyle w:val="TableParagraph"/>
              <w:spacing w:line="240" w:lineRule="auto" w:before="22"/>
              <w:ind w:left="202" w:right="0"/>
              <w:jc w:val="left"/>
              <w:rPr>
                <w:rFonts w:ascii="Times New Roman" w:hAnsi="Times New Roman" w:cs="Times New Roman" w:eastAsia="Times New Roman" w:hint="default"/>
                <w:sz w:val="13"/>
                <w:szCs w:val="13"/>
              </w:rPr>
            </w:pPr>
            <w:r>
              <w:rPr>
                <w:rFonts w:ascii="Times New Roman"/>
                <w:sz w:val="13"/>
              </w:rPr>
              <w:t>5.15</w:t>
            </w:r>
          </w:p>
        </w:tc>
        <w:tc>
          <w:tcPr>
            <w:tcW w:w="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2" w:right="0"/>
              <w:jc w:val="left"/>
              <w:rPr>
                <w:rFonts w:ascii="Times New Roman" w:hAnsi="Times New Roman" w:cs="Times New Roman" w:eastAsia="Times New Roman" w:hint="default"/>
                <w:sz w:val="13"/>
                <w:szCs w:val="13"/>
              </w:rPr>
            </w:pPr>
            <w:r>
              <w:rPr>
                <w:rFonts w:ascii="Times New Roman"/>
                <w:sz w:val="13"/>
              </w:rPr>
              <w:t>2,07</w:t>
            </w:r>
          </w:p>
          <w:p>
            <w:pPr>
              <w:pStyle w:val="TableParagraph"/>
              <w:spacing w:line="240" w:lineRule="auto" w:before="22"/>
              <w:ind w:left="162" w:right="0"/>
              <w:jc w:val="left"/>
              <w:rPr>
                <w:rFonts w:ascii="Times New Roman" w:hAnsi="Times New Roman" w:cs="Times New Roman" w:eastAsia="Times New Roman" w:hint="default"/>
                <w:sz w:val="13"/>
                <w:szCs w:val="13"/>
              </w:rPr>
            </w:pPr>
            <w:r>
              <w:rPr>
                <w:rFonts w:ascii="Times New Roman"/>
                <w:sz w:val="13"/>
              </w:rPr>
              <w:t>1.41</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0" w:right="0"/>
              <w:jc w:val="left"/>
              <w:rPr>
                <w:rFonts w:ascii="Times New Roman" w:hAnsi="Times New Roman" w:cs="Times New Roman" w:eastAsia="Times New Roman" w:hint="default"/>
                <w:sz w:val="13"/>
                <w:szCs w:val="13"/>
              </w:rPr>
            </w:pPr>
            <w:r>
              <w:rPr>
                <w:rFonts w:ascii="Times New Roman"/>
                <w:sz w:val="13"/>
              </w:rPr>
              <w:t>148,579,</w:t>
            </w:r>
          </w:p>
          <w:p>
            <w:pPr>
              <w:pStyle w:val="TableParagraph"/>
              <w:spacing w:line="240" w:lineRule="auto" w:before="22"/>
              <w:ind w:left="257" w:right="0"/>
              <w:jc w:val="left"/>
              <w:rPr>
                <w:rFonts w:ascii="Times New Roman" w:hAnsi="Times New Roman" w:cs="Times New Roman" w:eastAsia="Times New Roman" w:hint="default"/>
                <w:sz w:val="13"/>
                <w:szCs w:val="13"/>
              </w:rPr>
            </w:pPr>
            <w:r>
              <w:rPr>
                <w:rFonts w:ascii="Times New Roman"/>
                <w:sz w:val="13"/>
              </w:rPr>
              <w:t>059.53</w:t>
            </w:r>
          </w:p>
        </w:tc>
      </w:tr>
      <w:tr>
        <w:trPr>
          <w:trHeight w:val="778" w:hRule="exact"/>
        </w:trPr>
        <w:tc>
          <w:tcPr>
            <w:tcW w:w="5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2"/>
                <w:szCs w:val="12"/>
              </w:rPr>
            </w:pPr>
          </w:p>
          <w:p>
            <w:pPr>
              <w:pStyle w:val="TableParagraph"/>
              <w:spacing w:line="273" w:lineRule="auto"/>
              <w:ind w:left="103" w:right="161"/>
              <w:jc w:val="left"/>
              <w:rPr>
                <w:rFonts w:ascii="宋体" w:hAnsi="宋体" w:cs="宋体" w:eastAsia="宋体" w:hint="default"/>
                <w:sz w:val="13"/>
                <w:szCs w:val="13"/>
              </w:rPr>
            </w:pPr>
            <w:r>
              <w:rPr>
                <w:rFonts w:ascii="宋体" w:hAnsi="宋体" w:cs="宋体" w:eastAsia="宋体" w:hint="default"/>
                <w:sz w:val="13"/>
                <w:szCs w:val="13"/>
              </w:rPr>
              <w:t>应收</w:t>
            </w:r>
            <w:r>
              <w:rPr>
                <w:rFonts w:ascii="宋体" w:hAnsi="宋体" w:cs="宋体" w:eastAsia="宋体" w:hint="default"/>
                <w:w w:val="99"/>
                <w:sz w:val="13"/>
                <w:szCs w:val="13"/>
              </w:rPr>
              <w:t> </w:t>
            </w:r>
            <w:r>
              <w:rPr>
                <w:rFonts w:ascii="宋体" w:hAnsi="宋体" w:cs="宋体" w:eastAsia="宋体" w:hint="default"/>
                <w:sz w:val="13"/>
                <w:szCs w:val="13"/>
              </w:rPr>
              <w:t>账款</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49" w:right="0"/>
              <w:jc w:val="center"/>
              <w:rPr>
                <w:rFonts w:ascii="Times New Roman" w:hAnsi="Times New Roman" w:cs="Times New Roman" w:eastAsia="Times New Roman" w:hint="default"/>
                <w:sz w:val="13"/>
                <w:szCs w:val="13"/>
              </w:rPr>
            </w:pPr>
            <w:r>
              <w:rPr>
                <w:rFonts w:ascii="Times New Roman"/>
                <w:sz w:val="13"/>
              </w:rPr>
              <w:t>52,9</w:t>
            </w:r>
          </w:p>
          <w:p>
            <w:pPr>
              <w:pStyle w:val="TableParagraph"/>
              <w:spacing w:line="240" w:lineRule="auto" w:before="23"/>
              <w:ind w:left="49" w:right="0"/>
              <w:jc w:val="center"/>
              <w:rPr>
                <w:rFonts w:ascii="Times New Roman" w:hAnsi="Times New Roman" w:cs="Times New Roman" w:eastAsia="Times New Roman" w:hint="default"/>
                <w:sz w:val="13"/>
                <w:szCs w:val="13"/>
              </w:rPr>
            </w:pPr>
            <w:r>
              <w:rPr>
                <w:rFonts w:ascii="Times New Roman"/>
                <w:sz w:val="13"/>
              </w:rPr>
              <w:t>04,1</w:t>
            </w:r>
          </w:p>
          <w:p>
            <w:pPr>
              <w:pStyle w:val="TableParagraph"/>
              <w:spacing w:line="240" w:lineRule="auto" w:before="22"/>
              <w:ind w:left="49" w:right="0"/>
              <w:jc w:val="center"/>
              <w:rPr>
                <w:rFonts w:ascii="Times New Roman" w:hAnsi="Times New Roman" w:cs="Times New Roman" w:eastAsia="Times New Roman" w:hint="default"/>
                <w:sz w:val="13"/>
                <w:szCs w:val="13"/>
              </w:rPr>
            </w:pPr>
            <w:r>
              <w:rPr>
                <w:rFonts w:ascii="Times New Roman"/>
                <w:sz w:val="13"/>
              </w:rPr>
              <w:t>93.9</w:t>
            </w:r>
          </w:p>
          <w:p>
            <w:pPr>
              <w:pStyle w:val="TableParagraph"/>
              <w:spacing w:line="240" w:lineRule="auto" w:before="23"/>
              <w:ind w:left="214" w:right="0"/>
              <w:jc w:val="center"/>
              <w:rPr>
                <w:rFonts w:ascii="Times New Roman" w:hAnsi="Times New Roman" w:cs="Times New Roman" w:eastAsia="Times New Roman" w:hint="default"/>
                <w:sz w:val="13"/>
                <w:szCs w:val="13"/>
              </w:rPr>
            </w:pPr>
            <w:r>
              <w:rPr>
                <w:rFonts w:ascii="Times New Roman"/>
                <w:w w:val="99"/>
                <w:sz w:val="13"/>
              </w:rPr>
              <w:t>0</w:t>
            </w:r>
            <w:r>
              <w:rPr>
                <w:rFonts w:ascii="Times New Roman"/>
                <w:sz w:val="13"/>
              </w:rPr>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18" w:right="0"/>
              <w:jc w:val="left"/>
              <w:rPr>
                <w:rFonts w:ascii="Times New Roman" w:hAnsi="Times New Roman" w:cs="Times New Roman" w:eastAsia="Times New Roman" w:hint="default"/>
                <w:sz w:val="13"/>
                <w:szCs w:val="13"/>
              </w:rPr>
            </w:pPr>
            <w:r>
              <w:rPr>
                <w:rFonts w:ascii="Times New Roman"/>
                <w:sz w:val="13"/>
              </w:rPr>
              <w:t>6,845,84</w:t>
            </w:r>
          </w:p>
          <w:p>
            <w:pPr>
              <w:pStyle w:val="TableParagraph"/>
              <w:spacing w:line="240" w:lineRule="auto" w:before="22"/>
              <w:ind w:left="345" w:right="0"/>
              <w:jc w:val="left"/>
              <w:rPr>
                <w:rFonts w:ascii="Times New Roman" w:hAnsi="Times New Roman" w:cs="Times New Roman" w:eastAsia="Times New Roman" w:hint="default"/>
                <w:sz w:val="13"/>
                <w:szCs w:val="13"/>
              </w:rPr>
            </w:pPr>
            <w:r>
              <w:rPr>
                <w:rFonts w:ascii="Times New Roman"/>
                <w:sz w:val="13"/>
              </w:rPr>
              <w:t>1.98</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9" w:right="0"/>
              <w:jc w:val="left"/>
              <w:rPr>
                <w:rFonts w:ascii="Times New Roman" w:hAnsi="Times New Roman" w:cs="Times New Roman" w:eastAsia="Times New Roman" w:hint="default"/>
                <w:sz w:val="13"/>
                <w:szCs w:val="13"/>
              </w:rPr>
            </w:pPr>
            <w:r>
              <w:rPr>
                <w:rFonts w:ascii="Times New Roman"/>
                <w:sz w:val="13"/>
              </w:rPr>
              <w:t>658,641</w:t>
            </w:r>
          </w:p>
          <w:p>
            <w:pPr>
              <w:pStyle w:val="TableParagraph"/>
              <w:spacing w:line="240" w:lineRule="auto" w:before="22"/>
              <w:ind w:left="369" w:right="0"/>
              <w:jc w:val="left"/>
              <w:rPr>
                <w:rFonts w:ascii="Times New Roman" w:hAnsi="Times New Roman" w:cs="Times New Roman" w:eastAsia="Times New Roman" w:hint="default"/>
                <w:sz w:val="13"/>
                <w:szCs w:val="13"/>
              </w:rPr>
            </w:pPr>
            <w:r>
              <w:rPr>
                <w:rFonts w:ascii="Times New Roman"/>
                <w:sz w:val="13"/>
              </w:rPr>
              <w:t>.50</w:t>
            </w:r>
          </w:p>
        </w:tc>
        <w:tc>
          <w:tcPr>
            <w:tcW w:w="583"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4" w:right="0"/>
              <w:jc w:val="center"/>
              <w:rPr>
                <w:rFonts w:ascii="Times New Roman" w:hAnsi="Times New Roman" w:cs="Times New Roman" w:eastAsia="Times New Roman" w:hint="default"/>
                <w:sz w:val="13"/>
                <w:szCs w:val="13"/>
              </w:rPr>
            </w:pPr>
            <w:r>
              <w:rPr>
                <w:rFonts w:ascii="Times New Roman"/>
                <w:sz w:val="13"/>
              </w:rPr>
              <w:t>60,408,6</w:t>
            </w:r>
          </w:p>
          <w:p>
            <w:pPr>
              <w:pStyle w:val="TableParagraph"/>
              <w:spacing w:line="240" w:lineRule="auto" w:before="22"/>
              <w:ind w:left="216" w:right="0"/>
              <w:jc w:val="center"/>
              <w:rPr>
                <w:rFonts w:ascii="Times New Roman" w:hAnsi="Times New Roman" w:cs="Times New Roman" w:eastAsia="Times New Roman" w:hint="default"/>
                <w:sz w:val="13"/>
                <w:szCs w:val="13"/>
              </w:rPr>
            </w:pPr>
            <w:r>
              <w:rPr>
                <w:rFonts w:ascii="Times New Roman"/>
                <w:sz w:val="13"/>
              </w:rPr>
              <w:t>77.38</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4" w:right="0"/>
              <w:jc w:val="center"/>
              <w:rPr>
                <w:rFonts w:ascii="Times New Roman" w:hAnsi="Times New Roman" w:cs="Times New Roman" w:eastAsia="Times New Roman" w:hint="default"/>
                <w:sz w:val="13"/>
                <w:szCs w:val="13"/>
              </w:rPr>
            </w:pPr>
            <w:r>
              <w:rPr>
                <w:rFonts w:ascii="Times New Roman"/>
                <w:sz w:val="13"/>
              </w:rPr>
              <w:t>56,257,9</w:t>
            </w:r>
          </w:p>
          <w:p>
            <w:pPr>
              <w:pStyle w:val="TableParagraph"/>
              <w:spacing w:line="240" w:lineRule="auto" w:before="22"/>
              <w:ind w:left="217" w:right="0"/>
              <w:jc w:val="center"/>
              <w:rPr>
                <w:rFonts w:ascii="Times New Roman" w:hAnsi="Times New Roman" w:cs="Times New Roman" w:eastAsia="Times New Roman" w:hint="default"/>
                <w:sz w:val="13"/>
                <w:szCs w:val="13"/>
              </w:rPr>
            </w:pPr>
            <w:r>
              <w:rPr>
                <w:rFonts w:ascii="Times New Roman"/>
                <w:sz w:val="13"/>
              </w:rPr>
              <w:t>07.32</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9" w:right="0"/>
              <w:jc w:val="left"/>
              <w:rPr>
                <w:rFonts w:ascii="Times New Roman" w:hAnsi="Times New Roman" w:cs="Times New Roman" w:eastAsia="Times New Roman" w:hint="default"/>
                <w:sz w:val="13"/>
                <w:szCs w:val="13"/>
              </w:rPr>
            </w:pPr>
            <w:r>
              <w:rPr>
                <w:rFonts w:ascii="Times New Roman"/>
                <w:sz w:val="13"/>
              </w:rPr>
              <w:t>219,101</w:t>
            </w:r>
          </w:p>
          <w:p>
            <w:pPr>
              <w:pStyle w:val="TableParagraph"/>
              <w:spacing w:line="240" w:lineRule="auto" w:before="22"/>
              <w:ind w:left="369" w:right="0"/>
              <w:jc w:val="left"/>
              <w:rPr>
                <w:rFonts w:ascii="Times New Roman" w:hAnsi="Times New Roman" w:cs="Times New Roman" w:eastAsia="Times New Roman" w:hint="default"/>
                <w:sz w:val="13"/>
                <w:szCs w:val="13"/>
              </w:rPr>
            </w:pPr>
            <w:r>
              <w:rPr>
                <w:rFonts w:ascii="Times New Roman"/>
                <w:sz w:val="13"/>
              </w:rPr>
              <w:t>.64</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9" w:right="0"/>
              <w:jc w:val="left"/>
              <w:rPr>
                <w:rFonts w:ascii="Times New Roman" w:hAnsi="Times New Roman" w:cs="Times New Roman" w:eastAsia="Times New Roman" w:hint="default"/>
                <w:sz w:val="13"/>
                <w:szCs w:val="13"/>
              </w:rPr>
            </w:pPr>
            <w:r>
              <w:rPr>
                <w:rFonts w:ascii="Times New Roman"/>
                <w:sz w:val="13"/>
              </w:rPr>
              <w:t>925,805</w:t>
            </w:r>
          </w:p>
          <w:p>
            <w:pPr>
              <w:pStyle w:val="TableParagraph"/>
              <w:spacing w:line="240" w:lineRule="auto" w:before="22"/>
              <w:ind w:left="369" w:right="0"/>
              <w:jc w:val="left"/>
              <w:rPr>
                <w:rFonts w:ascii="Times New Roman" w:hAnsi="Times New Roman" w:cs="Times New Roman" w:eastAsia="Times New Roman" w:hint="default"/>
                <w:sz w:val="13"/>
                <w:szCs w:val="13"/>
              </w:rPr>
            </w:pPr>
            <w:r>
              <w:rPr>
                <w:rFonts w:ascii="Times New Roman"/>
                <w:sz w:val="13"/>
              </w:rPr>
              <w:t>.97</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6"/>
              <w:ind w:right="0"/>
              <w:jc w:val="left"/>
              <w:rPr>
                <w:rFonts w:ascii="宋体" w:hAnsi="宋体" w:cs="宋体" w:eastAsia="宋体" w:hint="default"/>
                <w:sz w:val="10"/>
                <w:szCs w:val="10"/>
              </w:rPr>
            </w:pPr>
          </w:p>
          <w:p>
            <w:pPr>
              <w:pStyle w:val="TableParagraph"/>
              <w:spacing w:line="240" w:lineRule="auto"/>
              <w:ind w:left="111" w:right="0"/>
              <w:jc w:val="left"/>
              <w:rPr>
                <w:rFonts w:ascii="Times New Roman" w:hAnsi="Times New Roman" w:cs="Times New Roman" w:eastAsia="Times New Roman" w:hint="default"/>
                <w:sz w:val="13"/>
                <w:szCs w:val="13"/>
              </w:rPr>
            </w:pPr>
            <w:r>
              <w:rPr>
                <w:rFonts w:ascii="Times New Roman"/>
                <w:sz w:val="13"/>
              </w:rPr>
              <w:t>553.22</w:t>
            </w:r>
          </w:p>
        </w:tc>
        <w:tc>
          <w:tcPr>
            <w:tcW w:w="64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44" w:type="dxa"/>
            <w:tcBorders>
              <w:top w:val="single" w:sz="4" w:space="0" w:color="000000"/>
              <w:left w:val="single" w:sz="4" w:space="0" w:color="000000"/>
              <w:bottom w:val="single" w:sz="4" w:space="0" w:color="000000"/>
              <w:right w:val="single" w:sz="4" w:space="0" w:color="000000"/>
            </w:tcBorders>
          </w:tcPr>
          <w:p>
            <w:pPr/>
          </w:p>
        </w:tc>
        <w:tc>
          <w:tcPr>
            <w:tcW w:w="503"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5" w:right="0"/>
              <w:jc w:val="center"/>
              <w:rPr>
                <w:rFonts w:ascii="Times New Roman" w:hAnsi="Times New Roman" w:cs="Times New Roman" w:eastAsia="Times New Roman" w:hint="default"/>
                <w:sz w:val="13"/>
                <w:szCs w:val="13"/>
              </w:rPr>
            </w:pPr>
            <w:r>
              <w:rPr>
                <w:rFonts w:ascii="Times New Roman"/>
                <w:sz w:val="13"/>
              </w:rPr>
              <w:t>57,403,3</w:t>
            </w:r>
          </w:p>
          <w:p>
            <w:pPr>
              <w:pStyle w:val="TableParagraph"/>
              <w:spacing w:line="240" w:lineRule="auto" w:before="22"/>
              <w:ind w:left="217" w:right="0"/>
              <w:jc w:val="center"/>
              <w:rPr>
                <w:rFonts w:ascii="Times New Roman" w:hAnsi="Times New Roman" w:cs="Times New Roman" w:eastAsia="Times New Roman" w:hint="default"/>
                <w:sz w:val="13"/>
                <w:szCs w:val="13"/>
              </w:rPr>
            </w:pPr>
            <w:r>
              <w:rPr>
                <w:rFonts w:ascii="Times New Roman"/>
                <w:sz w:val="13"/>
              </w:rPr>
              <w:t>68.15</w:t>
            </w:r>
          </w:p>
        </w:tc>
      </w:tr>
      <w:tr>
        <w:trPr>
          <w:trHeight w:val="672" w:hRule="exact"/>
        </w:trPr>
        <w:tc>
          <w:tcPr>
            <w:tcW w:w="5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16"/>
              <w:ind w:left="103" w:right="161"/>
              <w:jc w:val="both"/>
              <w:rPr>
                <w:rFonts w:ascii="宋体" w:hAnsi="宋体" w:cs="宋体" w:eastAsia="宋体" w:hint="default"/>
                <w:sz w:val="13"/>
                <w:szCs w:val="13"/>
              </w:rPr>
            </w:pPr>
            <w:r>
              <w:rPr>
                <w:rFonts w:ascii="宋体" w:hAnsi="宋体" w:cs="宋体" w:eastAsia="宋体" w:hint="default"/>
                <w:sz w:val="13"/>
                <w:szCs w:val="13"/>
              </w:rPr>
              <w:t>其他</w:t>
            </w:r>
            <w:r>
              <w:rPr>
                <w:rFonts w:ascii="宋体" w:hAnsi="宋体" w:cs="宋体" w:eastAsia="宋体" w:hint="default"/>
                <w:w w:val="99"/>
                <w:sz w:val="13"/>
                <w:szCs w:val="13"/>
              </w:rPr>
              <w:t> </w:t>
            </w:r>
            <w:r>
              <w:rPr>
                <w:rFonts w:ascii="宋体" w:hAnsi="宋体" w:cs="宋体" w:eastAsia="宋体" w:hint="default"/>
                <w:sz w:val="13"/>
                <w:szCs w:val="13"/>
              </w:rPr>
              <w:t>应收</w:t>
            </w:r>
            <w:r>
              <w:rPr>
                <w:rFonts w:ascii="宋体" w:hAnsi="宋体" w:cs="宋体" w:eastAsia="宋体" w:hint="default"/>
                <w:w w:val="99"/>
                <w:sz w:val="13"/>
                <w:szCs w:val="13"/>
              </w:rPr>
              <w:t> </w:t>
            </w:r>
            <w:r>
              <w:rPr>
                <w:rFonts w:ascii="宋体" w:hAnsi="宋体" w:cs="宋体" w:eastAsia="宋体" w:hint="default"/>
                <w:sz w:val="13"/>
                <w:szCs w:val="13"/>
              </w:rPr>
              <w:t>款</w:t>
            </w:r>
          </w:p>
        </w:tc>
        <w:tc>
          <w:tcPr>
            <w:tcW w:w="49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18" w:right="0"/>
              <w:jc w:val="left"/>
              <w:rPr>
                <w:rFonts w:ascii="Times New Roman" w:hAnsi="Times New Roman" w:cs="Times New Roman" w:eastAsia="Times New Roman" w:hint="default"/>
                <w:sz w:val="13"/>
                <w:szCs w:val="13"/>
              </w:rPr>
            </w:pPr>
            <w:r>
              <w:rPr>
                <w:rFonts w:ascii="Times New Roman"/>
                <w:sz w:val="13"/>
              </w:rPr>
              <w:t>1,763,13</w:t>
            </w:r>
          </w:p>
          <w:p>
            <w:pPr>
              <w:pStyle w:val="TableParagraph"/>
              <w:spacing w:line="240" w:lineRule="auto" w:before="22"/>
              <w:ind w:left="345" w:right="0"/>
              <w:jc w:val="left"/>
              <w:rPr>
                <w:rFonts w:ascii="Times New Roman" w:hAnsi="Times New Roman" w:cs="Times New Roman" w:eastAsia="Times New Roman" w:hint="default"/>
                <w:sz w:val="13"/>
                <w:szCs w:val="13"/>
              </w:rPr>
            </w:pPr>
            <w:r>
              <w:rPr>
                <w:rFonts w:ascii="Times New Roman"/>
                <w:sz w:val="13"/>
              </w:rPr>
              <w:t>8.14</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41" w:right="0"/>
              <w:jc w:val="left"/>
              <w:rPr>
                <w:rFonts w:ascii="Times New Roman" w:hAnsi="Times New Roman" w:cs="Times New Roman" w:eastAsia="Times New Roman" w:hint="default"/>
                <w:sz w:val="13"/>
                <w:szCs w:val="13"/>
              </w:rPr>
            </w:pPr>
            <w:r>
              <w:rPr>
                <w:rFonts w:ascii="Times New Roman"/>
                <w:sz w:val="13"/>
              </w:rPr>
              <w:t>74,015.</w:t>
            </w:r>
          </w:p>
          <w:p>
            <w:pPr>
              <w:pStyle w:val="TableParagraph"/>
              <w:spacing w:line="240" w:lineRule="auto" w:before="22"/>
              <w:ind w:left="401" w:right="0"/>
              <w:jc w:val="left"/>
              <w:rPr>
                <w:rFonts w:ascii="Times New Roman" w:hAnsi="Times New Roman" w:cs="Times New Roman" w:eastAsia="Times New Roman" w:hint="default"/>
                <w:sz w:val="13"/>
                <w:szCs w:val="13"/>
              </w:rPr>
            </w:pPr>
            <w:r>
              <w:rPr>
                <w:rFonts w:ascii="Times New Roman"/>
                <w:sz w:val="13"/>
              </w:rPr>
              <w:t>92</w:t>
            </w:r>
          </w:p>
        </w:tc>
        <w:tc>
          <w:tcPr>
            <w:tcW w:w="583"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58" w:right="0"/>
              <w:jc w:val="left"/>
              <w:rPr>
                <w:rFonts w:ascii="Times New Roman" w:hAnsi="Times New Roman" w:cs="Times New Roman" w:eastAsia="Times New Roman" w:hint="default"/>
                <w:sz w:val="13"/>
                <w:szCs w:val="13"/>
              </w:rPr>
            </w:pPr>
            <w:r>
              <w:rPr>
                <w:rFonts w:ascii="Times New Roman"/>
                <w:sz w:val="13"/>
              </w:rPr>
              <w:t>1,837,15</w:t>
            </w:r>
          </w:p>
          <w:p>
            <w:pPr>
              <w:pStyle w:val="TableParagraph"/>
              <w:spacing w:line="240" w:lineRule="auto" w:before="22"/>
              <w:ind w:left="385" w:right="0"/>
              <w:jc w:val="left"/>
              <w:rPr>
                <w:rFonts w:ascii="Times New Roman" w:hAnsi="Times New Roman" w:cs="Times New Roman" w:eastAsia="Times New Roman" w:hint="default"/>
                <w:sz w:val="13"/>
                <w:szCs w:val="13"/>
              </w:rPr>
            </w:pPr>
            <w:r>
              <w:rPr>
                <w:rFonts w:ascii="Times New Roman"/>
                <w:sz w:val="13"/>
              </w:rPr>
              <w:t>4.06</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59" w:right="0"/>
              <w:jc w:val="left"/>
              <w:rPr>
                <w:rFonts w:ascii="Times New Roman" w:hAnsi="Times New Roman" w:cs="Times New Roman" w:eastAsia="Times New Roman" w:hint="default"/>
                <w:sz w:val="13"/>
                <w:szCs w:val="13"/>
              </w:rPr>
            </w:pPr>
            <w:r>
              <w:rPr>
                <w:rFonts w:ascii="Times New Roman"/>
                <w:sz w:val="13"/>
              </w:rPr>
              <w:t>1,062,70</w:t>
            </w:r>
          </w:p>
          <w:p>
            <w:pPr>
              <w:pStyle w:val="TableParagraph"/>
              <w:spacing w:line="240" w:lineRule="auto" w:before="22"/>
              <w:ind w:left="386" w:right="0"/>
              <w:jc w:val="left"/>
              <w:rPr>
                <w:rFonts w:ascii="Times New Roman" w:hAnsi="Times New Roman" w:cs="Times New Roman" w:eastAsia="Times New Roman" w:hint="default"/>
                <w:sz w:val="13"/>
                <w:szCs w:val="13"/>
              </w:rPr>
            </w:pPr>
            <w:r>
              <w:rPr>
                <w:rFonts w:ascii="Times New Roman"/>
                <w:sz w:val="13"/>
              </w:rPr>
              <w:t>9.94</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41" w:right="0"/>
              <w:jc w:val="left"/>
              <w:rPr>
                <w:rFonts w:ascii="Times New Roman" w:hAnsi="Times New Roman" w:cs="Times New Roman" w:eastAsia="Times New Roman" w:hint="default"/>
                <w:sz w:val="13"/>
                <w:szCs w:val="13"/>
              </w:rPr>
            </w:pPr>
            <w:r>
              <w:rPr>
                <w:rFonts w:ascii="Times New Roman"/>
                <w:sz w:val="13"/>
              </w:rPr>
              <w:t>3,513,4</w:t>
            </w:r>
          </w:p>
          <w:p>
            <w:pPr>
              <w:pStyle w:val="TableParagraph"/>
              <w:spacing w:line="240" w:lineRule="auto" w:before="22"/>
              <w:ind w:left="238" w:right="0"/>
              <w:jc w:val="left"/>
              <w:rPr>
                <w:rFonts w:ascii="Times New Roman" w:hAnsi="Times New Roman" w:cs="Times New Roman" w:eastAsia="Times New Roman" w:hint="default"/>
                <w:sz w:val="13"/>
                <w:szCs w:val="13"/>
              </w:rPr>
            </w:pPr>
            <w:r>
              <w:rPr>
                <w:rFonts w:ascii="Times New Roman"/>
                <w:sz w:val="13"/>
              </w:rPr>
              <w:t>85.22</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41" w:right="0"/>
              <w:jc w:val="left"/>
              <w:rPr>
                <w:rFonts w:ascii="Times New Roman" w:hAnsi="Times New Roman" w:cs="Times New Roman" w:eastAsia="Times New Roman" w:hint="default"/>
                <w:sz w:val="13"/>
                <w:szCs w:val="13"/>
              </w:rPr>
            </w:pPr>
            <w:r>
              <w:rPr>
                <w:rFonts w:ascii="Times New Roman"/>
                <w:sz w:val="13"/>
              </w:rPr>
              <w:t>90,749.</w:t>
            </w:r>
          </w:p>
          <w:p>
            <w:pPr>
              <w:pStyle w:val="TableParagraph"/>
              <w:spacing w:line="240" w:lineRule="auto" w:before="22"/>
              <w:ind w:left="402" w:right="0"/>
              <w:jc w:val="left"/>
              <w:rPr>
                <w:rFonts w:ascii="Times New Roman" w:hAnsi="Times New Roman" w:cs="Times New Roman" w:eastAsia="Times New Roman" w:hint="default"/>
                <w:sz w:val="13"/>
                <w:szCs w:val="13"/>
              </w:rPr>
            </w:pPr>
            <w:r>
              <w:rPr>
                <w:rFonts w:ascii="Times New Roman"/>
                <w:sz w:val="13"/>
              </w:rPr>
              <w:t>68</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7" w:right="0"/>
              <w:jc w:val="center"/>
              <w:rPr>
                <w:rFonts w:ascii="Times New Roman" w:hAnsi="Times New Roman" w:cs="Times New Roman" w:eastAsia="Times New Roman" w:hint="default"/>
                <w:sz w:val="13"/>
                <w:szCs w:val="13"/>
              </w:rPr>
            </w:pPr>
            <w:r>
              <w:rPr>
                <w:rFonts w:ascii="Times New Roman"/>
                <w:sz w:val="13"/>
              </w:rPr>
              <w:t>22,921</w:t>
            </w:r>
          </w:p>
          <w:p>
            <w:pPr>
              <w:pStyle w:val="TableParagraph"/>
              <w:spacing w:line="240" w:lineRule="auto" w:before="22"/>
              <w:ind w:left="204" w:right="0"/>
              <w:jc w:val="center"/>
              <w:rPr>
                <w:rFonts w:ascii="Times New Roman" w:hAnsi="Times New Roman" w:cs="Times New Roman" w:eastAsia="Times New Roman" w:hint="default"/>
                <w:sz w:val="13"/>
                <w:szCs w:val="13"/>
              </w:rPr>
            </w:pPr>
            <w:r>
              <w:rPr>
                <w:rFonts w:ascii="Times New Roman"/>
                <w:sz w:val="13"/>
              </w:rPr>
              <w:t>.80</w:t>
            </w:r>
          </w:p>
        </w:tc>
        <w:tc>
          <w:tcPr>
            <w:tcW w:w="64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8" w:right="0"/>
              <w:jc w:val="center"/>
              <w:rPr>
                <w:rFonts w:ascii="Times New Roman" w:hAnsi="Times New Roman" w:cs="Times New Roman" w:eastAsia="Times New Roman" w:hint="default"/>
                <w:sz w:val="13"/>
                <w:szCs w:val="13"/>
              </w:rPr>
            </w:pPr>
            <w:r>
              <w:rPr>
                <w:rFonts w:ascii="Times New Roman"/>
                <w:sz w:val="13"/>
              </w:rPr>
              <w:t>37,002</w:t>
            </w:r>
          </w:p>
          <w:p>
            <w:pPr>
              <w:pStyle w:val="TableParagraph"/>
              <w:spacing w:line="240" w:lineRule="auto" w:before="22"/>
              <w:ind w:left="205" w:right="0"/>
              <w:jc w:val="center"/>
              <w:rPr>
                <w:rFonts w:ascii="Times New Roman" w:hAnsi="Times New Roman" w:cs="Times New Roman" w:eastAsia="Times New Roman" w:hint="default"/>
                <w:sz w:val="13"/>
                <w:szCs w:val="13"/>
              </w:rPr>
            </w:pPr>
            <w:r>
              <w:rPr>
                <w:rFonts w:ascii="Times New Roman"/>
                <w:sz w:val="13"/>
              </w:rPr>
              <w:t>.67</w:t>
            </w:r>
          </w:p>
        </w:tc>
        <w:tc>
          <w:tcPr>
            <w:tcW w:w="544" w:type="dxa"/>
            <w:tcBorders>
              <w:top w:val="single" w:sz="4" w:space="0" w:color="000000"/>
              <w:left w:val="single" w:sz="4" w:space="0" w:color="000000"/>
              <w:bottom w:val="single" w:sz="4" w:space="0" w:color="000000"/>
              <w:right w:val="single" w:sz="4" w:space="0" w:color="000000"/>
            </w:tcBorders>
          </w:tcPr>
          <w:p>
            <w:pPr/>
          </w:p>
        </w:tc>
        <w:tc>
          <w:tcPr>
            <w:tcW w:w="503"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left="160" w:right="0"/>
              <w:jc w:val="left"/>
              <w:rPr>
                <w:rFonts w:ascii="Times New Roman" w:hAnsi="Times New Roman" w:cs="Times New Roman" w:eastAsia="Times New Roman" w:hint="default"/>
                <w:sz w:val="13"/>
                <w:szCs w:val="13"/>
              </w:rPr>
            </w:pPr>
            <w:r>
              <w:rPr>
                <w:rFonts w:ascii="Times New Roman"/>
                <w:sz w:val="13"/>
              </w:rPr>
              <w:t>4,726,86</w:t>
            </w:r>
          </w:p>
          <w:p>
            <w:pPr>
              <w:pStyle w:val="TableParagraph"/>
              <w:spacing w:line="240" w:lineRule="auto" w:before="22"/>
              <w:ind w:left="387" w:right="0"/>
              <w:jc w:val="left"/>
              <w:rPr>
                <w:rFonts w:ascii="Times New Roman" w:hAnsi="Times New Roman" w:cs="Times New Roman" w:eastAsia="Times New Roman" w:hint="default"/>
                <w:sz w:val="13"/>
                <w:szCs w:val="13"/>
              </w:rPr>
            </w:pPr>
            <w:r>
              <w:rPr>
                <w:rFonts w:ascii="Times New Roman"/>
                <w:sz w:val="13"/>
              </w:rPr>
              <w:t>9.31</w:t>
            </w:r>
          </w:p>
        </w:tc>
      </w:tr>
      <w:tr>
        <w:trPr>
          <w:trHeight w:val="778" w:hRule="exact"/>
        </w:trPr>
        <w:tc>
          <w:tcPr>
            <w:tcW w:w="5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73" w:lineRule="auto"/>
              <w:ind w:left="103" w:right="161"/>
              <w:jc w:val="left"/>
              <w:rPr>
                <w:rFonts w:ascii="宋体" w:hAnsi="宋体" w:cs="宋体" w:eastAsia="宋体" w:hint="default"/>
                <w:sz w:val="13"/>
                <w:szCs w:val="13"/>
              </w:rPr>
            </w:pPr>
            <w:r>
              <w:rPr>
                <w:rFonts w:ascii="宋体" w:hAnsi="宋体" w:cs="宋体" w:eastAsia="宋体" w:hint="default"/>
                <w:sz w:val="13"/>
                <w:szCs w:val="13"/>
              </w:rPr>
              <w:t>应付</w:t>
            </w:r>
            <w:r>
              <w:rPr>
                <w:rFonts w:ascii="宋体" w:hAnsi="宋体" w:cs="宋体" w:eastAsia="宋体" w:hint="default"/>
                <w:w w:val="99"/>
                <w:sz w:val="13"/>
                <w:szCs w:val="13"/>
              </w:rPr>
              <w:t> </w:t>
            </w:r>
            <w:r>
              <w:rPr>
                <w:rFonts w:ascii="宋体" w:hAnsi="宋体" w:cs="宋体" w:eastAsia="宋体" w:hint="default"/>
                <w:sz w:val="13"/>
                <w:szCs w:val="13"/>
              </w:rPr>
              <w:t>账款</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49" w:right="0"/>
              <w:jc w:val="center"/>
              <w:rPr>
                <w:rFonts w:ascii="Times New Roman" w:hAnsi="Times New Roman" w:cs="Times New Roman" w:eastAsia="Times New Roman" w:hint="default"/>
                <w:sz w:val="13"/>
                <w:szCs w:val="13"/>
              </w:rPr>
            </w:pPr>
            <w:r>
              <w:rPr>
                <w:rFonts w:ascii="Times New Roman"/>
                <w:sz w:val="13"/>
              </w:rPr>
              <w:t>59,5</w:t>
            </w:r>
          </w:p>
          <w:p>
            <w:pPr>
              <w:pStyle w:val="TableParagraph"/>
              <w:spacing w:line="240" w:lineRule="auto" w:before="23"/>
              <w:ind w:left="49" w:right="0"/>
              <w:jc w:val="center"/>
              <w:rPr>
                <w:rFonts w:ascii="Times New Roman" w:hAnsi="Times New Roman" w:cs="Times New Roman" w:eastAsia="Times New Roman" w:hint="default"/>
                <w:sz w:val="13"/>
                <w:szCs w:val="13"/>
              </w:rPr>
            </w:pPr>
            <w:r>
              <w:rPr>
                <w:rFonts w:ascii="Times New Roman"/>
                <w:sz w:val="13"/>
              </w:rPr>
              <w:t>44,5</w:t>
            </w:r>
          </w:p>
          <w:p>
            <w:pPr>
              <w:pStyle w:val="TableParagraph"/>
              <w:spacing w:line="240" w:lineRule="auto" w:before="22"/>
              <w:ind w:left="49" w:right="0"/>
              <w:jc w:val="center"/>
              <w:rPr>
                <w:rFonts w:ascii="Times New Roman" w:hAnsi="Times New Roman" w:cs="Times New Roman" w:eastAsia="Times New Roman" w:hint="default"/>
                <w:sz w:val="13"/>
                <w:szCs w:val="13"/>
              </w:rPr>
            </w:pPr>
            <w:r>
              <w:rPr>
                <w:rFonts w:ascii="Times New Roman"/>
                <w:sz w:val="13"/>
              </w:rPr>
              <w:t>53.9</w:t>
            </w:r>
          </w:p>
          <w:p>
            <w:pPr>
              <w:pStyle w:val="TableParagraph"/>
              <w:spacing w:line="240" w:lineRule="auto" w:before="22"/>
              <w:ind w:left="214" w:right="0"/>
              <w:jc w:val="center"/>
              <w:rPr>
                <w:rFonts w:ascii="Times New Roman" w:hAnsi="Times New Roman" w:cs="Times New Roman" w:eastAsia="Times New Roman" w:hint="default"/>
                <w:sz w:val="13"/>
                <w:szCs w:val="13"/>
              </w:rPr>
            </w:pPr>
            <w:r>
              <w:rPr>
                <w:rFonts w:ascii="Times New Roman"/>
                <w:w w:val="99"/>
                <w:sz w:val="13"/>
              </w:rPr>
              <w:t>0</w:t>
            </w:r>
            <w:r>
              <w:rPr>
                <w:rFonts w:ascii="Times New Roman"/>
                <w:sz w:val="13"/>
              </w:rPr>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23" w:right="0"/>
              <w:jc w:val="left"/>
              <w:rPr>
                <w:rFonts w:ascii="Times New Roman" w:hAnsi="Times New Roman" w:cs="Times New Roman" w:eastAsia="Times New Roman" w:hint="default"/>
                <w:sz w:val="13"/>
                <w:szCs w:val="13"/>
              </w:rPr>
            </w:pPr>
            <w:r>
              <w:rPr>
                <w:rFonts w:ascii="Times New Roman"/>
                <w:sz w:val="13"/>
              </w:rPr>
              <w:t>1,390,11</w:t>
            </w:r>
          </w:p>
          <w:p>
            <w:pPr>
              <w:pStyle w:val="TableParagraph"/>
              <w:spacing w:line="240" w:lineRule="auto" w:before="23"/>
              <w:ind w:left="345" w:right="0"/>
              <w:jc w:val="left"/>
              <w:rPr>
                <w:rFonts w:ascii="Times New Roman" w:hAnsi="Times New Roman" w:cs="Times New Roman" w:eastAsia="Times New Roman" w:hint="default"/>
                <w:sz w:val="13"/>
                <w:szCs w:val="13"/>
              </w:rPr>
            </w:pPr>
            <w:r>
              <w:rPr>
                <w:rFonts w:ascii="Times New Roman"/>
                <w:sz w:val="13"/>
              </w:rPr>
              <w:t>3.63</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9" w:right="0"/>
              <w:jc w:val="left"/>
              <w:rPr>
                <w:rFonts w:ascii="Times New Roman" w:hAnsi="Times New Roman" w:cs="Times New Roman" w:eastAsia="Times New Roman" w:hint="default"/>
                <w:sz w:val="13"/>
                <w:szCs w:val="13"/>
              </w:rPr>
            </w:pPr>
            <w:r>
              <w:rPr>
                <w:rFonts w:ascii="Times New Roman"/>
                <w:sz w:val="13"/>
              </w:rPr>
              <w:t>353,637</w:t>
            </w:r>
          </w:p>
          <w:p>
            <w:pPr>
              <w:pStyle w:val="TableParagraph"/>
              <w:spacing w:line="240" w:lineRule="auto" w:before="23"/>
              <w:ind w:left="369" w:right="0"/>
              <w:jc w:val="left"/>
              <w:rPr>
                <w:rFonts w:ascii="Times New Roman" w:hAnsi="Times New Roman" w:cs="Times New Roman" w:eastAsia="Times New Roman" w:hint="default"/>
                <w:sz w:val="13"/>
                <w:szCs w:val="13"/>
              </w:rPr>
            </w:pPr>
            <w:r>
              <w:rPr>
                <w:rFonts w:ascii="Times New Roman"/>
                <w:sz w:val="13"/>
              </w:rPr>
              <w:t>.92</w:t>
            </w:r>
          </w:p>
        </w:tc>
        <w:tc>
          <w:tcPr>
            <w:tcW w:w="583"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4" w:right="0"/>
              <w:jc w:val="center"/>
              <w:rPr>
                <w:rFonts w:ascii="Times New Roman" w:hAnsi="Times New Roman" w:cs="Times New Roman" w:eastAsia="Times New Roman" w:hint="default"/>
                <w:sz w:val="13"/>
                <w:szCs w:val="13"/>
              </w:rPr>
            </w:pPr>
            <w:r>
              <w:rPr>
                <w:rFonts w:ascii="Times New Roman"/>
                <w:sz w:val="13"/>
              </w:rPr>
              <w:t>61,288,3</w:t>
            </w:r>
          </w:p>
          <w:p>
            <w:pPr>
              <w:pStyle w:val="TableParagraph"/>
              <w:spacing w:line="240" w:lineRule="auto" w:before="23"/>
              <w:ind w:left="216" w:right="0"/>
              <w:jc w:val="center"/>
              <w:rPr>
                <w:rFonts w:ascii="Times New Roman" w:hAnsi="Times New Roman" w:cs="Times New Roman" w:eastAsia="Times New Roman" w:hint="default"/>
                <w:sz w:val="13"/>
                <w:szCs w:val="13"/>
              </w:rPr>
            </w:pPr>
            <w:r>
              <w:rPr>
                <w:rFonts w:ascii="Times New Roman"/>
                <w:sz w:val="13"/>
              </w:rPr>
              <w:t>05.45</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4" w:right="0"/>
              <w:jc w:val="center"/>
              <w:rPr>
                <w:rFonts w:ascii="Times New Roman" w:hAnsi="Times New Roman" w:cs="Times New Roman" w:eastAsia="Times New Roman" w:hint="default"/>
                <w:sz w:val="13"/>
                <w:szCs w:val="13"/>
              </w:rPr>
            </w:pPr>
            <w:r>
              <w:rPr>
                <w:rFonts w:ascii="Times New Roman"/>
                <w:sz w:val="13"/>
              </w:rPr>
              <w:t>54,613,3</w:t>
            </w:r>
          </w:p>
          <w:p>
            <w:pPr>
              <w:pStyle w:val="TableParagraph"/>
              <w:spacing w:line="240" w:lineRule="auto" w:before="23"/>
              <w:ind w:left="217" w:right="0"/>
              <w:jc w:val="center"/>
              <w:rPr>
                <w:rFonts w:ascii="Times New Roman" w:hAnsi="Times New Roman" w:cs="Times New Roman" w:eastAsia="Times New Roman" w:hint="default"/>
                <w:sz w:val="13"/>
                <w:szCs w:val="13"/>
              </w:rPr>
            </w:pPr>
            <w:r>
              <w:rPr>
                <w:rFonts w:ascii="Times New Roman"/>
                <w:sz w:val="13"/>
              </w:rPr>
              <w:t>05.63</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1" w:right="0"/>
              <w:jc w:val="left"/>
              <w:rPr>
                <w:rFonts w:ascii="Times New Roman" w:hAnsi="Times New Roman" w:cs="Times New Roman" w:eastAsia="Times New Roman" w:hint="default"/>
                <w:sz w:val="13"/>
                <w:szCs w:val="13"/>
              </w:rPr>
            </w:pPr>
            <w:r>
              <w:rPr>
                <w:rFonts w:ascii="Times New Roman"/>
                <w:sz w:val="13"/>
              </w:rPr>
              <w:t>7,325,2</w:t>
            </w:r>
          </w:p>
          <w:p>
            <w:pPr>
              <w:pStyle w:val="TableParagraph"/>
              <w:spacing w:line="240" w:lineRule="auto" w:before="23"/>
              <w:ind w:left="238" w:right="0"/>
              <w:jc w:val="left"/>
              <w:rPr>
                <w:rFonts w:ascii="Times New Roman" w:hAnsi="Times New Roman" w:cs="Times New Roman" w:eastAsia="Times New Roman" w:hint="default"/>
                <w:sz w:val="13"/>
                <w:szCs w:val="13"/>
              </w:rPr>
            </w:pPr>
            <w:r>
              <w:rPr>
                <w:rFonts w:ascii="Times New Roman"/>
                <w:sz w:val="13"/>
              </w:rPr>
              <w:t>82.20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9" w:right="0"/>
              <w:jc w:val="left"/>
              <w:rPr>
                <w:rFonts w:ascii="Times New Roman" w:hAnsi="Times New Roman" w:cs="Times New Roman" w:eastAsia="Times New Roman" w:hint="default"/>
                <w:sz w:val="13"/>
                <w:szCs w:val="13"/>
              </w:rPr>
            </w:pPr>
            <w:r>
              <w:rPr>
                <w:rFonts w:ascii="Times New Roman"/>
                <w:sz w:val="13"/>
              </w:rPr>
              <w:t>523,230</w:t>
            </w:r>
          </w:p>
          <w:p>
            <w:pPr>
              <w:pStyle w:val="TableParagraph"/>
              <w:spacing w:line="240" w:lineRule="auto" w:before="23"/>
              <w:ind w:left="369" w:right="0"/>
              <w:jc w:val="left"/>
              <w:rPr>
                <w:rFonts w:ascii="Times New Roman" w:hAnsi="Times New Roman" w:cs="Times New Roman" w:eastAsia="Times New Roman" w:hint="default"/>
                <w:sz w:val="13"/>
                <w:szCs w:val="13"/>
              </w:rPr>
            </w:pPr>
            <w:r>
              <w:rPr>
                <w:rFonts w:ascii="Times New Roman"/>
                <w:sz w:val="13"/>
              </w:rPr>
              <w:t>.56</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 w:right="0"/>
              <w:jc w:val="center"/>
              <w:rPr>
                <w:rFonts w:ascii="Times New Roman" w:hAnsi="Times New Roman" w:cs="Times New Roman" w:eastAsia="Times New Roman" w:hint="default"/>
                <w:sz w:val="13"/>
                <w:szCs w:val="13"/>
              </w:rPr>
            </w:pPr>
            <w:r>
              <w:rPr>
                <w:rFonts w:ascii="Times New Roman"/>
                <w:sz w:val="13"/>
              </w:rPr>
              <w:t>105,82</w:t>
            </w:r>
          </w:p>
          <w:p>
            <w:pPr>
              <w:pStyle w:val="TableParagraph"/>
              <w:spacing w:line="240" w:lineRule="auto" w:before="23"/>
              <w:ind w:left="136" w:right="0"/>
              <w:jc w:val="center"/>
              <w:rPr>
                <w:rFonts w:ascii="Times New Roman" w:hAnsi="Times New Roman" w:cs="Times New Roman" w:eastAsia="Times New Roman" w:hint="default"/>
                <w:sz w:val="13"/>
                <w:szCs w:val="13"/>
              </w:rPr>
            </w:pPr>
            <w:r>
              <w:rPr>
                <w:rFonts w:ascii="Times New Roman"/>
                <w:sz w:val="13"/>
              </w:rPr>
              <w:t>4.51</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1" w:right="0"/>
              <w:jc w:val="left"/>
              <w:rPr>
                <w:rFonts w:ascii="Times New Roman" w:hAnsi="Times New Roman" w:cs="Times New Roman" w:eastAsia="Times New Roman" w:hint="default"/>
                <w:sz w:val="13"/>
                <w:szCs w:val="13"/>
              </w:rPr>
            </w:pPr>
            <w:r>
              <w:rPr>
                <w:rFonts w:ascii="Times New Roman"/>
                <w:sz w:val="13"/>
              </w:rPr>
              <w:t>1,783,0</w:t>
            </w:r>
          </w:p>
          <w:p>
            <w:pPr>
              <w:pStyle w:val="TableParagraph"/>
              <w:spacing w:line="240" w:lineRule="auto" w:before="23"/>
              <w:ind w:left="238" w:right="0"/>
              <w:jc w:val="left"/>
              <w:rPr>
                <w:rFonts w:ascii="Times New Roman" w:hAnsi="Times New Roman" w:cs="Times New Roman" w:eastAsia="Times New Roman" w:hint="default"/>
                <w:sz w:val="13"/>
                <w:szCs w:val="13"/>
              </w:rPr>
            </w:pPr>
            <w:r>
              <w:rPr>
                <w:rFonts w:ascii="Times New Roman"/>
                <w:sz w:val="13"/>
              </w:rPr>
              <w:t>90.94</w:t>
            </w: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44" w:type="dxa"/>
            <w:tcBorders>
              <w:top w:val="single" w:sz="4" w:space="0" w:color="000000"/>
              <w:left w:val="single" w:sz="4" w:space="0" w:color="000000"/>
              <w:bottom w:val="single" w:sz="4" w:space="0" w:color="000000"/>
              <w:right w:val="single" w:sz="4" w:space="0" w:color="000000"/>
            </w:tcBorders>
          </w:tcPr>
          <w:p>
            <w:pPr/>
          </w:p>
        </w:tc>
        <w:tc>
          <w:tcPr>
            <w:tcW w:w="503"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5" w:right="0"/>
              <w:jc w:val="center"/>
              <w:rPr>
                <w:rFonts w:ascii="Times New Roman" w:hAnsi="Times New Roman" w:cs="Times New Roman" w:eastAsia="Times New Roman" w:hint="default"/>
                <w:sz w:val="13"/>
                <w:szCs w:val="13"/>
              </w:rPr>
            </w:pPr>
            <w:r>
              <w:rPr>
                <w:rFonts w:ascii="Times New Roman"/>
                <w:sz w:val="13"/>
              </w:rPr>
              <w:t>64,350,7</w:t>
            </w:r>
          </w:p>
          <w:p>
            <w:pPr>
              <w:pStyle w:val="TableParagraph"/>
              <w:spacing w:line="240" w:lineRule="auto" w:before="23"/>
              <w:ind w:left="217" w:right="0"/>
              <w:jc w:val="center"/>
              <w:rPr>
                <w:rFonts w:ascii="Times New Roman" w:hAnsi="Times New Roman" w:cs="Times New Roman" w:eastAsia="Times New Roman" w:hint="default"/>
                <w:sz w:val="13"/>
                <w:szCs w:val="13"/>
              </w:rPr>
            </w:pPr>
            <w:r>
              <w:rPr>
                <w:rFonts w:ascii="Times New Roman"/>
                <w:sz w:val="13"/>
              </w:rPr>
              <w:t>33.84</w:t>
            </w:r>
          </w:p>
        </w:tc>
      </w:tr>
      <w:tr>
        <w:trPr>
          <w:trHeight w:val="606" w:hRule="exact"/>
        </w:trPr>
        <w:tc>
          <w:tcPr>
            <w:tcW w:w="5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100"/>
              <w:ind w:left="103" w:right="161"/>
              <w:jc w:val="left"/>
              <w:rPr>
                <w:rFonts w:ascii="宋体" w:hAnsi="宋体" w:cs="宋体" w:eastAsia="宋体" w:hint="default"/>
                <w:sz w:val="13"/>
                <w:szCs w:val="13"/>
              </w:rPr>
            </w:pPr>
            <w:r>
              <w:rPr>
                <w:rFonts w:ascii="宋体" w:hAnsi="宋体" w:cs="宋体" w:eastAsia="宋体" w:hint="default"/>
                <w:sz w:val="13"/>
                <w:szCs w:val="13"/>
              </w:rPr>
              <w:t>其他</w:t>
            </w:r>
            <w:r>
              <w:rPr>
                <w:rFonts w:ascii="宋体" w:hAnsi="宋体" w:cs="宋体" w:eastAsia="宋体" w:hint="default"/>
                <w:w w:val="99"/>
                <w:sz w:val="13"/>
                <w:szCs w:val="13"/>
              </w:rPr>
              <w:t> </w:t>
            </w:r>
            <w:r>
              <w:rPr>
                <w:rFonts w:ascii="宋体" w:hAnsi="宋体" w:cs="宋体" w:eastAsia="宋体" w:hint="default"/>
                <w:sz w:val="13"/>
                <w:szCs w:val="13"/>
              </w:rPr>
              <w:t>应付</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49" w:right="0"/>
              <w:jc w:val="center"/>
              <w:rPr>
                <w:rFonts w:ascii="Times New Roman" w:hAnsi="Times New Roman" w:cs="Times New Roman" w:eastAsia="Times New Roman" w:hint="default"/>
                <w:sz w:val="13"/>
                <w:szCs w:val="13"/>
              </w:rPr>
            </w:pPr>
            <w:r>
              <w:rPr>
                <w:rFonts w:ascii="Times New Roman"/>
                <w:sz w:val="13"/>
              </w:rPr>
              <w:t>14,3</w:t>
            </w:r>
          </w:p>
          <w:p>
            <w:pPr>
              <w:pStyle w:val="TableParagraph"/>
              <w:spacing w:line="240" w:lineRule="auto" w:before="23"/>
              <w:ind w:left="49" w:right="0"/>
              <w:jc w:val="center"/>
              <w:rPr>
                <w:rFonts w:ascii="Times New Roman" w:hAnsi="Times New Roman" w:cs="Times New Roman" w:eastAsia="Times New Roman" w:hint="default"/>
                <w:sz w:val="13"/>
                <w:szCs w:val="13"/>
              </w:rPr>
            </w:pPr>
            <w:r>
              <w:rPr>
                <w:rFonts w:ascii="Times New Roman"/>
                <w:sz w:val="13"/>
              </w:rPr>
              <w:t>51.2</w:t>
            </w:r>
          </w:p>
          <w:p>
            <w:pPr>
              <w:pStyle w:val="TableParagraph"/>
              <w:spacing w:line="240" w:lineRule="auto" w:before="22"/>
              <w:ind w:left="214" w:right="0"/>
              <w:jc w:val="center"/>
              <w:rPr>
                <w:rFonts w:ascii="Times New Roman" w:hAnsi="Times New Roman" w:cs="Times New Roman" w:eastAsia="Times New Roman" w:hint="default"/>
                <w:sz w:val="13"/>
                <w:szCs w:val="13"/>
              </w:rPr>
            </w:pPr>
            <w:r>
              <w:rPr>
                <w:rFonts w:ascii="Times New Roman"/>
                <w:w w:val="99"/>
                <w:sz w:val="13"/>
              </w:rPr>
              <w:t>3</w:t>
            </w:r>
            <w:r>
              <w:rPr>
                <w:rFonts w:ascii="Times New Roman"/>
                <w:sz w:val="13"/>
              </w:rPr>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left="118" w:right="0"/>
              <w:jc w:val="left"/>
              <w:rPr>
                <w:rFonts w:ascii="Times New Roman" w:hAnsi="Times New Roman" w:cs="Times New Roman" w:eastAsia="Times New Roman" w:hint="default"/>
                <w:sz w:val="13"/>
                <w:szCs w:val="13"/>
              </w:rPr>
            </w:pPr>
            <w:r>
              <w:rPr>
                <w:rFonts w:ascii="Times New Roman"/>
                <w:sz w:val="13"/>
              </w:rPr>
              <w:t>6,506,64</w:t>
            </w:r>
          </w:p>
          <w:p>
            <w:pPr>
              <w:pStyle w:val="TableParagraph"/>
              <w:spacing w:line="240" w:lineRule="auto" w:before="22"/>
              <w:ind w:left="345" w:right="0"/>
              <w:jc w:val="left"/>
              <w:rPr>
                <w:rFonts w:ascii="Times New Roman" w:hAnsi="Times New Roman" w:cs="Times New Roman" w:eastAsia="Times New Roman" w:hint="default"/>
                <w:sz w:val="13"/>
                <w:szCs w:val="13"/>
              </w:rPr>
            </w:pPr>
            <w:r>
              <w:rPr>
                <w:rFonts w:ascii="Times New Roman"/>
                <w:sz w:val="13"/>
              </w:rPr>
              <w:t>3.26</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left="109" w:right="0"/>
              <w:jc w:val="left"/>
              <w:rPr>
                <w:rFonts w:ascii="Times New Roman" w:hAnsi="Times New Roman" w:cs="Times New Roman" w:eastAsia="Times New Roman" w:hint="default"/>
                <w:sz w:val="13"/>
                <w:szCs w:val="13"/>
              </w:rPr>
            </w:pPr>
            <w:r>
              <w:rPr>
                <w:rFonts w:ascii="Times New Roman"/>
                <w:sz w:val="13"/>
              </w:rPr>
              <w:t>171,576</w:t>
            </w:r>
          </w:p>
          <w:p>
            <w:pPr>
              <w:pStyle w:val="TableParagraph"/>
              <w:spacing w:line="240" w:lineRule="auto" w:before="22"/>
              <w:ind w:left="369" w:right="0"/>
              <w:jc w:val="left"/>
              <w:rPr>
                <w:rFonts w:ascii="Times New Roman" w:hAnsi="Times New Roman" w:cs="Times New Roman" w:eastAsia="Times New Roman" w:hint="default"/>
                <w:sz w:val="13"/>
                <w:szCs w:val="13"/>
              </w:rPr>
            </w:pPr>
            <w:r>
              <w:rPr>
                <w:rFonts w:ascii="Times New Roman"/>
                <w:sz w:val="13"/>
              </w:rPr>
              <w:t>.28</w:t>
            </w:r>
          </w:p>
        </w:tc>
        <w:tc>
          <w:tcPr>
            <w:tcW w:w="583"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left="158" w:right="0"/>
              <w:jc w:val="left"/>
              <w:rPr>
                <w:rFonts w:ascii="Times New Roman" w:hAnsi="Times New Roman" w:cs="Times New Roman" w:eastAsia="Times New Roman" w:hint="default"/>
                <w:sz w:val="13"/>
                <w:szCs w:val="13"/>
              </w:rPr>
            </w:pPr>
            <w:r>
              <w:rPr>
                <w:rFonts w:ascii="Times New Roman"/>
                <w:sz w:val="13"/>
              </w:rPr>
              <w:t>6,692,57</w:t>
            </w:r>
          </w:p>
          <w:p>
            <w:pPr>
              <w:pStyle w:val="TableParagraph"/>
              <w:spacing w:line="240" w:lineRule="auto" w:before="22"/>
              <w:ind w:left="385" w:right="0"/>
              <w:jc w:val="left"/>
              <w:rPr>
                <w:rFonts w:ascii="Times New Roman" w:hAnsi="Times New Roman" w:cs="Times New Roman" w:eastAsia="Times New Roman" w:hint="default"/>
                <w:sz w:val="13"/>
                <w:szCs w:val="13"/>
              </w:rPr>
            </w:pPr>
            <w:r>
              <w:rPr>
                <w:rFonts w:ascii="Times New Roman"/>
                <w:sz w:val="13"/>
              </w:rPr>
              <w:t>0.77</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right="102"/>
              <w:jc w:val="right"/>
              <w:rPr>
                <w:rFonts w:ascii="Times New Roman" w:hAnsi="Times New Roman" w:cs="Times New Roman" w:eastAsia="Times New Roman" w:hint="default"/>
                <w:sz w:val="13"/>
                <w:szCs w:val="13"/>
              </w:rPr>
            </w:pPr>
            <w:r>
              <w:rPr>
                <w:rFonts w:ascii="Times New Roman"/>
                <w:w w:val="95"/>
                <w:sz w:val="13"/>
              </w:rPr>
              <w:t>125,370.</w:t>
            </w:r>
            <w:r>
              <w:rPr>
                <w:rFonts w:ascii="Times New Roman"/>
                <w:sz w:val="13"/>
              </w:rPr>
            </w:r>
          </w:p>
          <w:p>
            <w:pPr>
              <w:pStyle w:val="TableParagraph"/>
              <w:spacing w:line="240" w:lineRule="auto" w:before="22"/>
              <w:ind w:right="101"/>
              <w:jc w:val="right"/>
              <w:rPr>
                <w:rFonts w:ascii="Times New Roman" w:hAnsi="Times New Roman" w:cs="Times New Roman" w:eastAsia="Times New Roman" w:hint="default"/>
                <w:sz w:val="13"/>
                <w:szCs w:val="13"/>
              </w:rPr>
            </w:pPr>
            <w:r>
              <w:rPr>
                <w:rFonts w:ascii="Times New Roman"/>
                <w:w w:val="95"/>
                <w:sz w:val="13"/>
              </w:rPr>
              <w:t>19</w:t>
            </w:r>
            <w:r>
              <w:rPr>
                <w:rFonts w:ascii="Times New Roman"/>
                <w:sz w:val="13"/>
              </w:rPr>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left="109" w:right="0"/>
              <w:jc w:val="left"/>
              <w:rPr>
                <w:rFonts w:ascii="Times New Roman" w:hAnsi="Times New Roman" w:cs="Times New Roman" w:eastAsia="Times New Roman" w:hint="default"/>
                <w:sz w:val="13"/>
                <w:szCs w:val="13"/>
              </w:rPr>
            </w:pPr>
            <w:r>
              <w:rPr>
                <w:rFonts w:ascii="Times New Roman"/>
                <w:sz w:val="13"/>
              </w:rPr>
              <w:t>154,019</w:t>
            </w:r>
          </w:p>
          <w:p>
            <w:pPr>
              <w:pStyle w:val="TableParagraph"/>
              <w:spacing w:line="240" w:lineRule="auto" w:before="22"/>
              <w:ind w:left="369" w:right="0"/>
              <w:jc w:val="left"/>
              <w:rPr>
                <w:rFonts w:ascii="Times New Roman" w:hAnsi="Times New Roman" w:cs="Times New Roman" w:eastAsia="Times New Roman" w:hint="default"/>
                <w:sz w:val="13"/>
                <w:szCs w:val="13"/>
              </w:rPr>
            </w:pPr>
            <w:r>
              <w:rPr>
                <w:rFonts w:ascii="Times New Roman"/>
                <w:sz w:val="13"/>
              </w:rPr>
              <w:t>.16</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left="109" w:right="0"/>
              <w:jc w:val="left"/>
              <w:rPr>
                <w:rFonts w:ascii="Times New Roman" w:hAnsi="Times New Roman" w:cs="Times New Roman" w:eastAsia="Times New Roman" w:hint="default"/>
                <w:sz w:val="13"/>
                <w:szCs w:val="13"/>
              </w:rPr>
            </w:pPr>
            <w:r>
              <w:rPr>
                <w:rFonts w:ascii="Times New Roman"/>
                <w:sz w:val="13"/>
              </w:rPr>
              <w:t>679,542</w:t>
            </w:r>
          </w:p>
          <w:p>
            <w:pPr>
              <w:pStyle w:val="TableParagraph"/>
              <w:spacing w:line="240" w:lineRule="auto" w:before="22"/>
              <w:ind w:left="369" w:right="0"/>
              <w:jc w:val="left"/>
              <w:rPr>
                <w:rFonts w:ascii="Times New Roman" w:hAnsi="Times New Roman" w:cs="Times New Roman" w:eastAsia="Times New Roman" w:hint="default"/>
                <w:sz w:val="13"/>
                <w:szCs w:val="13"/>
              </w:rPr>
            </w:pPr>
            <w:r>
              <w:rPr>
                <w:rFonts w:ascii="Times New Roman"/>
                <w:sz w:val="13"/>
              </w:rPr>
              <w:t>.50</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left="39" w:right="0"/>
              <w:jc w:val="center"/>
              <w:rPr>
                <w:rFonts w:ascii="Times New Roman" w:hAnsi="Times New Roman" w:cs="Times New Roman" w:eastAsia="Times New Roman" w:hint="default"/>
                <w:sz w:val="13"/>
                <w:szCs w:val="13"/>
              </w:rPr>
            </w:pPr>
            <w:r>
              <w:rPr>
                <w:rFonts w:ascii="Times New Roman"/>
                <w:sz w:val="13"/>
              </w:rPr>
              <w:t>5,676.</w:t>
            </w:r>
          </w:p>
          <w:p>
            <w:pPr>
              <w:pStyle w:val="TableParagraph"/>
              <w:spacing w:line="240" w:lineRule="auto" w:before="22"/>
              <w:ind w:left="236" w:right="0"/>
              <w:jc w:val="center"/>
              <w:rPr>
                <w:rFonts w:ascii="Times New Roman" w:hAnsi="Times New Roman" w:cs="Times New Roman" w:eastAsia="Times New Roman" w:hint="default"/>
                <w:sz w:val="13"/>
                <w:szCs w:val="13"/>
              </w:rPr>
            </w:pPr>
            <w:r>
              <w:rPr>
                <w:rFonts w:ascii="Times New Roman"/>
                <w:sz w:val="13"/>
              </w:rPr>
              <w:t>88</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left="141" w:right="0"/>
              <w:jc w:val="left"/>
              <w:rPr>
                <w:rFonts w:ascii="Times New Roman" w:hAnsi="Times New Roman" w:cs="Times New Roman" w:eastAsia="Times New Roman" w:hint="default"/>
                <w:sz w:val="13"/>
                <w:szCs w:val="13"/>
              </w:rPr>
            </w:pPr>
            <w:r>
              <w:rPr>
                <w:rFonts w:ascii="Times New Roman"/>
                <w:sz w:val="13"/>
              </w:rPr>
              <w:t>16,024.</w:t>
            </w:r>
          </w:p>
          <w:p>
            <w:pPr>
              <w:pStyle w:val="TableParagraph"/>
              <w:spacing w:line="240" w:lineRule="auto" w:before="22"/>
              <w:ind w:left="401" w:right="0"/>
              <w:jc w:val="left"/>
              <w:rPr>
                <w:rFonts w:ascii="Times New Roman" w:hAnsi="Times New Roman" w:cs="Times New Roman" w:eastAsia="Times New Roman" w:hint="default"/>
                <w:sz w:val="13"/>
                <w:szCs w:val="13"/>
              </w:rPr>
            </w:pPr>
            <w:r>
              <w:rPr>
                <w:rFonts w:ascii="Times New Roman"/>
                <w:sz w:val="13"/>
              </w:rPr>
              <w:t>69</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left="7" w:right="0"/>
              <w:jc w:val="center"/>
              <w:rPr>
                <w:rFonts w:ascii="Times New Roman" w:hAnsi="Times New Roman" w:cs="Times New Roman" w:eastAsia="Times New Roman" w:hint="default"/>
                <w:sz w:val="13"/>
                <w:szCs w:val="13"/>
              </w:rPr>
            </w:pPr>
            <w:r>
              <w:rPr>
                <w:rFonts w:ascii="Times New Roman"/>
                <w:sz w:val="13"/>
              </w:rPr>
              <w:t>15,675</w:t>
            </w:r>
          </w:p>
          <w:p>
            <w:pPr>
              <w:pStyle w:val="TableParagraph"/>
              <w:spacing w:line="240" w:lineRule="auto" w:before="22"/>
              <w:ind w:left="205" w:right="0"/>
              <w:jc w:val="center"/>
              <w:rPr>
                <w:rFonts w:ascii="Times New Roman" w:hAnsi="Times New Roman" w:cs="Times New Roman" w:eastAsia="Times New Roman" w:hint="default"/>
                <w:sz w:val="13"/>
                <w:szCs w:val="13"/>
              </w:rPr>
            </w:pPr>
            <w:r>
              <w:rPr>
                <w:rFonts w:ascii="Times New Roman"/>
                <w:sz w:val="13"/>
              </w:rPr>
              <w:t>.60</w:t>
            </w: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left="8" w:right="0"/>
              <w:jc w:val="center"/>
              <w:rPr>
                <w:rFonts w:ascii="Times New Roman" w:hAnsi="Times New Roman" w:cs="Times New Roman" w:eastAsia="Times New Roman" w:hint="default"/>
                <w:sz w:val="13"/>
                <w:szCs w:val="13"/>
              </w:rPr>
            </w:pPr>
            <w:r>
              <w:rPr>
                <w:rFonts w:ascii="Times New Roman"/>
                <w:sz w:val="13"/>
              </w:rPr>
              <w:t>748,39</w:t>
            </w:r>
          </w:p>
          <w:p>
            <w:pPr>
              <w:pStyle w:val="TableParagraph"/>
              <w:spacing w:line="240" w:lineRule="auto" w:before="22"/>
              <w:ind w:left="138" w:right="0"/>
              <w:jc w:val="center"/>
              <w:rPr>
                <w:rFonts w:ascii="Times New Roman" w:hAnsi="Times New Roman" w:cs="Times New Roman" w:eastAsia="Times New Roman" w:hint="default"/>
                <w:sz w:val="13"/>
                <w:szCs w:val="13"/>
              </w:rPr>
            </w:pPr>
            <w:r>
              <w:rPr>
                <w:rFonts w:ascii="Times New Roman"/>
                <w:sz w:val="13"/>
              </w:rPr>
              <w:t>9.55</w:t>
            </w:r>
          </w:p>
        </w:tc>
        <w:tc>
          <w:tcPr>
            <w:tcW w:w="544" w:type="dxa"/>
            <w:tcBorders>
              <w:top w:val="single" w:sz="4" w:space="0" w:color="000000"/>
              <w:left w:val="single" w:sz="4" w:space="0" w:color="000000"/>
              <w:bottom w:val="single" w:sz="4" w:space="0" w:color="000000"/>
              <w:right w:val="single" w:sz="4" w:space="0" w:color="000000"/>
            </w:tcBorders>
          </w:tcPr>
          <w:p>
            <w:pPr/>
          </w:p>
        </w:tc>
        <w:tc>
          <w:tcPr>
            <w:tcW w:w="503"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9"/>
                <w:szCs w:val="9"/>
              </w:rPr>
            </w:pPr>
          </w:p>
          <w:p>
            <w:pPr>
              <w:pStyle w:val="TableParagraph"/>
              <w:spacing w:line="240" w:lineRule="auto"/>
              <w:ind w:left="160" w:right="0"/>
              <w:jc w:val="left"/>
              <w:rPr>
                <w:rFonts w:ascii="Times New Roman" w:hAnsi="Times New Roman" w:cs="Times New Roman" w:eastAsia="Times New Roman" w:hint="default"/>
                <w:sz w:val="13"/>
                <w:szCs w:val="13"/>
              </w:rPr>
            </w:pPr>
            <w:r>
              <w:rPr>
                <w:rFonts w:ascii="Times New Roman"/>
                <w:sz w:val="13"/>
              </w:rPr>
              <w:t>1,744,70</w:t>
            </w:r>
          </w:p>
          <w:p>
            <w:pPr>
              <w:pStyle w:val="TableParagraph"/>
              <w:spacing w:line="240" w:lineRule="auto" w:before="22"/>
              <w:ind w:left="387" w:right="0"/>
              <w:jc w:val="left"/>
              <w:rPr>
                <w:rFonts w:ascii="Times New Roman" w:hAnsi="Times New Roman" w:cs="Times New Roman" w:eastAsia="Times New Roman" w:hint="default"/>
                <w:sz w:val="13"/>
                <w:szCs w:val="13"/>
              </w:rPr>
            </w:pPr>
            <w:r>
              <w:rPr>
                <w:rFonts w:ascii="Times New Roman"/>
                <w:sz w:val="13"/>
              </w:rPr>
              <w:t>8.57</w:t>
            </w:r>
          </w:p>
        </w:tc>
      </w:tr>
    </w:tbl>
    <w:p>
      <w:pPr>
        <w:spacing w:after="0" w:line="240" w:lineRule="auto"/>
        <w:jc w:val="left"/>
        <w:rPr>
          <w:rFonts w:ascii="Times New Roman" w:hAnsi="Times New Roman" w:cs="Times New Roman" w:eastAsia="Times New Roman" w:hint="default"/>
          <w:sz w:val="13"/>
          <w:szCs w:val="13"/>
        </w:rPr>
        <w:sectPr>
          <w:footerReference w:type="default" r:id="rId93"/>
          <w:pgSz w:w="11910" w:h="16840"/>
          <w:pgMar w:footer="979" w:header="851" w:top="1400" w:bottom="1160" w:left="920" w:right="0"/>
        </w:sectPr>
      </w:pPr>
    </w:p>
    <w:p>
      <w:pPr>
        <w:spacing w:line="240" w:lineRule="auto" w:before="11"/>
        <w:rPr>
          <w:rFonts w:ascii="宋体" w:hAnsi="宋体" w:cs="宋体" w:eastAsia="宋体" w:hint="default"/>
          <w:sz w:val="2"/>
          <w:szCs w:val="2"/>
        </w:rPr>
      </w:pPr>
    </w:p>
    <w:tbl>
      <w:tblPr>
        <w:tblW w:w="0" w:type="auto"/>
        <w:jc w:val="left"/>
        <w:tblInd w:w="101" w:type="dxa"/>
        <w:tblLayout w:type="fixed"/>
        <w:tblCellMar>
          <w:top w:w="0" w:type="dxa"/>
          <w:left w:w="0" w:type="dxa"/>
          <w:bottom w:w="0" w:type="dxa"/>
          <w:right w:w="0" w:type="dxa"/>
        </w:tblCellMar>
        <w:tblLook w:val="01E0"/>
      </w:tblPr>
      <w:tblGrid>
        <w:gridCol w:w="535"/>
        <w:gridCol w:w="495"/>
        <w:gridCol w:w="686"/>
        <w:gridCol w:w="644"/>
        <w:gridCol w:w="583"/>
        <w:gridCol w:w="726"/>
        <w:gridCol w:w="728"/>
        <w:gridCol w:w="644"/>
        <w:gridCol w:w="644"/>
        <w:gridCol w:w="582"/>
        <w:gridCol w:w="644"/>
        <w:gridCol w:w="584"/>
        <w:gridCol w:w="583"/>
        <w:gridCol w:w="544"/>
        <w:gridCol w:w="503"/>
        <w:gridCol w:w="730"/>
      </w:tblGrid>
      <w:tr>
        <w:trPr>
          <w:trHeight w:val="291" w:hRule="exact"/>
        </w:trPr>
        <w:tc>
          <w:tcPr>
            <w:tcW w:w="535" w:type="dxa"/>
            <w:vMerge w:val="restart"/>
            <w:tcBorders>
              <w:top w:val="single" w:sz="10"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32" w:right="0"/>
              <w:jc w:val="left"/>
              <w:rPr>
                <w:rFonts w:ascii="宋体" w:hAnsi="宋体" w:cs="宋体" w:eastAsia="宋体" w:hint="default"/>
                <w:sz w:val="13"/>
                <w:szCs w:val="13"/>
              </w:rPr>
            </w:pPr>
            <w:r>
              <w:rPr>
                <w:rFonts w:ascii="宋体" w:hAnsi="宋体" w:cs="宋体" w:eastAsia="宋体" w:hint="default"/>
                <w:sz w:val="13"/>
                <w:szCs w:val="13"/>
              </w:rPr>
              <w:t>项目</w:t>
            </w:r>
          </w:p>
        </w:tc>
        <w:tc>
          <w:tcPr>
            <w:tcW w:w="3135" w:type="dxa"/>
            <w:gridSpan w:val="5"/>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8"/>
              <w:ind w:right="1"/>
              <w:jc w:val="center"/>
              <w:rPr>
                <w:rFonts w:ascii="宋体" w:hAnsi="宋体" w:cs="宋体" w:eastAsia="宋体" w:hint="default"/>
                <w:sz w:val="13"/>
                <w:szCs w:val="13"/>
              </w:rPr>
            </w:pPr>
            <w:r>
              <w:rPr>
                <w:rFonts w:ascii="宋体" w:hAnsi="宋体" w:cs="宋体" w:eastAsia="宋体" w:hint="default"/>
                <w:sz w:val="13"/>
                <w:szCs w:val="13"/>
              </w:rPr>
              <w:t>期末余额</w:t>
            </w:r>
          </w:p>
        </w:tc>
        <w:tc>
          <w:tcPr>
            <w:tcW w:w="6186" w:type="dxa"/>
            <w:gridSpan w:val="10"/>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8"/>
              <w:ind w:right="0"/>
              <w:jc w:val="center"/>
              <w:rPr>
                <w:rFonts w:ascii="宋体" w:hAnsi="宋体" w:cs="宋体" w:eastAsia="宋体" w:hint="default"/>
                <w:sz w:val="13"/>
                <w:szCs w:val="13"/>
              </w:rPr>
            </w:pPr>
            <w:r>
              <w:rPr>
                <w:rFonts w:ascii="宋体" w:hAnsi="宋体" w:cs="宋体" w:eastAsia="宋体" w:hint="default"/>
                <w:sz w:val="13"/>
                <w:szCs w:val="13"/>
              </w:rPr>
              <w:t>年初余额</w:t>
            </w:r>
          </w:p>
        </w:tc>
      </w:tr>
      <w:tr>
        <w:trPr>
          <w:trHeight w:val="649" w:hRule="exact"/>
        </w:trPr>
        <w:tc>
          <w:tcPr>
            <w:tcW w:w="535" w:type="dxa"/>
            <w:vMerge/>
            <w:tcBorders>
              <w:left w:val="single" w:sz="4" w:space="0" w:color="000000"/>
              <w:bottom w:val="single" w:sz="4" w:space="0" w:color="000000"/>
              <w:right w:val="single" w:sz="4" w:space="0" w:color="000000"/>
            </w:tcBorders>
            <w:shd w:val="clear" w:color="auto" w:fill="D2D2D2"/>
          </w:tcPr>
          <w:p>
            <w:pPr/>
          </w:p>
        </w:tc>
        <w:tc>
          <w:tcPr>
            <w:tcW w:w="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11" w:right="0"/>
              <w:jc w:val="left"/>
              <w:rPr>
                <w:rFonts w:ascii="宋体" w:hAnsi="宋体" w:cs="宋体" w:eastAsia="宋体" w:hint="default"/>
                <w:sz w:val="13"/>
                <w:szCs w:val="13"/>
              </w:rPr>
            </w:pPr>
            <w:r>
              <w:rPr>
                <w:rFonts w:ascii="宋体" w:hAnsi="宋体" w:cs="宋体" w:eastAsia="宋体" w:hint="default"/>
                <w:sz w:val="13"/>
                <w:szCs w:val="13"/>
              </w:rPr>
              <w:t>美元</w:t>
            </w:r>
          </w:p>
        </w:tc>
        <w:tc>
          <w:tcPr>
            <w:tcW w:w="6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07" w:right="0"/>
              <w:jc w:val="left"/>
              <w:rPr>
                <w:rFonts w:ascii="宋体" w:hAnsi="宋体" w:cs="宋体" w:eastAsia="宋体" w:hint="default"/>
                <w:sz w:val="13"/>
                <w:szCs w:val="13"/>
              </w:rPr>
            </w:pPr>
            <w:r>
              <w:rPr>
                <w:rFonts w:ascii="宋体" w:hAnsi="宋体" w:cs="宋体" w:eastAsia="宋体" w:hint="default"/>
                <w:sz w:val="13"/>
                <w:szCs w:val="13"/>
              </w:rPr>
              <w:t>港币</w:t>
            </w:r>
          </w:p>
        </w:tc>
        <w:tc>
          <w:tcPr>
            <w:tcW w:w="6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3" w:lineRule="auto" w:before="102"/>
              <w:ind w:left="251" w:right="121" w:hanging="130"/>
              <w:jc w:val="left"/>
              <w:rPr>
                <w:rFonts w:ascii="宋体" w:hAnsi="宋体" w:cs="宋体" w:eastAsia="宋体" w:hint="default"/>
                <w:sz w:val="13"/>
                <w:szCs w:val="13"/>
              </w:rPr>
            </w:pPr>
            <w:r>
              <w:rPr>
                <w:rFonts w:ascii="宋体" w:hAnsi="宋体" w:cs="宋体" w:eastAsia="宋体" w:hint="default"/>
                <w:sz w:val="13"/>
                <w:szCs w:val="13"/>
              </w:rPr>
              <w:t>新加坡</w:t>
            </w:r>
            <w:r>
              <w:rPr>
                <w:rFonts w:ascii="宋体" w:hAnsi="宋体" w:cs="宋体" w:eastAsia="宋体" w:hint="default"/>
                <w:w w:val="99"/>
                <w:sz w:val="13"/>
                <w:szCs w:val="13"/>
              </w:rPr>
              <w:t> </w:t>
            </w:r>
            <w:r>
              <w:rPr>
                <w:rFonts w:ascii="宋体" w:hAnsi="宋体" w:cs="宋体" w:eastAsia="宋体" w:hint="default"/>
                <w:sz w:val="13"/>
                <w:szCs w:val="13"/>
              </w:rPr>
              <w:t>币</w:t>
            </w:r>
          </w:p>
        </w:tc>
        <w:tc>
          <w:tcPr>
            <w:tcW w:w="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55" w:right="0"/>
              <w:jc w:val="left"/>
              <w:rPr>
                <w:rFonts w:ascii="宋体" w:hAnsi="宋体" w:cs="宋体" w:eastAsia="宋体" w:hint="default"/>
                <w:sz w:val="13"/>
                <w:szCs w:val="13"/>
              </w:rPr>
            </w:pPr>
            <w:r>
              <w:rPr>
                <w:rFonts w:ascii="宋体" w:hAnsi="宋体" w:cs="宋体" w:eastAsia="宋体" w:hint="default"/>
                <w:sz w:val="13"/>
                <w:szCs w:val="13"/>
              </w:rPr>
              <w:t>欧元</w:t>
            </w:r>
          </w:p>
        </w:tc>
        <w:tc>
          <w:tcPr>
            <w:tcW w:w="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26" w:right="0"/>
              <w:jc w:val="left"/>
              <w:rPr>
                <w:rFonts w:ascii="宋体" w:hAnsi="宋体" w:cs="宋体" w:eastAsia="宋体" w:hint="default"/>
                <w:sz w:val="13"/>
                <w:szCs w:val="13"/>
              </w:rPr>
            </w:pPr>
            <w:r>
              <w:rPr>
                <w:rFonts w:ascii="宋体" w:hAnsi="宋体" w:cs="宋体" w:eastAsia="宋体" w:hint="default"/>
                <w:sz w:val="13"/>
                <w:szCs w:val="13"/>
              </w:rPr>
              <w:t>合计</w:t>
            </w:r>
          </w:p>
        </w:tc>
        <w:tc>
          <w:tcPr>
            <w:tcW w:w="7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28" w:right="0"/>
              <w:jc w:val="left"/>
              <w:rPr>
                <w:rFonts w:ascii="宋体" w:hAnsi="宋体" w:cs="宋体" w:eastAsia="宋体" w:hint="default"/>
                <w:sz w:val="13"/>
                <w:szCs w:val="13"/>
              </w:rPr>
            </w:pPr>
            <w:r>
              <w:rPr>
                <w:rFonts w:ascii="宋体" w:hAnsi="宋体" w:cs="宋体" w:eastAsia="宋体" w:hint="default"/>
                <w:sz w:val="13"/>
                <w:szCs w:val="13"/>
              </w:rPr>
              <w:t>美元</w:t>
            </w:r>
          </w:p>
        </w:tc>
        <w:tc>
          <w:tcPr>
            <w:tcW w:w="6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187" w:right="0"/>
              <w:jc w:val="left"/>
              <w:rPr>
                <w:rFonts w:ascii="宋体" w:hAnsi="宋体" w:cs="宋体" w:eastAsia="宋体" w:hint="default"/>
                <w:sz w:val="13"/>
                <w:szCs w:val="13"/>
              </w:rPr>
            </w:pPr>
            <w:r>
              <w:rPr>
                <w:rFonts w:ascii="宋体" w:hAnsi="宋体" w:cs="宋体" w:eastAsia="宋体" w:hint="default"/>
                <w:sz w:val="13"/>
                <w:szCs w:val="13"/>
              </w:rPr>
              <w:t>港币</w:t>
            </w:r>
          </w:p>
        </w:tc>
        <w:tc>
          <w:tcPr>
            <w:tcW w:w="6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4"/>
                <w:szCs w:val="14"/>
              </w:rPr>
            </w:pPr>
          </w:p>
          <w:p>
            <w:pPr>
              <w:pStyle w:val="TableParagraph"/>
              <w:spacing w:line="273" w:lineRule="auto"/>
              <w:ind w:left="252" w:right="121" w:hanging="130"/>
              <w:jc w:val="left"/>
              <w:rPr>
                <w:rFonts w:ascii="宋体" w:hAnsi="宋体" w:cs="宋体" w:eastAsia="宋体" w:hint="default"/>
                <w:sz w:val="13"/>
                <w:szCs w:val="13"/>
              </w:rPr>
            </w:pPr>
            <w:r>
              <w:rPr>
                <w:rFonts w:ascii="宋体" w:hAnsi="宋体" w:cs="宋体" w:eastAsia="宋体" w:hint="default"/>
                <w:sz w:val="13"/>
                <w:szCs w:val="13"/>
              </w:rPr>
              <w:t>新加坡</w:t>
            </w:r>
            <w:r>
              <w:rPr>
                <w:rFonts w:ascii="宋体" w:hAnsi="宋体" w:cs="宋体" w:eastAsia="宋体" w:hint="default"/>
                <w:w w:val="99"/>
                <w:sz w:val="13"/>
                <w:szCs w:val="13"/>
              </w:rPr>
              <w:t> </w:t>
            </w:r>
            <w:r>
              <w:rPr>
                <w:rFonts w:ascii="宋体" w:hAnsi="宋体" w:cs="宋体" w:eastAsia="宋体" w:hint="default"/>
                <w:sz w:val="13"/>
                <w:szCs w:val="13"/>
              </w:rPr>
              <w:t>币</w:t>
            </w:r>
          </w:p>
        </w:tc>
        <w:tc>
          <w:tcPr>
            <w:tcW w:w="5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4"/>
                <w:szCs w:val="14"/>
              </w:rPr>
            </w:pPr>
          </w:p>
          <w:p>
            <w:pPr>
              <w:pStyle w:val="TableParagraph"/>
              <w:spacing w:line="273" w:lineRule="auto"/>
              <w:ind w:left="220" w:right="156" w:hanging="66"/>
              <w:jc w:val="left"/>
              <w:rPr>
                <w:rFonts w:ascii="宋体" w:hAnsi="宋体" w:cs="宋体" w:eastAsia="宋体" w:hint="default"/>
                <w:sz w:val="13"/>
                <w:szCs w:val="13"/>
              </w:rPr>
            </w:pPr>
            <w:r>
              <w:rPr>
                <w:rFonts w:ascii="宋体" w:hAnsi="宋体" w:cs="宋体" w:eastAsia="宋体" w:hint="default"/>
                <w:sz w:val="13"/>
                <w:szCs w:val="13"/>
              </w:rPr>
              <w:t>新台</w:t>
            </w:r>
            <w:r>
              <w:rPr>
                <w:rFonts w:ascii="宋体" w:hAnsi="宋体" w:cs="宋体" w:eastAsia="宋体" w:hint="default"/>
                <w:w w:val="99"/>
                <w:sz w:val="13"/>
                <w:szCs w:val="13"/>
              </w:rPr>
              <w:t> </w:t>
            </w:r>
            <w:r>
              <w:rPr>
                <w:rFonts w:ascii="宋体" w:hAnsi="宋体" w:cs="宋体" w:eastAsia="宋体" w:hint="default"/>
                <w:sz w:val="13"/>
                <w:szCs w:val="13"/>
              </w:rPr>
              <w:t>币</w:t>
            </w:r>
          </w:p>
        </w:tc>
        <w:tc>
          <w:tcPr>
            <w:tcW w:w="6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187" w:right="0"/>
              <w:jc w:val="left"/>
              <w:rPr>
                <w:rFonts w:ascii="宋体" w:hAnsi="宋体" w:cs="宋体" w:eastAsia="宋体" w:hint="default"/>
                <w:sz w:val="13"/>
                <w:szCs w:val="13"/>
              </w:rPr>
            </w:pPr>
            <w:r>
              <w:rPr>
                <w:rFonts w:ascii="宋体" w:hAnsi="宋体" w:cs="宋体" w:eastAsia="宋体" w:hint="default"/>
                <w:sz w:val="13"/>
                <w:szCs w:val="13"/>
              </w:rPr>
              <w:t>韩元</w:t>
            </w:r>
          </w:p>
        </w:tc>
        <w:tc>
          <w:tcPr>
            <w:tcW w:w="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4"/>
                <w:szCs w:val="14"/>
              </w:rPr>
            </w:pPr>
          </w:p>
          <w:p>
            <w:pPr>
              <w:pStyle w:val="TableParagraph"/>
              <w:spacing w:line="273" w:lineRule="auto"/>
              <w:ind w:left="222" w:right="156" w:hanging="67"/>
              <w:jc w:val="left"/>
              <w:rPr>
                <w:rFonts w:ascii="宋体" w:hAnsi="宋体" w:cs="宋体" w:eastAsia="宋体" w:hint="default"/>
                <w:sz w:val="13"/>
                <w:szCs w:val="13"/>
              </w:rPr>
            </w:pPr>
            <w:r>
              <w:rPr>
                <w:rFonts w:ascii="宋体" w:hAnsi="宋体" w:cs="宋体" w:eastAsia="宋体" w:hint="default"/>
                <w:sz w:val="13"/>
                <w:szCs w:val="13"/>
              </w:rPr>
              <w:t>越南</w:t>
            </w:r>
            <w:r>
              <w:rPr>
                <w:rFonts w:ascii="宋体" w:hAnsi="宋体" w:cs="宋体" w:eastAsia="宋体" w:hint="default"/>
                <w:w w:val="99"/>
                <w:sz w:val="13"/>
                <w:szCs w:val="13"/>
              </w:rPr>
              <w:t> </w:t>
            </w:r>
            <w:r>
              <w:rPr>
                <w:rFonts w:ascii="宋体" w:hAnsi="宋体" w:cs="宋体" w:eastAsia="宋体" w:hint="default"/>
                <w:sz w:val="13"/>
                <w:szCs w:val="13"/>
              </w:rPr>
              <w:t>盾</w:t>
            </w:r>
          </w:p>
        </w:tc>
        <w:tc>
          <w:tcPr>
            <w:tcW w:w="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156" w:right="0"/>
              <w:jc w:val="left"/>
              <w:rPr>
                <w:rFonts w:ascii="宋体" w:hAnsi="宋体" w:cs="宋体" w:eastAsia="宋体" w:hint="default"/>
                <w:sz w:val="13"/>
                <w:szCs w:val="13"/>
              </w:rPr>
            </w:pPr>
            <w:r>
              <w:rPr>
                <w:rFonts w:ascii="宋体" w:hAnsi="宋体" w:cs="宋体" w:eastAsia="宋体" w:hint="default"/>
                <w:sz w:val="13"/>
                <w:szCs w:val="13"/>
              </w:rPr>
              <w:t>泰铢</w:t>
            </w:r>
          </w:p>
        </w:tc>
        <w:tc>
          <w:tcPr>
            <w:tcW w:w="5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136" w:right="0"/>
              <w:jc w:val="left"/>
              <w:rPr>
                <w:rFonts w:ascii="宋体" w:hAnsi="宋体" w:cs="宋体" w:eastAsia="宋体" w:hint="default"/>
                <w:sz w:val="13"/>
                <w:szCs w:val="13"/>
              </w:rPr>
            </w:pPr>
            <w:r>
              <w:rPr>
                <w:rFonts w:ascii="宋体" w:hAnsi="宋体" w:cs="宋体" w:eastAsia="宋体" w:hint="default"/>
                <w:sz w:val="13"/>
                <w:szCs w:val="13"/>
              </w:rPr>
              <w:t>欧元</w:t>
            </w:r>
          </w:p>
        </w:tc>
        <w:tc>
          <w:tcPr>
            <w:tcW w:w="5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
              <w:ind w:right="0"/>
              <w:jc w:val="left"/>
              <w:rPr>
                <w:rFonts w:ascii="宋体" w:hAnsi="宋体" w:cs="宋体" w:eastAsia="宋体" w:hint="default"/>
                <w:sz w:val="9"/>
                <w:szCs w:val="9"/>
              </w:rPr>
            </w:pPr>
          </w:p>
          <w:p>
            <w:pPr>
              <w:pStyle w:val="TableParagraph"/>
              <w:spacing w:line="240" w:lineRule="auto"/>
              <w:ind w:left="116" w:right="0"/>
              <w:jc w:val="left"/>
              <w:rPr>
                <w:rFonts w:ascii="宋体" w:hAnsi="宋体" w:cs="宋体" w:eastAsia="宋体" w:hint="default"/>
                <w:sz w:val="13"/>
                <w:szCs w:val="13"/>
              </w:rPr>
            </w:pPr>
            <w:r>
              <w:rPr>
                <w:rFonts w:ascii="宋体" w:hAnsi="宋体" w:cs="宋体" w:eastAsia="宋体" w:hint="default"/>
                <w:sz w:val="13"/>
                <w:szCs w:val="13"/>
              </w:rPr>
              <w:t>加币</w:t>
            </w:r>
          </w:p>
        </w:tc>
        <w:tc>
          <w:tcPr>
            <w:tcW w:w="7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29" w:right="0"/>
              <w:jc w:val="left"/>
              <w:rPr>
                <w:rFonts w:ascii="宋体" w:hAnsi="宋体" w:cs="宋体" w:eastAsia="宋体" w:hint="default"/>
                <w:sz w:val="13"/>
                <w:szCs w:val="13"/>
              </w:rPr>
            </w:pPr>
            <w:r>
              <w:rPr>
                <w:rFonts w:ascii="宋体" w:hAnsi="宋体" w:cs="宋体" w:eastAsia="宋体" w:hint="default"/>
                <w:sz w:val="13"/>
                <w:szCs w:val="13"/>
              </w:rPr>
              <w:t>合计</w:t>
            </w:r>
          </w:p>
        </w:tc>
      </w:tr>
      <w:tr>
        <w:trPr>
          <w:trHeight w:val="244" w:hRule="exact"/>
        </w:trPr>
        <w:tc>
          <w:tcPr>
            <w:tcW w:w="5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47" w:lineRule="exact"/>
              <w:ind w:left="103" w:right="0"/>
              <w:jc w:val="left"/>
              <w:rPr>
                <w:rFonts w:ascii="宋体" w:hAnsi="宋体" w:cs="宋体" w:eastAsia="宋体" w:hint="default"/>
                <w:sz w:val="13"/>
                <w:szCs w:val="13"/>
              </w:rPr>
            </w:pPr>
            <w:r>
              <w:rPr>
                <w:rFonts w:ascii="宋体" w:hAnsi="宋体" w:cs="宋体" w:eastAsia="宋体" w:hint="default"/>
                <w:w w:val="99"/>
                <w:sz w:val="13"/>
                <w:szCs w:val="13"/>
              </w:rPr>
              <w:t>款</w:t>
            </w:r>
            <w:r>
              <w:rPr>
                <w:rFonts w:ascii="宋体" w:hAnsi="宋体" w:cs="宋体" w:eastAsia="宋体" w:hint="default"/>
                <w:sz w:val="13"/>
                <w:szCs w:val="13"/>
              </w:rPr>
            </w:r>
          </w:p>
        </w:tc>
        <w:tc>
          <w:tcPr>
            <w:tcW w:w="495" w:type="dxa"/>
            <w:tcBorders>
              <w:top w:val="single" w:sz="4" w:space="0" w:color="000000"/>
              <w:left w:val="single" w:sz="4" w:space="0" w:color="000000"/>
              <w:bottom w:val="single" w:sz="4" w:space="0" w:color="000000"/>
              <w:right w:val="single" w:sz="4" w:space="0" w:color="000000"/>
            </w:tcBorders>
          </w:tcPr>
          <w:p>
            <w:pPr/>
          </w:p>
        </w:tc>
        <w:tc>
          <w:tcPr>
            <w:tcW w:w="686"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726" w:type="dxa"/>
            <w:tcBorders>
              <w:top w:val="single" w:sz="4" w:space="0" w:color="000000"/>
              <w:left w:val="single" w:sz="4" w:space="0" w:color="000000"/>
              <w:bottom w:val="single" w:sz="4" w:space="0" w:color="000000"/>
              <w:right w:val="single" w:sz="4" w:space="0" w:color="000000"/>
            </w:tcBorders>
          </w:tcPr>
          <w:p>
            <w:pPr/>
          </w:p>
        </w:tc>
        <w:tc>
          <w:tcPr>
            <w:tcW w:w="728"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582"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c>
          <w:tcPr>
            <w:tcW w:w="584" w:type="dxa"/>
            <w:tcBorders>
              <w:top w:val="single" w:sz="4" w:space="0" w:color="000000"/>
              <w:left w:val="single" w:sz="4" w:space="0" w:color="000000"/>
              <w:bottom w:val="single" w:sz="4" w:space="0" w:color="000000"/>
              <w:right w:val="single" w:sz="4" w:space="0" w:color="000000"/>
            </w:tcBorders>
          </w:tcPr>
          <w:p>
            <w:pPr/>
          </w:p>
        </w:tc>
        <w:tc>
          <w:tcPr>
            <w:tcW w:w="583" w:type="dxa"/>
            <w:tcBorders>
              <w:top w:val="single" w:sz="4" w:space="0" w:color="000000"/>
              <w:left w:val="single" w:sz="4" w:space="0" w:color="000000"/>
              <w:bottom w:val="single" w:sz="4" w:space="0" w:color="000000"/>
              <w:right w:val="single" w:sz="4" w:space="0" w:color="000000"/>
            </w:tcBorders>
          </w:tcPr>
          <w:p>
            <w:pPr/>
          </w:p>
        </w:tc>
        <w:tc>
          <w:tcPr>
            <w:tcW w:w="544" w:type="dxa"/>
            <w:tcBorders>
              <w:top w:val="single" w:sz="4" w:space="0" w:color="000000"/>
              <w:left w:val="single" w:sz="4" w:space="0" w:color="000000"/>
              <w:bottom w:val="single" w:sz="4" w:space="0" w:color="000000"/>
              <w:right w:val="single" w:sz="4" w:space="0" w:color="000000"/>
            </w:tcBorders>
          </w:tcPr>
          <w:p>
            <w:pPr/>
          </w:p>
        </w:tc>
        <w:tc>
          <w:tcPr>
            <w:tcW w:w="503" w:type="dxa"/>
            <w:tcBorders>
              <w:top w:val="single" w:sz="4" w:space="0" w:color="000000"/>
              <w:left w:val="single" w:sz="4" w:space="0" w:color="000000"/>
              <w:bottom w:val="single" w:sz="4" w:space="0" w:color="000000"/>
              <w:right w:val="single" w:sz="4" w:space="0" w:color="000000"/>
            </w:tcBorders>
          </w:tcPr>
          <w:p>
            <w:pPr/>
          </w:p>
        </w:tc>
        <w:tc>
          <w:tcPr>
            <w:tcW w:w="730" w:type="dxa"/>
            <w:tcBorders>
              <w:top w:val="single" w:sz="4" w:space="0" w:color="000000"/>
              <w:left w:val="single" w:sz="4" w:space="0" w:color="000000"/>
              <w:bottom w:val="single" w:sz="4" w:space="0" w:color="000000"/>
              <w:right w:val="single" w:sz="4" w:space="0" w:color="000000"/>
            </w:tcBorders>
          </w:tcPr>
          <w:p>
            <w:pPr/>
          </w:p>
        </w:tc>
      </w:tr>
      <w:tr>
        <w:trPr>
          <w:trHeight w:val="779" w:hRule="exact"/>
        </w:trPr>
        <w:tc>
          <w:tcPr>
            <w:tcW w:w="5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08"/>
              <w:ind w:left="132" w:right="0"/>
              <w:jc w:val="left"/>
              <w:rPr>
                <w:rFonts w:ascii="宋体" w:hAnsi="宋体" w:cs="宋体" w:eastAsia="宋体" w:hint="default"/>
                <w:sz w:val="13"/>
                <w:szCs w:val="13"/>
              </w:rPr>
            </w:pPr>
            <w:r>
              <w:rPr>
                <w:rFonts w:ascii="宋体" w:hAnsi="宋体" w:cs="宋体" w:eastAsia="宋体" w:hint="default"/>
                <w:sz w:val="13"/>
                <w:szCs w:val="13"/>
              </w:rPr>
              <w:t>合计</w:t>
            </w:r>
          </w:p>
        </w:tc>
        <w:tc>
          <w:tcPr>
            <w:tcW w:w="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53" w:right="0"/>
              <w:jc w:val="left"/>
              <w:rPr>
                <w:rFonts w:ascii="Times New Roman" w:hAnsi="Times New Roman" w:cs="Times New Roman" w:eastAsia="Times New Roman" w:hint="default"/>
                <w:sz w:val="13"/>
                <w:szCs w:val="13"/>
              </w:rPr>
            </w:pPr>
            <w:r>
              <w:rPr>
                <w:rFonts w:ascii="Times New Roman"/>
                <w:sz w:val="13"/>
              </w:rPr>
              <w:t>131,</w:t>
            </w:r>
          </w:p>
          <w:p>
            <w:pPr>
              <w:pStyle w:val="TableParagraph"/>
              <w:spacing w:line="240" w:lineRule="auto" w:before="22"/>
              <w:ind w:left="153" w:right="0"/>
              <w:jc w:val="left"/>
              <w:rPr>
                <w:rFonts w:ascii="Times New Roman" w:hAnsi="Times New Roman" w:cs="Times New Roman" w:eastAsia="Times New Roman" w:hint="default"/>
                <w:sz w:val="13"/>
                <w:szCs w:val="13"/>
              </w:rPr>
            </w:pPr>
            <w:r>
              <w:rPr>
                <w:rFonts w:ascii="Times New Roman"/>
                <w:sz w:val="13"/>
              </w:rPr>
              <w:t>341,</w:t>
            </w:r>
          </w:p>
          <w:p>
            <w:pPr>
              <w:pStyle w:val="TableParagraph"/>
              <w:spacing w:line="240" w:lineRule="auto" w:before="23"/>
              <w:ind w:left="153" w:right="0"/>
              <w:jc w:val="left"/>
              <w:rPr>
                <w:rFonts w:ascii="Times New Roman" w:hAnsi="Times New Roman" w:cs="Times New Roman" w:eastAsia="Times New Roman" w:hint="default"/>
                <w:sz w:val="13"/>
                <w:szCs w:val="13"/>
              </w:rPr>
            </w:pPr>
            <w:r>
              <w:rPr>
                <w:rFonts w:ascii="Times New Roman"/>
                <w:sz w:val="13"/>
              </w:rPr>
              <w:t>291.</w:t>
            </w:r>
          </w:p>
          <w:p>
            <w:pPr>
              <w:pStyle w:val="TableParagraph"/>
              <w:spacing w:line="240" w:lineRule="auto" w:before="22"/>
              <w:ind w:left="252" w:right="0"/>
              <w:jc w:val="left"/>
              <w:rPr>
                <w:rFonts w:ascii="Times New Roman" w:hAnsi="Times New Roman" w:cs="Times New Roman" w:eastAsia="Times New Roman" w:hint="default"/>
                <w:sz w:val="13"/>
                <w:szCs w:val="13"/>
              </w:rPr>
            </w:pPr>
            <w:r>
              <w:rPr>
                <w:rFonts w:ascii="Times New Roman"/>
                <w:sz w:val="13"/>
              </w:rPr>
              <w:t>34</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9" w:right="0"/>
              <w:jc w:val="center"/>
              <w:rPr>
                <w:rFonts w:ascii="Times New Roman" w:hAnsi="Times New Roman" w:cs="Times New Roman" w:eastAsia="Times New Roman" w:hint="default"/>
                <w:sz w:val="13"/>
                <w:szCs w:val="13"/>
              </w:rPr>
            </w:pPr>
            <w:r>
              <w:rPr>
                <w:rFonts w:ascii="Times New Roman"/>
                <w:sz w:val="13"/>
              </w:rPr>
              <w:t>11,014,1</w:t>
            </w:r>
          </w:p>
          <w:p>
            <w:pPr>
              <w:pStyle w:val="TableParagraph"/>
              <w:spacing w:line="240" w:lineRule="auto" w:before="23"/>
              <w:ind w:left="176" w:right="0"/>
              <w:jc w:val="center"/>
              <w:rPr>
                <w:rFonts w:ascii="Times New Roman" w:hAnsi="Times New Roman" w:cs="Times New Roman" w:eastAsia="Times New Roman" w:hint="default"/>
                <w:sz w:val="13"/>
                <w:szCs w:val="13"/>
              </w:rPr>
            </w:pPr>
            <w:r>
              <w:rPr>
                <w:rFonts w:ascii="Times New Roman"/>
                <w:sz w:val="13"/>
              </w:rPr>
              <w:t>78.10</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41" w:right="0"/>
              <w:jc w:val="left"/>
              <w:rPr>
                <w:rFonts w:ascii="Times New Roman" w:hAnsi="Times New Roman" w:cs="Times New Roman" w:eastAsia="Times New Roman" w:hint="default"/>
                <w:sz w:val="13"/>
                <w:szCs w:val="13"/>
              </w:rPr>
            </w:pPr>
            <w:r>
              <w:rPr>
                <w:rFonts w:ascii="Times New Roman"/>
                <w:sz w:val="13"/>
              </w:rPr>
              <w:t>1,578,1</w:t>
            </w:r>
          </w:p>
          <w:p>
            <w:pPr>
              <w:pStyle w:val="TableParagraph"/>
              <w:spacing w:line="240" w:lineRule="auto" w:before="23"/>
              <w:ind w:left="238" w:right="0"/>
              <w:jc w:val="left"/>
              <w:rPr>
                <w:rFonts w:ascii="Times New Roman" w:hAnsi="Times New Roman" w:cs="Times New Roman" w:eastAsia="Times New Roman" w:hint="default"/>
                <w:sz w:val="13"/>
                <w:szCs w:val="13"/>
              </w:rPr>
            </w:pPr>
            <w:r>
              <w:rPr>
                <w:rFonts w:ascii="Times New Roman"/>
                <w:sz w:val="13"/>
              </w:rPr>
              <w:t>36.92</w:t>
            </w: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8" w:right="0"/>
              <w:jc w:val="center"/>
              <w:rPr>
                <w:rFonts w:ascii="Times New Roman" w:hAnsi="Times New Roman" w:cs="Times New Roman" w:eastAsia="Times New Roman" w:hint="default"/>
                <w:sz w:val="13"/>
                <w:szCs w:val="13"/>
              </w:rPr>
            </w:pPr>
            <w:r>
              <w:rPr>
                <w:rFonts w:ascii="Times New Roman"/>
                <w:sz w:val="13"/>
              </w:rPr>
              <w:t>190,77</w:t>
            </w:r>
          </w:p>
          <w:p>
            <w:pPr>
              <w:pStyle w:val="TableParagraph"/>
              <w:spacing w:line="240" w:lineRule="auto" w:before="23"/>
              <w:ind w:left="137" w:right="0"/>
              <w:jc w:val="center"/>
              <w:rPr>
                <w:rFonts w:ascii="Times New Roman" w:hAnsi="Times New Roman" w:cs="Times New Roman" w:eastAsia="Times New Roman" w:hint="default"/>
                <w:sz w:val="13"/>
                <w:szCs w:val="13"/>
              </w:rPr>
            </w:pPr>
            <w:r>
              <w:rPr>
                <w:rFonts w:ascii="Times New Roman"/>
                <w:sz w:val="13"/>
              </w:rPr>
              <w:t>6.81</w:t>
            </w:r>
          </w:p>
        </w:tc>
        <w:tc>
          <w:tcPr>
            <w:tcW w:w="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58" w:right="0"/>
              <w:jc w:val="left"/>
              <w:rPr>
                <w:rFonts w:ascii="Times New Roman" w:hAnsi="Times New Roman" w:cs="Times New Roman" w:eastAsia="Times New Roman" w:hint="default"/>
                <w:sz w:val="13"/>
                <w:szCs w:val="13"/>
              </w:rPr>
            </w:pPr>
            <w:r>
              <w:rPr>
                <w:rFonts w:ascii="Times New Roman"/>
                <w:sz w:val="13"/>
              </w:rPr>
              <w:t>144,124,</w:t>
            </w:r>
          </w:p>
          <w:p>
            <w:pPr>
              <w:pStyle w:val="TableParagraph"/>
              <w:spacing w:line="240" w:lineRule="auto" w:before="23"/>
              <w:ind w:left="255" w:right="0"/>
              <w:jc w:val="left"/>
              <w:rPr>
                <w:rFonts w:ascii="Times New Roman" w:hAnsi="Times New Roman" w:cs="Times New Roman" w:eastAsia="Times New Roman" w:hint="default"/>
                <w:sz w:val="13"/>
                <w:szCs w:val="13"/>
              </w:rPr>
            </w:pPr>
            <w:r>
              <w:rPr>
                <w:rFonts w:ascii="Times New Roman"/>
                <w:sz w:val="13"/>
              </w:rPr>
              <w:t>383.17</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59" w:right="0"/>
              <w:jc w:val="left"/>
              <w:rPr>
                <w:rFonts w:ascii="Times New Roman" w:hAnsi="Times New Roman" w:cs="Times New Roman" w:eastAsia="Times New Roman" w:hint="default"/>
                <w:sz w:val="13"/>
                <w:szCs w:val="13"/>
              </w:rPr>
            </w:pPr>
            <w:r>
              <w:rPr>
                <w:rFonts w:ascii="Times New Roman"/>
                <w:sz w:val="13"/>
              </w:rPr>
              <w:t>137,222,</w:t>
            </w:r>
          </w:p>
          <w:p>
            <w:pPr>
              <w:pStyle w:val="TableParagraph"/>
              <w:spacing w:line="240" w:lineRule="auto" w:before="23"/>
              <w:ind w:left="257" w:right="0"/>
              <w:jc w:val="left"/>
              <w:rPr>
                <w:rFonts w:ascii="Times New Roman" w:hAnsi="Times New Roman" w:cs="Times New Roman" w:eastAsia="Times New Roman" w:hint="default"/>
                <w:sz w:val="13"/>
                <w:szCs w:val="13"/>
              </w:rPr>
            </w:pPr>
            <w:r>
              <w:rPr>
                <w:rFonts w:ascii="Times New Roman"/>
                <w:sz w:val="13"/>
              </w:rPr>
              <w:t>477.81</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41" w:right="0"/>
              <w:jc w:val="left"/>
              <w:rPr>
                <w:rFonts w:ascii="Times New Roman" w:hAnsi="Times New Roman" w:cs="Times New Roman" w:eastAsia="Times New Roman" w:hint="default"/>
                <w:sz w:val="13"/>
                <w:szCs w:val="13"/>
              </w:rPr>
            </w:pPr>
            <w:r>
              <w:rPr>
                <w:rFonts w:ascii="Times New Roman"/>
                <w:sz w:val="13"/>
              </w:rPr>
              <w:t>4,818,2</w:t>
            </w:r>
          </w:p>
          <w:p>
            <w:pPr>
              <w:pStyle w:val="TableParagraph"/>
              <w:spacing w:line="240" w:lineRule="auto" w:before="23"/>
              <w:ind w:left="238" w:right="0"/>
              <w:jc w:val="left"/>
              <w:rPr>
                <w:rFonts w:ascii="Times New Roman" w:hAnsi="Times New Roman" w:cs="Times New Roman" w:eastAsia="Times New Roman" w:hint="default"/>
                <w:sz w:val="13"/>
                <w:szCs w:val="13"/>
              </w:rPr>
            </w:pPr>
            <w:r>
              <w:rPr>
                <w:rFonts w:ascii="Times New Roman"/>
                <w:sz w:val="13"/>
              </w:rPr>
              <w:t>40.06</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41" w:right="0"/>
              <w:jc w:val="left"/>
              <w:rPr>
                <w:rFonts w:ascii="Times New Roman" w:hAnsi="Times New Roman" w:cs="Times New Roman" w:eastAsia="Times New Roman" w:hint="default"/>
                <w:sz w:val="13"/>
                <w:szCs w:val="13"/>
              </w:rPr>
            </w:pPr>
            <w:r>
              <w:rPr>
                <w:rFonts w:ascii="Times New Roman"/>
                <w:sz w:val="13"/>
              </w:rPr>
              <w:t>1,500,0</w:t>
            </w:r>
          </w:p>
          <w:p>
            <w:pPr>
              <w:pStyle w:val="TableParagraph"/>
              <w:spacing w:line="240" w:lineRule="auto" w:before="23"/>
              <w:ind w:left="238" w:right="0"/>
              <w:jc w:val="left"/>
              <w:rPr>
                <w:rFonts w:ascii="Times New Roman" w:hAnsi="Times New Roman" w:cs="Times New Roman" w:eastAsia="Times New Roman" w:hint="default"/>
                <w:sz w:val="13"/>
                <w:szCs w:val="13"/>
              </w:rPr>
            </w:pPr>
            <w:r>
              <w:rPr>
                <w:rFonts w:ascii="Times New Roman"/>
                <w:sz w:val="13"/>
              </w:rPr>
              <w:t>73.04</w:t>
            </w:r>
          </w:p>
        </w:tc>
        <w:tc>
          <w:tcPr>
            <w:tcW w:w="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7" w:right="0"/>
              <w:jc w:val="center"/>
              <w:rPr>
                <w:rFonts w:ascii="Times New Roman" w:hAnsi="Times New Roman" w:cs="Times New Roman" w:eastAsia="Times New Roman" w:hint="default"/>
                <w:sz w:val="13"/>
                <w:szCs w:val="13"/>
              </w:rPr>
            </w:pPr>
            <w:r>
              <w:rPr>
                <w:rFonts w:ascii="Times New Roman"/>
                <w:sz w:val="13"/>
              </w:rPr>
              <w:t>678,54</w:t>
            </w:r>
          </w:p>
          <w:p>
            <w:pPr>
              <w:pStyle w:val="TableParagraph"/>
              <w:spacing w:line="240" w:lineRule="auto" w:before="23"/>
              <w:ind w:left="136" w:right="0"/>
              <w:jc w:val="center"/>
              <w:rPr>
                <w:rFonts w:ascii="Times New Roman" w:hAnsi="Times New Roman" w:cs="Times New Roman" w:eastAsia="Times New Roman" w:hint="default"/>
                <w:sz w:val="13"/>
                <w:szCs w:val="13"/>
              </w:rPr>
            </w:pPr>
            <w:r>
              <w:rPr>
                <w:rFonts w:ascii="Times New Roman"/>
                <w:sz w:val="13"/>
              </w:rPr>
              <w:t>0.52</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6" w:right="0"/>
              <w:jc w:val="center"/>
              <w:rPr>
                <w:rFonts w:ascii="Times New Roman" w:hAnsi="Times New Roman" w:cs="Times New Roman" w:eastAsia="Times New Roman" w:hint="default"/>
                <w:sz w:val="13"/>
                <w:szCs w:val="13"/>
              </w:rPr>
            </w:pPr>
            <w:r>
              <w:rPr>
                <w:rFonts w:ascii="Times New Roman"/>
                <w:sz w:val="13"/>
              </w:rPr>
              <w:t>-142,17</w:t>
            </w:r>
          </w:p>
          <w:p>
            <w:pPr>
              <w:pStyle w:val="TableParagraph"/>
              <w:spacing w:line="240" w:lineRule="auto" w:before="23"/>
              <w:ind w:left="199" w:right="0"/>
              <w:jc w:val="center"/>
              <w:rPr>
                <w:rFonts w:ascii="Times New Roman" w:hAnsi="Times New Roman" w:cs="Times New Roman" w:eastAsia="Times New Roman" w:hint="default"/>
                <w:sz w:val="13"/>
                <w:szCs w:val="13"/>
              </w:rPr>
            </w:pPr>
            <w:r>
              <w:rPr>
                <w:rFonts w:ascii="Times New Roman"/>
                <w:sz w:val="13"/>
              </w:rPr>
              <w:t>1.62</w:t>
            </w:r>
          </w:p>
        </w:tc>
        <w:tc>
          <w:tcPr>
            <w:tcW w:w="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7" w:right="0"/>
              <w:jc w:val="center"/>
              <w:rPr>
                <w:rFonts w:ascii="Times New Roman" w:hAnsi="Times New Roman" w:cs="Times New Roman" w:eastAsia="Times New Roman" w:hint="default"/>
                <w:sz w:val="13"/>
                <w:szCs w:val="13"/>
              </w:rPr>
            </w:pPr>
            <w:r>
              <w:rPr>
                <w:rFonts w:ascii="Times New Roman"/>
                <w:sz w:val="13"/>
              </w:rPr>
              <w:t>416,99</w:t>
            </w:r>
          </w:p>
          <w:p>
            <w:pPr>
              <w:pStyle w:val="TableParagraph"/>
              <w:spacing w:line="240" w:lineRule="auto" w:before="23"/>
              <w:ind w:left="138" w:right="0"/>
              <w:jc w:val="center"/>
              <w:rPr>
                <w:rFonts w:ascii="Times New Roman" w:hAnsi="Times New Roman" w:cs="Times New Roman" w:eastAsia="Times New Roman" w:hint="default"/>
                <w:sz w:val="13"/>
                <w:szCs w:val="13"/>
              </w:rPr>
            </w:pPr>
            <w:r>
              <w:rPr>
                <w:rFonts w:ascii="Times New Roman"/>
                <w:sz w:val="13"/>
              </w:rPr>
              <w:t>5.53</w:t>
            </w:r>
          </w:p>
        </w:tc>
        <w:tc>
          <w:tcPr>
            <w:tcW w:w="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8" w:right="0"/>
              <w:jc w:val="center"/>
              <w:rPr>
                <w:rFonts w:ascii="Times New Roman" w:hAnsi="Times New Roman" w:cs="Times New Roman" w:eastAsia="Times New Roman" w:hint="default"/>
                <w:sz w:val="13"/>
                <w:szCs w:val="13"/>
              </w:rPr>
            </w:pPr>
            <w:r>
              <w:rPr>
                <w:rFonts w:ascii="Times New Roman"/>
                <w:sz w:val="13"/>
              </w:rPr>
              <w:t>37,002</w:t>
            </w:r>
          </w:p>
          <w:p>
            <w:pPr>
              <w:pStyle w:val="TableParagraph"/>
              <w:spacing w:line="240" w:lineRule="auto" w:before="23"/>
              <w:ind w:left="205" w:right="0"/>
              <w:jc w:val="center"/>
              <w:rPr>
                <w:rFonts w:ascii="Times New Roman" w:hAnsi="Times New Roman" w:cs="Times New Roman" w:eastAsia="Times New Roman" w:hint="default"/>
                <w:sz w:val="13"/>
                <w:szCs w:val="13"/>
              </w:rPr>
            </w:pPr>
            <w:r>
              <w:rPr>
                <w:rFonts w:ascii="Times New Roman"/>
                <w:sz w:val="13"/>
              </w:rPr>
              <w:t>.67</w:t>
            </w:r>
          </w:p>
        </w:tc>
        <w:tc>
          <w:tcPr>
            <w:tcW w:w="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37" w:right="0"/>
              <w:jc w:val="left"/>
              <w:rPr>
                <w:rFonts w:ascii="Times New Roman" w:hAnsi="Times New Roman" w:cs="Times New Roman" w:eastAsia="Times New Roman" w:hint="default"/>
                <w:sz w:val="13"/>
                <w:szCs w:val="13"/>
              </w:rPr>
            </w:pPr>
            <w:r>
              <w:rPr>
                <w:rFonts w:ascii="Times New Roman"/>
                <w:sz w:val="13"/>
              </w:rPr>
              <w:t>80,62</w:t>
            </w:r>
          </w:p>
          <w:p>
            <w:pPr>
              <w:pStyle w:val="TableParagraph"/>
              <w:spacing w:line="240" w:lineRule="auto" w:before="23"/>
              <w:ind w:left="202" w:right="0"/>
              <w:jc w:val="left"/>
              <w:rPr>
                <w:rFonts w:ascii="Times New Roman" w:hAnsi="Times New Roman" w:cs="Times New Roman" w:eastAsia="Times New Roman" w:hint="default"/>
                <w:sz w:val="13"/>
                <w:szCs w:val="13"/>
              </w:rPr>
            </w:pPr>
            <w:r>
              <w:rPr>
                <w:rFonts w:ascii="Times New Roman"/>
                <w:sz w:val="13"/>
              </w:rPr>
              <w:t>5.15</w:t>
            </w:r>
          </w:p>
        </w:tc>
        <w:tc>
          <w:tcPr>
            <w:tcW w:w="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62" w:right="0"/>
              <w:jc w:val="left"/>
              <w:rPr>
                <w:rFonts w:ascii="Times New Roman" w:hAnsi="Times New Roman" w:cs="Times New Roman" w:eastAsia="Times New Roman" w:hint="default"/>
                <w:sz w:val="13"/>
                <w:szCs w:val="13"/>
              </w:rPr>
            </w:pPr>
            <w:r>
              <w:rPr>
                <w:rFonts w:ascii="Times New Roman"/>
                <w:sz w:val="13"/>
              </w:rPr>
              <w:t>2,07</w:t>
            </w:r>
          </w:p>
          <w:p>
            <w:pPr>
              <w:pStyle w:val="TableParagraph"/>
              <w:spacing w:line="240" w:lineRule="auto" w:before="23"/>
              <w:ind w:left="162" w:right="0"/>
              <w:jc w:val="left"/>
              <w:rPr>
                <w:rFonts w:ascii="Times New Roman" w:hAnsi="Times New Roman" w:cs="Times New Roman" w:eastAsia="Times New Roman" w:hint="default"/>
                <w:sz w:val="13"/>
                <w:szCs w:val="13"/>
              </w:rPr>
            </w:pPr>
            <w:r>
              <w:rPr>
                <w:rFonts w:ascii="Times New Roman"/>
                <w:sz w:val="13"/>
              </w:rPr>
              <w:t>1.41</w:t>
            </w:r>
          </w:p>
        </w:tc>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60" w:right="0"/>
              <w:jc w:val="left"/>
              <w:rPr>
                <w:rFonts w:ascii="Times New Roman" w:hAnsi="Times New Roman" w:cs="Times New Roman" w:eastAsia="Times New Roman" w:hint="default"/>
                <w:sz w:val="13"/>
                <w:szCs w:val="13"/>
              </w:rPr>
            </w:pPr>
            <w:r>
              <w:rPr>
                <w:rFonts w:ascii="Times New Roman"/>
                <w:sz w:val="13"/>
              </w:rPr>
              <w:t>144,613,</w:t>
            </w:r>
          </w:p>
          <w:p>
            <w:pPr>
              <w:pStyle w:val="TableParagraph"/>
              <w:spacing w:line="240" w:lineRule="auto" w:before="23"/>
              <w:ind w:left="257" w:right="0"/>
              <w:jc w:val="left"/>
              <w:rPr>
                <w:rFonts w:ascii="Times New Roman" w:hAnsi="Times New Roman" w:cs="Times New Roman" w:eastAsia="Times New Roman" w:hint="default"/>
                <w:sz w:val="13"/>
                <w:szCs w:val="13"/>
              </w:rPr>
            </w:pPr>
            <w:r>
              <w:rPr>
                <w:rFonts w:ascii="Times New Roman"/>
                <w:sz w:val="13"/>
              </w:rPr>
              <w:t>854.57</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2"/>
          <w:szCs w:val="22"/>
        </w:rPr>
      </w:pPr>
    </w:p>
    <w:p>
      <w:pPr>
        <w:pStyle w:val="BodyText"/>
        <w:spacing w:line="240" w:lineRule="auto" w:before="44"/>
        <w:ind w:left="574" w:right="1032"/>
        <w:jc w:val="left"/>
      </w:pPr>
      <w:r>
        <w:rPr/>
        <w:t>于</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12 </w:t>
      </w:r>
      <w:r>
        <w:rPr/>
        <w:t>月</w:t>
      </w:r>
      <w:r>
        <w:rPr>
          <w:spacing w:val="-46"/>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日，在所有其他变量保持不变的情况下，如果人民币对美元、新加坡币等综合升值或贬值</w:t>
      </w:r>
      <w:r>
        <w:rPr>
          <w:spacing w:val="-45"/>
        </w:rPr>
        <w:t> </w:t>
      </w:r>
      <w:r>
        <w:rPr>
          <w:rFonts w:ascii="Times New Roman" w:hAnsi="Times New Roman" w:cs="Times New Roman" w:eastAsia="Times New Roman" w:hint="default"/>
        </w:rPr>
        <w:t>5%</w:t>
      </w:r>
      <w:r>
        <w:rPr/>
        <w:t>，则</w:t>
      </w:r>
    </w:p>
    <w:p>
      <w:pPr>
        <w:pStyle w:val="BodyText"/>
        <w:spacing w:line="240" w:lineRule="auto" w:before="150"/>
        <w:ind w:left="214" w:right="1032"/>
        <w:jc w:val="left"/>
      </w:pPr>
      <w:r>
        <w:rPr/>
        <w:t>公司将减少或增加净利润</w:t>
      </w:r>
      <w:r>
        <w:rPr>
          <w:spacing w:val="-48"/>
        </w:rPr>
        <w:t> </w:t>
      </w:r>
      <w:r>
        <w:rPr>
          <w:rFonts w:ascii="Times New Roman" w:hAnsi="Times New Roman" w:cs="Times New Roman" w:eastAsia="Times New Roman" w:hint="default"/>
        </w:rPr>
        <w:t>12,347,452.83</w:t>
      </w:r>
      <w:r>
        <w:rPr>
          <w:rFonts w:ascii="Times New Roman" w:hAnsi="Times New Roman" w:cs="Times New Roman" w:eastAsia="Times New Roman" w:hint="default"/>
          <w:spacing w:val="-2"/>
        </w:rPr>
        <w:t> </w:t>
      </w:r>
      <w:r>
        <w:rPr/>
        <w:t>元（</w:t>
      </w:r>
      <w:r>
        <w:rPr>
          <w:rFonts w:ascii="Times New Roman" w:hAnsi="Times New Roman" w:cs="Times New Roman" w:eastAsia="Times New Roman" w:hint="default"/>
        </w:rPr>
        <w:t>2017</w:t>
      </w:r>
      <w:r>
        <w:rPr>
          <w:rFonts w:ascii="Times New Roman" w:hAnsi="Times New Roman" w:cs="Times New Roman" w:eastAsia="Times New Roman" w:hint="default"/>
          <w:spacing w:val="-3"/>
        </w:rPr>
        <w:t> </w:t>
      </w:r>
      <w:r>
        <w:rPr/>
        <w:t>年</w:t>
      </w:r>
      <w:r>
        <w:rPr>
          <w:spacing w:val="-48"/>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48"/>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日：公司将减少或增加净利润</w:t>
      </w:r>
      <w:r>
        <w:rPr>
          <w:spacing w:val="-48"/>
        </w:rPr>
        <w:t> </w:t>
      </w:r>
      <w:r>
        <w:rPr>
          <w:rFonts w:ascii="Times New Roman" w:hAnsi="Times New Roman" w:cs="Times New Roman" w:eastAsia="Times New Roman" w:hint="default"/>
        </w:rPr>
        <w:t>10,072,055.08</w:t>
      </w:r>
      <w:r>
        <w:rPr>
          <w:rFonts w:ascii="Times New Roman" w:hAnsi="Times New Roman" w:cs="Times New Roman" w:eastAsia="Times New Roman" w:hint="default"/>
          <w:spacing w:val="-2"/>
        </w:rPr>
        <w:t> </w:t>
      </w:r>
      <w:r>
        <w:rPr>
          <w:spacing w:val="-3"/>
        </w:rPr>
        <w:t>元）。管理层认为</w:t>
      </w:r>
    </w:p>
    <w:p>
      <w:pPr>
        <w:pStyle w:val="BodyText"/>
        <w:spacing w:line="240" w:lineRule="auto" w:before="150"/>
        <w:ind w:left="214" w:right="1753"/>
        <w:jc w:val="left"/>
      </w:pPr>
      <w:r>
        <w:rPr>
          <w:rFonts w:ascii="Times New Roman" w:hAnsi="Times New Roman" w:cs="Times New Roman" w:eastAsia="Times New Roman" w:hint="default"/>
        </w:rPr>
        <w:t>5%</w:t>
      </w:r>
      <w:r>
        <w:rPr/>
        <w:t>合理反映了下一年度人民币对美元、新加坡币等货币可能发生变动的合理范围。</w:t>
      </w:r>
    </w:p>
    <w:p>
      <w:pPr>
        <w:spacing w:line="463" w:lineRule="auto" w:before="103"/>
        <w:ind w:left="574" w:right="7512"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）其他价格风险 本年公司没有重大的其他价格风险。 </w:t>
      </w:r>
      <w:r>
        <w:rPr>
          <w:rFonts w:ascii="宋体" w:hAnsi="宋体" w:cs="宋体" w:eastAsia="宋体" w:hint="default"/>
          <w:b/>
          <w:bCs/>
          <w:sz w:val="18"/>
          <w:szCs w:val="18"/>
        </w:rPr>
        <w:t>3.</w:t>
      </w:r>
      <w:r>
        <w:rPr>
          <w:rFonts w:ascii="宋体" w:hAnsi="宋体" w:cs="宋体" w:eastAsia="宋体" w:hint="default"/>
          <w:b/>
          <w:bCs/>
          <w:sz w:val="18"/>
          <w:szCs w:val="18"/>
        </w:rPr>
        <w:t>流动性风险</w:t>
      </w:r>
      <w:r>
        <w:rPr>
          <w:rFonts w:ascii="宋体" w:hAnsi="宋体" w:cs="宋体" w:eastAsia="宋体" w:hint="default"/>
          <w:sz w:val="18"/>
          <w:szCs w:val="18"/>
        </w:rPr>
      </w:r>
    </w:p>
    <w:p>
      <w:pPr>
        <w:pStyle w:val="BodyText"/>
        <w:spacing w:line="477" w:lineRule="auto" w:before="65"/>
        <w:ind w:left="214" w:right="1132" w:firstLine="360"/>
        <w:jc w:val="both"/>
      </w:pPr>
      <w:r>
        <w:rPr>
          <w:spacing w:val="-2"/>
        </w:rPr>
        <w:t>流动性风险，是指企业在履行以交付现金或其他金融资产的方式结算的义务时发生资金短缺的风险。本公司的政策是确</w:t>
      </w:r>
      <w:r>
        <w:rPr/>
        <w:t> </w:t>
      </w:r>
      <w:r>
        <w:rPr>
          <w:spacing w:val="-2"/>
        </w:rPr>
        <w:t>保拥有充足的现金以偿还到期债务。流动性风险由本公司的财务部门集中控制。财务部门通过监控现金余额、可随时变现的</w:t>
      </w:r>
      <w:r>
        <w:rPr>
          <w:spacing w:val="-66"/>
        </w:rPr>
        <w:t> </w:t>
      </w:r>
      <w:r>
        <w:rPr>
          <w:spacing w:val="-66"/>
        </w:rPr>
      </w:r>
      <w:r>
        <w:rPr/>
        <w:t>有价证券以及对未来</w:t>
      </w:r>
      <w:r>
        <w:rPr>
          <w:rFonts w:ascii="Times New Roman" w:hAnsi="Times New Roman" w:cs="Times New Roman" w:eastAsia="Times New Roman" w:hint="default"/>
        </w:rPr>
        <w:t>12</w:t>
      </w:r>
      <w:r>
        <w:rPr/>
        <w:t>个月现金流量的滚动预测，确保公司在所有合理预测的情况下拥有充足的资金偿还债务。</w:t>
      </w:r>
    </w:p>
    <w:p>
      <w:pPr>
        <w:pStyle w:val="BodyText"/>
        <w:spacing w:line="240" w:lineRule="auto" w:before="21"/>
        <w:ind w:left="574" w:right="1753"/>
        <w:jc w:val="left"/>
      </w:pPr>
      <w:r>
        <w:rPr/>
        <w:t>本公司各项金融负债以未折现的合同现金流量按到期日列示如下：</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tbl>
      <w:tblPr>
        <w:tblW w:w="0" w:type="auto"/>
        <w:jc w:val="left"/>
        <w:tblInd w:w="197" w:type="dxa"/>
        <w:tblLayout w:type="fixed"/>
        <w:tblCellMar>
          <w:top w:w="0" w:type="dxa"/>
          <w:left w:w="0" w:type="dxa"/>
          <w:bottom w:w="0" w:type="dxa"/>
          <w:right w:w="0" w:type="dxa"/>
        </w:tblCellMar>
        <w:tblLook w:val="01E0"/>
      </w:tblPr>
      <w:tblGrid>
        <w:gridCol w:w="2909"/>
        <w:gridCol w:w="1955"/>
        <w:gridCol w:w="1657"/>
        <w:gridCol w:w="1182"/>
        <w:gridCol w:w="1955"/>
      </w:tblGrid>
      <w:tr>
        <w:trPr>
          <w:trHeight w:val="341" w:hRule="exact"/>
        </w:trPr>
        <w:tc>
          <w:tcPr>
            <w:tcW w:w="2909" w:type="dxa"/>
            <w:vMerge w:val="restart"/>
            <w:tcBorders>
              <w:top w:val="single" w:sz="6" w:space="0" w:color="000000"/>
              <w:left w:val="single" w:sz="6" w:space="0" w:color="000000"/>
              <w:right w:val="single" w:sz="6" w:space="0" w:color="000000"/>
            </w:tcBorders>
            <w:shd w:val="clear" w:color="auto" w:fill="D2D2D2"/>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95" w:type="dxa"/>
            <w:gridSpan w:val="3"/>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6"/>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1955" w:type="dxa"/>
            <w:vMerge w:val="restart"/>
            <w:tcBorders>
              <w:top w:val="single" w:sz="6" w:space="0" w:color="000000"/>
              <w:left w:val="single" w:sz="6" w:space="0" w:color="000000"/>
              <w:right w:val="single" w:sz="6" w:space="0" w:color="000000"/>
            </w:tcBorders>
            <w:shd w:val="clear" w:color="auto" w:fill="D2D2D2"/>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347" w:hRule="exact"/>
        </w:trPr>
        <w:tc>
          <w:tcPr>
            <w:tcW w:w="2909" w:type="dxa"/>
            <w:vMerge/>
            <w:tcBorders>
              <w:left w:val="single" w:sz="6" w:space="0" w:color="000000"/>
              <w:bottom w:val="single" w:sz="6" w:space="0" w:color="000000"/>
              <w:right w:val="single" w:sz="6" w:space="0" w:color="000000"/>
            </w:tcBorders>
            <w:shd w:val="clear" w:color="auto" w:fill="D2D2D2"/>
          </w:tcPr>
          <w:p>
            <w:pPr/>
          </w:p>
        </w:tc>
        <w:tc>
          <w:tcPr>
            <w:tcW w:w="1955"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657"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61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年</w:t>
            </w:r>
          </w:p>
        </w:tc>
        <w:tc>
          <w:tcPr>
            <w:tcW w:w="118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26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年以上</w:t>
            </w:r>
          </w:p>
        </w:tc>
        <w:tc>
          <w:tcPr>
            <w:tcW w:w="1955" w:type="dxa"/>
            <w:vMerge/>
            <w:tcBorders>
              <w:left w:val="single" w:sz="6" w:space="0" w:color="000000"/>
              <w:bottom w:val="single" w:sz="6" w:space="0" w:color="000000"/>
              <w:right w:val="single" w:sz="6" w:space="0" w:color="000000"/>
            </w:tcBorders>
            <w:shd w:val="clear" w:color="auto" w:fill="D2D2D2"/>
          </w:tcPr>
          <w:p>
            <w:pPr/>
          </w:p>
        </w:tc>
      </w:tr>
      <w:tr>
        <w:trPr>
          <w:trHeight w:val="347" w:hRule="exact"/>
        </w:trPr>
        <w:tc>
          <w:tcPr>
            <w:tcW w:w="2909"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应付款项</w:t>
            </w:r>
          </w:p>
        </w:tc>
        <w:tc>
          <w:tcPr>
            <w:tcW w:w="1955" w:type="dxa"/>
            <w:tcBorders>
              <w:top w:val="single" w:sz="10" w:space="0" w:color="000000"/>
              <w:left w:val="single" w:sz="7" w:space="0" w:color="000000"/>
              <w:bottom w:val="single" w:sz="6" w:space="0" w:color="000000"/>
              <w:right w:val="single" w:sz="6" w:space="0" w:color="000000"/>
            </w:tcBorders>
          </w:tcPr>
          <w:p>
            <w:pPr>
              <w:pStyle w:val="TableParagraph"/>
              <w:spacing w:line="240" w:lineRule="auto" w:before="55"/>
              <w:ind w:right="0"/>
              <w:jc w:val="right"/>
              <w:rPr>
                <w:rFonts w:ascii="Times New Roman" w:hAnsi="Times New Roman" w:cs="Times New Roman" w:eastAsia="Times New Roman" w:hint="default"/>
                <w:sz w:val="18"/>
                <w:szCs w:val="18"/>
              </w:rPr>
            </w:pPr>
            <w:r>
              <w:rPr>
                <w:rFonts w:ascii="Times New Roman"/>
                <w:spacing w:val="-1"/>
                <w:sz w:val="18"/>
              </w:rPr>
              <w:t>483,263,667.27</w:t>
            </w:r>
          </w:p>
        </w:tc>
        <w:tc>
          <w:tcPr>
            <w:tcW w:w="1657" w:type="dxa"/>
            <w:tcBorders>
              <w:top w:val="single" w:sz="10" w:space="0" w:color="000000"/>
              <w:left w:val="single" w:sz="6" w:space="0" w:color="000000"/>
              <w:bottom w:val="single" w:sz="6" w:space="0" w:color="000000"/>
              <w:right w:val="single" w:sz="6" w:space="0" w:color="000000"/>
            </w:tcBorders>
          </w:tcPr>
          <w:p>
            <w:pPr/>
          </w:p>
        </w:tc>
        <w:tc>
          <w:tcPr>
            <w:tcW w:w="1182" w:type="dxa"/>
            <w:tcBorders>
              <w:top w:val="single" w:sz="10" w:space="0" w:color="000000"/>
              <w:left w:val="single" w:sz="6" w:space="0" w:color="000000"/>
              <w:bottom w:val="single" w:sz="6" w:space="0" w:color="000000"/>
              <w:right w:val="single" w:sz="6" w:space="0" w:color="000000"/>
            </w:tcBorders>
          </w:tcPr>
          <w:p>
            <w:pPr/>
          </w:p>
        </w:tc>
        <w:tc>
          <w:tcPr>
            <w:tcW w:w="1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483,263,667.27</w:t>
            </w:r>
          </w:p>
        </w:tc>
      </w:tr>
      <w:tr>
        <w:trPr>
          <w:trHeight w:val="347" w:hRule="exact"/>
        </w:trPr>
        <w:tc>
          <w:tcPr>
            <w:tcW w:w="2909"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借款及利息</w:t>
            </w:r>
          </w:p>
        </w:tc>
        <w:tc>
          <w:tcPr>
            <w:tcW w:w="1955"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381,825,152.09</w:t>
            </w:r>
          </w:p>
        </w:tc>
        <w:tc>
          <w:tcPr>
            <w:tcW w:w="16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604" w:right="0"/>
              <w:jc w:val="left"/>
              <w:rPr>
                <w:rFonts w:ascii="Times New Roman" w:hAnsi="Times New Roman" w:cs="Times New Roman" w:eastAsia="Times New Roman" w:hint="default"/>
                <w:sz w:val="18"/>
                <w:szCs w:val="18"/>
              </w:rPr>
            </w:pPr>
            <w:r>
              <w:rPr>
                <w:rFonts w:ascii="Times New Roman"/>
                <w:sz w:val="18"/>
              </w:rPr>
              <w:t>62,500,000.00</w:t>
            </w:r>
          </w:p>
        </w:tc>
        <w:tc>
          <w:tcPr>
            <w:tcW w:w="1182" w:type="dxa"/>
            <w:tcBorders>
              <w:top w:val="single" w:sz="6" w:space="0" w:color="000000"/>
              <w:left w:val="single" w:sz="6" w:space="0" w:color="000000"/>
              <w:bottom w:val="single" w:sz="6" w:space="0" w:color="000000"/>
              <w:right w:val="single" w:sz="6" w:space="0" w:color="000000"/>
            </w:tcBorders>
          </w:tcPr>
          <w:p>
            <w:pPr/>
          </w:p>
        </w:tc>
        <w:tc>
          <w:tcPr>
            <w:tcW w:w="1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444,325,152.09</w:t>
            </w:r>
          </w:p>
        </w:tc>
      </w:tr>
      <w:tr>
        <w:trPr>
          <w:trHeight w:val="348" w:hRule="exact"/>
        </w:trPr>
        <w:tc>
          <w:tcPr>
            <w:tcW w:w="2909"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955"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324,152,259.87</w:t>
            </w:r>
          </w:p>
        </w:tc>
        <w:tc>
          <w:tcPr>
            <w:tcW w:w="1657" w:type="dxa"/>
            <w:tcBorders>
              <w:top w:val="single" w:sz="6" w:space="0" w:color="000000"/>
              <w:left w:val="single" w:sz="6" w:space="0" w:color="000000"/>
              <w:bottom w:val="single" w:sz="6" w:space="0" w:color="000000"/>
              <w:right w:val="single" w:sz="6" w:space="0" w:color="000000"/>
            </w:tcBorders>
          </w:tcPr>
          <w:p>
            <w:pPr/>
          </w:p>
        </w:tc>
        <w:tc>
          <w:tcPr>
            <w:tcW w:w="1182" w:type="dxa"/>
            <w:tcBorders>
              <w:top w:val="single" w:sz="6" w:space="0" w:color="000000"/>
              <w:left w:val="single" w:sz="6" w:space="0" w:color="000000"/>
              <w:bottom w:val="single" w:sz="6" w:space="0" w:color="000000"/>
              <w:right w:val="single" w:sz="6" w:space="0" w:color="000000"/>
            </w:tcBorders>
          </w:tcPr>
          <w:p>
            <w:pPr/>
          </w:p>
        </w:tc>
        <w:tc>
          <w:tcPr>
            <w:tcW w:w="1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324,152,259.87</w:t>
            </w:r>
          </w:p>
        </w:tc>
      </w:tr>
      <w:tr>
        <w:trPr>
          <w:trHeight w:val="347" w:hRule="exact"/>
        </w:trPr>
        <w:tc>
          <w:tcPr>
            <w:tcW w:w="2909"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55"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1,189,241,079.23</w:t>
            </w:r>
          </w:p>
        </w:tc>
        <w:tc>
          <w:tcPr>
            <w:tcW w:w="16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604" w:right="0"/>
              <w:jc w:val="left"/>
              <w:rPr>
                <w:rFonts w:ascii="Times New Roman" w:hAnsi="Times New Roman" w:cs="Times New Roman" w:eastAsia="Times New Roman" w:hint="default"/>
                <w:sz w:val="18"/>
                <w:szCs w:val="18"/>
              </w:rPr>
            </w:pPr>
            <w:r>
              <w:rPr>
                <w:rFonts w:ascii="Times New Roman"/>
                <w:sz w:val="18"/>
              </w:rPr>
              <w:t>62,500,000.00</w:t>
            </w:r>
          </w:p>
        </w:tc>
        <w:tc>
          <w:tcPr>
            <w:tcW w:w="1182" w:type="dxa"/>
            <w:tcBorders>
              <w:top w:val="single" w:sz="6" w:space="0" w:color="000000"/>
              <w:left w:val="single" w:sz="6" w:space="0" w:color="000000"/>
              <w:bottom w:val="single" w:sz="6" w:space="0" w:color="000000"/>
              <w:right w:val="single" w:sz="6" w:space="0" w:color="000000"/>
            </w:tcBorders>
          </w:tcPr>
          <w:p>
            <w:pPr/>
          </w:p>
        </w:tc>
        <w:tc>
          <w:tcPr>
            <w:tcW w:w="19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1,251,741,079.23</w:t>
            </w:r>
          </w:p>
        </w:tc>
      </w:tr>
    </w:tbl>
    <w:p>
      <w:pPr>
        <w:spacing w:line="240" w:lineRule="auto" w:before="3"/>
        <w:rPr>
          <w:rFonts w:ascii="宋体" w:hAnsi="宋体" w:cs="宋体" w:eastAsia="宋体" w:hint="default"/>
          <w:sz w:val="24"/>
          <w:szCs w:val="24"/>
        </w:rPr>
      </w:pPr>
    </w:p>
    <w:tbl>
      <w:tblPr>
        <w:tblW w:w="0" w:type="auto"/>
        <w:jc w:val="left"/>
        <w:tblInd w:w="202" w:type="dxa"/>
        <w:tblLayout w:type="fixed"/>
        <w:tblCellMar>
          <w:top w:w="0" w:type="dxa"/>
          <w:left w:w="0" w:type="dxa"/>
          <w:bottom w:w="0" w:type="dxa"/>
          <w:right w:w="0" w:type="dxa"/>
        </w:tblCellMar>
        <w:tblLook w:val="01E0"/>
      </w:tblPr>
      <w:tblGrid>
        <w:gridCol w:w="2870"/>
        <w:gridCol w:w="1933"/>
        <w:gridCol w:w="1756"/>
        <w:gridCol w:w="1166"/>
        <w:gridCol w:w="1932"/>
      </w:tblGrid>
      <w:tr>
        <w:trPr>
          <w:trHeight w:val="337" w:hRule="exact"/>
        </w:trPr>
        <w:tc>
          <w:tcPr>
            <w:tcW w:w="28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85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1"/>
              <w:jc w:val="center"/>
              <w:rPr>
                <w:rFonts w:ascii="宋体" w:hAnsi="宋体" w:cs="宋体" w:eastAsia="宋体" w:hint="default"/>
                <w:sz w:val="18"/>
                <w:szCs w:val="18"/>
              </w:rPr>
            </w:pPr>
            <w:r>
              <w:rPr>
                <w:rFonts w:ascii="宋体" w:hAnsi="宋体" w:cs="宋体" w:eastAsia="宋体" w:hint="default"/>
                <w:sz w:val="18"/>
                <w:szCs w:val="18"/>
              </w:rPr>
              <w:t>年初余额</w:t>
            </w:r>
          </w:p>
        </w:tc>
        <w:tc>
          <w:tcPr>
            <w:tcW w:w="1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342" w:hRule="exact"/>
        </w:trPr>
        <w:tc>
          <w:tcPr>
            <w:tcW w:w="2870" w:type="dxa"/>
            <w:vMerge/>
            <w:tcBorders>
              <w:left w:val="single" w:sz="4" w:space="0" w:color="000000"/>
              <w:bottom w:val="single" w:sz="4" w:space="0" w:color="000000"/>
              <w:right w:val="single" w:sz="4" w:space="0" w:color="000000"/>
            </w:tcBorders>
            <w:shd w:val="clear" w:color="auto" w:fill="D2D2D2"/>
          </w:tcPr>
          <w:p>
            <w:pPr/>
          </w:p>
        </w:tc>
        <w:tc>
          <w:tcPr>
            <w:tcW w:w="19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7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6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年</w:t>
            </w:r>
          </w:p>
        </w:tc>
        <w:tc>
          <w:tcPr>
            <w:tcW w:w="1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2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年以上</w:t>
            </w:r>
          </w:p>
        </w:tc>
        <w:tc>
          <w:tcPr>
            <w:tcW w:w="1932" w:type="dxa"/>
            <w:vMerge/>
            <w:tcBorders>
              <w:left w:val="single" w:sz="4" w:space="0" w:color="000000"/>
              <w:bottom w:val="single" w:sz="4" w:space="0" w:color="000000"/>
              <w:right w:val="single" w:sz="4" w:space="0" w:color="000000"/>
            </w:tcBorders>
            <w:shd w:val="clear" w:color="auto" w:fill="D2D2D2"/>
          </w:tcPr>
          <w:p>
            <w:pPr/>
          </w:p>
        </w:tc>
      </w:tr>
      <w:tr>
        <w:trPr>
          <w:trHeight w:val="342" w:hRule="exact"/>
        </w:trPr>
        <w:tc>
          <w:tcPr>
            <w:tcW w:w="2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应付款项</w:t>
            </w:r>
          </w:p>
        </w:tc>
        <w:tc>
          <w:tcPr>
            <w:tcW w:w="1933"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55"/>
              <w:ind w:right="3"/>
              <w:jc w:val="right"/>
              <w:rPr>
                <w:rFonts w:ascii="Times New Roman" w:hAnsi="Times New Roman" w:cs="Times New Roman" w:eastAsia="Times New Roman" w:hint="default"/>
                <w:sz w:val="18"/>
                <w:szCs w:val="18"/>
              </w:rPr>
            </w:pPr>
            <w:r>
              <w:rPr>
                <w:rFonts w:ascii="Times New Roman"/>
                <w:spacing w:val="-1"/>
                <w:sz w:val="18"/>
              </w:rPr>
              <w:t>523,723,164.84</w:t>
            </w:r>
          </w:p>
        </w:tc>
        <w:tc>
          <w:tcPr>
            <w:tcW w:w="1756" w:type="dxa"/>
            <w:tcBorders>
              <w:top w:val="single" w:sz="8" w:space="0" w:color="000000"/>
              <w:left w:val="single" w:sz="4" w:space="0" w:color="000000"/>
              <w:bottom w:val="single" w:sz="4" w:space="0" w:color="000000"/>
              <w:right w:val="single" w:sz="4" w:space="0" w:color="000000"/>
            </w:tcBorders>
          </w:tcPr>
          <w:p>
            <w:pPr/>
          </w:p>
        </w:tc>
        <w:tc>
          <w:tcPr>
            <w:tcW w:w="1166" w:type="dxa"/>
            <w:tcBorders>
              <w:top w:val="single" w:sz="8" w:space="0" w:color="000000"/>
              <w:left w:val="single" w:sz="4" w:space="0" w:color="000000"/>
              <w:bottom w:val="single" w:sz="4" w:space="0" w:color="000000"/>
              <w:right w:val="single" w:sz="4" w:space="0" w:color="000000"/>
            </w:tcBorders>
          </w:tcPr>
          <w:p>
            <w:pPr/>
          </w:p>
        </w:tc>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523,723,164.84</w:t>
            </w:r>
          </w:p>
        </w:tc>
      </w:tr>
      <w:tr>
        <w:trPr>
          <w:trHeight w:val="342" w:hRule="exact"/>
        </w:trPr>
        <w:tc>
          <w:tcPr>
            <w:tcW w:w="2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借款及利息</w:t>
            </w:r>
          </w:p>
        </w:tc>
        <w:tc>
          <w:tcPr>
            <w:tcW w:w="19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822,108,666.36</w:t>
            </w:r>
          </w:p>
        </w:tc>
        <w:tc>
          <w:tcPr>
            <w:tcW w:w="175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822,108,666.36</w:t>
            </w:r>
          </w:p>
        </w:tc>
      </w:tr>
      <w:tr>
        <w:trPr>
          <w:trHeight w:val="342" w:hRule="exact"/>
        </w:trPr>
        <w:tc>
          <w:tcPr>
            <w:tcW w:w="2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9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1,160,319.52</w:t>
            </w:r>
          </w:p>
        </w:tc>
        <w:tc>
          <w:tcPr>
            <w:tcW w:w="1756"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
        </w:tc>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1,160,319.52</w:t>
            </w:r>
          </w:p>
        </w:tc>
      </w:tr>
      <w:tr>
        <w:trPr>
          <w:trHeight w:val="342" w:hRule="exact"/>
        </w:trPr>
        <w:tc>
          <w:tcPr>
            <w:tcW w:w="2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933" w:type="dxa"/>
            <w:tcBorders>
              <w:top w:val="single" w:sz="4" w:space="0" w:color="000000"/>
              <w:left w:val="single" w:sz="4" w:space="0" w:color="000000"/>
              <w:bottom w:val="single" w:sz="4" w:space="0" w:color="000000"/>
              <w:right w:val="single" w:sz="4" w:space="0" w:color="000000"/>
            </w:tcBorders>
          </w:tcPr>
          <w:p>
            <w:pP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616" w:right="0"/>
              <w:jc w:val="left"/>
              <w:rPr>
                <w:rFonts w:ascii="Times New Roman" w:hAnsi="Times New Roman" w:cs="Times New Roman" w:eastAsia="Times New Roman" w:hint="default"/>
                <w:sz w:val="18"/>
                <w:szCs w:val="18"/>
              </w:rPr>
            </w:pPr>
            <w:r>
              <w:rPr>
                <w:rFonts w:ascii="Times New Roman"/>
                <w:sz w:val="18"/>
              </w:rPr>
              <w:t>298,201,572.72</w:t>
            </w:r>
          </w:p>
        </w:tc>
        <w:tc>
          <w:tcPr>
            <w:tcW w:w="1166" w:type="dxa"/>
            <w:tcBorders>
              <w:top w:val="single" w:sz="4" w:space="0" w:color="000000"/>
              <w:left w:val="single" w:sz="4" w:space="0" w:color="000000"/>
              <w:bottom w:val="single" w:sz="4" w:space="0" w:color="000000"/>
              <w:right w:val="single" w:sz="4" w:space="0" w:color="000000"/>
            </w:tcBorders>
          </w:tcPr>
          <w:p>
            <w:pPr/>
          </w:p>
        </w:tc>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298,201,572.72</w:t>
            </w:r>
          </w:p>
        </w:tc>
      </w:tr>
      <w:tr>
        <w:trPr>
          <w:trHeight w:val="343" w:hRule="exact"/>
        </w:trPr>
        <w:tc>
          <w:tcPr>
            <w:tcW w:w="2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5"/>
              <w:jc w:val="right"/>
              <w:rPr>
                <w:rFonts w:ascii="Times New Roman" w:hAnsi="Times New Roman" w:cs="Times New Roman" w:eastAsia="Times New Roman" w:hint="default"/>
                <w:sz w:val="18"/>
                <w:szCs w:val="18"/>
              </w:rPr>
            </w:pPr>
            <w:r>
              <w:rPr>
                <w:rFonts w:ascii="Times New Roman"/>
                <w:spacing w:val="-1"/>
                <w:sz w:val="18"/>
              </w:rPr>
              <w:t>1,346,992,150.72</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616" w:right="0"/>
              <w:jc w:val="left"/>
              <w:rPr>
                <w:rFonts w:ascii="Times New Roman" w:hAnsi="Times New Roman" w:cs="Times New Roman" w:eastAsia="Times New Roman" w:hint="default"/>
                <w:sz w:val="18"/>
                <w:szCs w:val="18"/>
              </w:rPr>
            </w:pPr>
            <w:r>
              <w:rPr>
                <w:rFonts w:ascii="Times New Roman"/>
                <w:sz w:val="18"/>
              </w:rPr>
              <w:t>298,201,572.72</w:t>
            </w:r>
          </w:p>
        </w:tc>
        <w:tc>
          <w:tcPr>
            <w:tcW w:w="1166" w:type="dxa"/>
            <w:tcBorders>
              <w:top w:val="single" w:sz="4" w:space="0" w:color="000000"/>
              <w:left w:val="single" w:sz="4" w:space="0" w:color="000000"/>
              <w:bottom w:val="single" w:sz="4" w:space="0" w:color="000000"/>
              <w:right w:val="single" w:sz="4" w:space="0" w:color="000000"/>
            </w:tcBorders>
          </w:tcPr>
          <w:p>
            <w:pPr/>
          </w:p>
        </w:tc>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5"/>
              <w:jc w:val="right"/>
              <w:rPr>
                <w:rFonts w:ascii="Times New Roman" w:hAnsi="Times New Roman" w:cs="Times New Roman" w:eastAsia="Times New Roman" w:hint="default"/>
                <w:sz w:val="18"/>
                <w:szCs w:val="18"/>
              </w:rPr>
            </w:pPr>
            <w:r>
              <w:rPr>
                <w:rFonts w:ascii="Times New Roman"/>
                <w:spacing w:val="-1"/>
                <w:sz w:val="18"/>
              </w:rPr>
              <w:t>1,645,193,723.44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2"/>
          <w:szCs w:val="22"/>
        </w:rPr>
      </w:pPr>
    </w:p>
    <w:p>
      <w:pPr>
        <w:pStyle w:val="Heading2"/>
        <w:spacing w:line="240" w:lineRule="auto" w:before="26"/>
        <w:ind w:left="214" w:right="1753"/>
        <w:jc w:val="left"/>
        <w:rPr>
          <w:b w:val="0"/>
          <w:bCs w:val="0"/>
        </w:rPr>
      </w:pPr>
      <w:bookmarkStart w:name="十一、公允价值的披露" w:id="390"/>
      <w:bookmarkEnd w:id="390"/>
      <w:r>
        <w:rPr>
          <w:b w:val="0"/>
          <w:bCs w:val="0"/>
        </w:rPr>
      </w:r>
      <w:r>
        <w:rPr/>
        <w:t>十一、公允价值的披露</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574" w:right="1753"/>
        <w:jc w:val="left"/>
      </w:pPr>
      <w:r>
        <w:rPr/>
        <w:t>无。</w:t>
      </w:r>
    </w:p>
    <w:p>
      <w:pPr>
        <w:spacing w:after="0" w:line="240" w:lineRule="auto"/>
        <w:jc w:val="left"/>
        <w:sectPr>
          <w:footerReference w:type="default" r:id="rId94"/>
          <w:pgSz w:w="11910" w:h="16840"/>
          <w:pgMar w:footer="979" w:header="851" w:top="1400" w:bottom="1160" w:left="920" w:right="0"/>
          <w:pgNumType w:start="201"/>
        </w:sectPr>
      </w:pPr>
    </w:p>
    <w:p>
      <w:pPr>
        <w:pStyle w:val="Heading2"/>
        <w:spacing w:line="240" w:lineRule="auto" w:before="14"/>
        <w:ind w:right="0"/>
        <w:jc w:val="left"/>
        <w:rPr>
          <w:b w:val="0"/>
          <w:bCs w:val="0"/>
        </w:rPr>
      </w:pPr>
      <w:r>
        <w:rPr/>
        <w:pict>
          <v:group style="position:absolute;margin-left:55.200001pt;margin-top:2.175601pt;width:485pt;height:.1pt;mso-position-horizontal-relative:page;mso-position-vertical-relative:paragraph;z-index:-1075624" coordorigin="1104,44" coordsize="9700,2">
            <v:shape style="position:absolute;left:1104;top:44;width:9700;height:2" coordorigin="1104,44" coordsize="9700,0" path="m1104,44l10804,44e" filled="false" stroked="true" strokeweight=".72pt" strokecolor="#000000">
              <v:path arrowok="t"/>
            </v:shape>
            <w10:wrap type="none"/>
          </v:group>
        </w:pict>
      </w:r>
      <w:bookmarkStart w:name="十二、关联方及关联交易" w:id="391"/>
      <w:bookmarkEnd w:id="391"/>
      <w:r>
        <w:rPr>
          <w:b w:val="0"/>
          <w:bCs w:val="0"/>
        </w:rPr>
      </w:r>
      <w:r>
        <w:rPr/>
        <w:t>十二、关联方及关联交易</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本企业的母公司情况" w:id="392"/>
      <w:bookmarkEnd w:id="392"/>
      <w:r>
        <w:rPr>
          <w:b w:val="0"/>
          <w:bCs w:val="0"/>
        </w:rPr>
      </w:r>
      <w:r>
        <w:rPr>
          <w:rFonts w:ascii="Times New Roman" w:hAnsi="Times New Roman" w:cs="Times New Roman" w:eastAsia="Times New Roman" w:hint="default"/>
        </w:rPr>
        <w:t>1</w:t>
      </w:r>
      <w:r>
        <w:rPr/>
        <w:t>、本企业的母公司情况</w:t>
      </w:r>
      <w:r>
        <w:rPr>
          <w:b w:val="0"/>
          <w:bCs w:val="0"/>
        </w:rPr>
      </w:r>
    </w:p>
    <w:p>
      <w:pPr>
        <w:spacing w:line="240" w:lineRule="auto" w:before="9"/>
        <w:rPr>
          <w:rFonts w:ascii="宋体" w:hAnsi="宋体" w:cs="宋体" w:eastAsia="宋体" w:hint="default"/>
          <w:b/>
          <w:bCs/>
          <w:sz w:val="25"/>
          <w:szCs w:val="25"/>
        </w:rPr>
      </w:pPr>
    </w:p>
    <w:tbl>
      <w:tblPr>
        <w:tblW w:w="0" w:type="auto"/>
        <w:jc w:val="left"/>
        <w:tblInd w:w="133" w:type="dxa"/>
        <w:tblLayout w:type="fixed"/>
        <w:tblCellMar>
          <w:top w:w="0" w:type="dxa"/>
          <w:left w:w="0" w:type="dxa"/>
          <w:bottom w:w="0" w:type="dxa"/>
          <w:right w:w="0" w:type="dxa"/>
        </w:tblCellMar>
        <w:tblLook w:val="01E0"/>
      </w:tblPr>
      <w:tblGrid>
        <w:gridCol w:w="3209"/>
        <w:gridCol w:w="3242"/>
        <w:gridCol w:w="3232"/>
      </w:tblGrid>
      <w:tr>
        <w:trPr>
          <w:trHeight w:val="402" w:hRule="exact"/>
        </w:trPr>
        <w:tc>
          <w:tcPr>
            <w:tcW w:w="3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母公司名称</w:t>
            </w:r>
          </w:p>
        </w:tc>
        <w:tc>
          <w:tcPr>
            <w:tcW w:w="3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40" w:right="0"/>
              <w:jc w:val="left"/>
              <w:rPr>
                <w:rFonts w:ascii="宋体" w:hAnsi="宋体" w:cs="宋体" w:eastAsia="宋体" w:hint="default"/>
                <w:sz w:val="18"/>
                <w:szCs w:val="18"/>
              </w:rPr>
            </w:pPr>
            <w:r>
              <w:rPr>
                <w:rFonts w:ascii="宋体" w:hAnsi="宋体" w:cs="宋体" w:eastAsia="宋体" w:hint="default"/>
                <w:sz w:val="18"/>
                <w:szCs w:val="18"/>
              </w:rPr>
              <w:t>母公司对本企业的持股比例</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440" w:right="0"/>
              <w:jc w:val="left"/>
              <w:rPr>
                <w:rFonts w:ascii="宋体" w:hAnsi="宋体" w:cs="宋体" w:eastAsia="宋体" w:hint="default"/>
                <w:sz w:val="18"/>
                <w:szCs w:val="18"/>
              </w:rPr>
            </w:pPr>
            <w:r>
              <w:rPr>
                <w:rFonts w:ascii="宋体" w:hAnsi="宋体" w:cs="宋体" w:eastAsia="宋体" w:hint="default"/>
                <w:sz w:val="18"/>
                <w:szCs w:val="18"/>
              </w:rPr>
              <w:t>母公司对本企业的表决权比例</w:t>
            </w:r>
          </w:p>
        </w:tc>
      </w:tr>
      <w:tr>
        <w:trPr>
          <w:trHeight w:val="402" w:hRule="exact"/>
        </w:trPr>
        <w:tc>
          <w:tcPr>
            <w:tcW w:w="3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王宁</w:t>
            </w:r>
          </w:p>
        </w:tc>
        <w:tc>
          <w:tcPr>
            <w:tcW w:w="324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6.47%</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10.83%</w:t>
            </w:r>
          </w:p>
        </w:tc>
      </w:tr>
      <w:tr>
        <w:trPr>
          <w:trHeight w:val="402" w:hRule="exact"/>
        </w:trPr>
        <w:tc>
          <w:tcPr>
            <w:tcW w:w="3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李力</w:t>
            </w:r>
          </w:p>
        </w:tc>
        <w:tc>
          <w:tcPr>
            <w:tcW w:w="324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13.17%</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13.17%</w:t>
            </w:r>
          </w:p>
        </w:tc>
      </w:tr>
      <w:tr>
        <w:trPr>
          <w:trHeight w:val="403" w:hRule="exact"/>
        </w:trPr>
        <w:tc>
          <w:tcPr>
            <w:tcW w:w="32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19.64%</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24.00%</w:t>
            </w:r>
          </w:p>
        </w:tc>
      </w:tr>
    </w:tbl>
    <w:p>
      <w:pPr>
        <w:pStyle w:val="BodyText"/>
        <w:spacing w:line="357" w:lineRule="auto" w:before="51"/>
        <w:ind w:right="4092"/>
        <w:jc w:val="left"/>
      </w:pPr>
      <w:r>
        <w:rPr/>
        <w:t>本企业的母公司情况的说明 本公司的实质控制人为王宁先生、李力先生，签订了一致行动协议，为一致行动人。 本企业最终控制方是王宁、李力共同控制。</w:t>
      </w:r>
    </w:p>
    <w:p>
      <w:pPr>
        <w:spacing w:line="240" w:lineRule="auto" w:before="1"/>
        <w:rPr>
          <w:rFonts w:ascii="宋体" w:hAnsi="宋体" w:cs="宋体" w:eastAsia="宋体" w:hint="default"/>
          <w:sz w:val="20"/>
          <w:szCs w:val="20"/>
        </w:rPr>
      </w:pPr>
    </w:p>
    <w:p>
      <w:pPr>
        <w:spacing w:line="547" w:lineRule="auto" w:before="0"/>
        <w:ind w:left="154" w:right="6072" w:firstLine="0"/>
        <w:jc w:val="left"/>
        <w:rPr>
          <w:rFonts w:ascii="宋体" w:hAnsi="宋体" w:cs="宋体" w:eastAsia="宋体" w:hint="default"/>
          <w:sz w:val="21"/>
          <w:szCs w:val="21"/>
        </w:rPr>
      </w:pPr>
      <w:bookmarkStart w:name="2、本企业的子公司情况" w:id="393"/>
      <w:bookmarkEnd w:id="393"/>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、本企业的子公司情况</w:t>
      </w:r>
      <w:r>
        <w:rPr>
          <w:rFonts w:ascii="宋体" w:hAnsi="宋体" w:cs="宋体" w:eastAsia="宋体" w:hint="default"/>
          <w:b/>
          <w:bCs/>
          <w:w w:val="99"/>
          <w:sz w:val="21"/>
          <w:szCs w:val="21"/>
        </w:rPr>
        <w:t> </w:t>
      </w:r>
      <w:r>
        <w:rPr>
          <w:rFonts w:ascii="宋体" w:hAnsi="宋体" w:cs="宋体" w:eastAsia="宋体" w:hint="default"/>
          <w:sz w:val="18"/>
          <w:szCs w:val="18"/>
        </w:rPr>
        <w:t>本企业子公司的情况详见附注</w:t>
      </w:r>
      <w:r>
        <w:rPr>
          <w:rFonts w:ascii="Times New Roman" w:hAnsi="Times New Roman" w:cs="Times New Roman" w:eastAsia="Times New Roman" w:hint="default"/>
          <w:sz w:val="18"/>
          <w:szCs w:val="18"/>
        </w:rPr>
        <w:t>“</w:t>
      </w:r>
      <w:r>
        <w:rPr>
          <w:rFonts w:ascii="宋体" w:hAnsi="宋体" w:cs="宋体" w:eastAsia="宋体" w:hint="default"/>
          <w:sz w:val="18"/>
          <w:szCs w:val="18"/>
        </w:rPr>
        <w:t>九、在其他主体中的权益</w:t>
      </w:r>
      <w:r>
        <w:rPr>
          <w:rFonts w:ascii="Times New Roman" w:hAnsi="Times New Roman" w:cs="Times New Roman" w:eastAsia="Times New Roman" w:hint="default"/>
          <w:sz w:val="18"/>
          <w:szCs w:val="18"/>
        </w:rPr>
        <w:t>”</w:t>
      </w:r>
      <w:r>
        <w:rPr>
          <w:rFonts w:ascii="宋体" w:hAnsi="宋体" w:cs="宋体" w:eastAsia="宋体" w:hint="default"/>
          <w:sz w:val="18"/>
          <w:szCs w:val="18"/>
        </w:rPr>
        <w:t>。 </w:t>
      </w:r>
      <w:bookmarkStart w:name="3、本企业合营和联营企业情况" w:id="394"/>
      <w:bookmarkEnd w:id="394"/>
      <w:r>
        <w:rPr>
          <w:rFonts w:ascii="宋体" w:hAnsi="宋体" w:cs="宋体" w:eastAsia="宋体" w:hint="default"/>
          <w:sz w:val="18"/>
          <w:szCs w:val="18"/>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、本企业合营和联营企业情况</w:t>
      </w:r>
      <w:r>
        <w:rPr>
          <w:rFonts w:ascii="宋体" w:hAnsi="宋体" w:cs="宋体" w:eastAsia="宋体" w:hint="default"/>
          <w:sz w:val="21"/>
          <w:szCs w:val="21"/>
        </w:rPr>
      </w:r>
    </w:p>
    <w:p>
      <w:pPr>
        <w:pStyle w:val="BodyText"/>
        <w:spacing w:line="384" w:lineRule="auto" w:before="74"/>
        <w:ind w:right="2292"/>
        <w:jc w:val="left"/>
      </w:pPr>
      <w:r>
        <w:rPr/>
        <w:t>本企业重要的合营或联营企业详见附注</w:t>
      </w:r>
      <w:r>
        <w:rPr>
          <w:rFonts w:ascii="Times New Roman" w:hAnsi="Times New Roman" w:cs="Times New Roman" w:eastAsia="Times New Roman" w:hint="default"/>
        </w:rPr>
        <w:t>“</w:t>
      </w:r>
      <w:r>
        <w:rPr/>
        <w:t>九、在其他主体中的权益</w:t>
      </w:r>
      <w:r>
        <w:rPr>
          <w:rFonts w:ascii="Times New Roman" w:hAnsi="Times New Roman" w:cs="Times New Roman" w:eastAsia="Times New Roman" w:hint="default"/>
        </w:rPr>
        <w:t>”</w:t>
      </w:r>
      <w:r>
        <w:rPr/>
        <w:t>。 本期与本公司发生关联方交易，或前期与本公司发生关联方交易形成余额的其他合营或联营企业情况如下：</w:t>
      </w: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76" w:right="0"/>
              <w:jc w:val="left"/>
              <w:rPr>
                <w:rFonts w:ascii="宋体" w:hAnsi="宋体" w:cs="宋体" w:eastAsia="宋体" w:hint="default"/>
                <w:sz w:val="18"/>
                <w:szCs w:val="18"/>
              </w:rPr>
            </w:pPr>
            <w:r>
              <w:rPr>
                <w:rFonts w:ascii="宋体" w:hAnsi="宋体" w:cs="宋体" w:eastAsia="宋体" w:hint="default"/>
                <w:sz w:val="18"/>
                <w:szCs w:val="18"/>
              </w:rPr>
              <w:t>合营或联营企业名称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与本企业关系</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大连华信计算机技术股份有限公司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北京神州泰岳教育科技有限公司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蓝鸥科技有限公司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北京神州良品电子商务科技股份有限公司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北京岳海云测信息技术有限公司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宁波泰岳梧桐投资管理有限公司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珠海神州泰岳投资管理有限公司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珠海泰岳梧桐投资管理有限公司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中建智能技术有限公司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bl>
    <w:p>
      <w:pPr>
        <w:spacing w:line="240" w:lineRule="auto" w:before="10"/>
        <w:rPr>
          <w:rFonts w:ascii="宋体" w:hAnsi="宋体" w:cs="宋体" w:eastAsia="宋体" w:hint="default"/>
          <w:sz w:val="20"/>
          <w:szCs w:val="20"/>
        </w:rPr>
      </w:pPr>
    </w:p>
    <w:p>
      <w:pPr>
        <w:pStyle w:val="Heading3"/>
        <w:spacing w:line="240" w:lineRule="auto" w:before="35"/>
        <w:ind w:right="0"/>
        <w:jc w:val="left"/>
        <w:rPr>
          <w:b w:val="0"/>
          <w:bCs w:val="0"/>
        </w:rPr>
      </w:pPr>
      <w:r>
        <w:rPr/>
        <w:pict>
          <v:shape style="position:absolute;margin-left:262.920013pt;margin-top:53.673676pt;width:272pt;height:15.6pt;mso-position-horizontal-relative:page;mso-position-vertical-relative:paragraph;z-index:-1075648" type="#_x0000_t202" filled="false" stroked="false">
            <v:textbox inset="0,0,0,0">
              <w:txbxContent>
                <w:p>
                  <w:pPr>
                    <w:pStyle w:val="BodyText"/>
                    <w:spacing w:line="240" w:lineRule="auto" w:before="51"/>
                    <w:ind w:left="0" w:right="0"/>
                    <w:jc w:val="left"/>
                  </w:pPr>
                  <w:r>
                    <w:rPr/>
                    <w:t>黄松浪、</w:t>
                  </w:r>
                </w:p>
              </w:txbxContent>
            </v:textbox>
            <w10:wrap type="none"/>
          </v:shape>
        </w:pict>
      </w:r>
      <w:bookmarkStart w:name="4、其他关联方情况" w:id="395"/>
      <w:bookmarkEnd w:id="395"/>
      <w:r>
        <w:rPr>
          <w:b w:val="0"/>
          <w:bCs w:val="0"/>
        </w:rPr>
      </w:r>
      <w:r>
        <w:rPr>
          <w:rFonts w:ascii="Times New Roman" w:hAnsi="Times New Roman" w:cs="Times New Roman" w:eastAsia="Times New Roman" w:hint="default"/>
        </w:rPr>
        <w:t>4</w:t>
      </w:r>
      <w:r>
        <w:rPr/>
        <w:t>、其他关联方情况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98"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1026"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68"/>
              <w:jc w:val="left"/>
              <w:rPr>
                <w:rFonts w:ascii="宋体" w:hAnsi="宋体" w:cs="宋体" w:eastAsia="宋体" w:hint="default"/>
                <w:sz w:val="18"/>
                <w:szCs w:val="18"/>
              </w:rPr>
            </w:pPr>
            <w:r>
              <w:rPr>
                <w:rFonts w:ascii="宋体" w:hAnsi="宋体" w:cs="宋体" w:eastAsia="宋体" w:hint="default"/>
                <w:sz w:val="18"/>
                <w:szCs w:val="18"/>
              </w:rPr>
              <w:t>冒大卫、翟一兵、罗建北、刘铁民、沈阳、王雪春、 李广刚、丁彦超、郝岩、徐元区、高峰、董越、梁德兴、张 黔山、艾东、林红、杨凯程</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312" w:lineRule="exact"/>
              <w:ind w:right="-51"/>
              <w:jc w:val="left"/>
              <w:rPr>
                <w:rFonts w:ascii="宋体" w:hAnsi="宋体" w:cs="宋体" w:eastAsia="宋体" w:hint="default"/>
                <w:sz w:val="20"/>
                <w:szCs w:val="20"/>
              </w:rPr>
            </w:pPr>
            <w:r>
              <w:rPr>
                <w:rFonts w:ascii="宋体" w:hAnsi="宋体" w:cs="宋体" w:eastAsia="宋体" w:hint="default"/>
                <w:position w:val="-5"/>
                <w:sz w:val="20"/>
                <w:szCs w:val="20"/>
              </w:rPr>
              <w:pict>
                <v:group style="width:238.85pt;height:15.6pt;mso-position-horizontal-relative:char;mso-position-vertical-relative:line" coordorigin="0,0" coordsize="4777,312">
                  <v:group style="position:absolute;left:0;top:0;width:4777;height:312" coordorigin="0,0" coordsize="4777,312">
                    <v:shape style="position:absolute;left:0;top:0;width:4777;height:312" coordorigin="0,0" coordsize="4777,312" path="m0,312l4776,312,4776,0,0,0,0,312xe" filled="true" fillcolor="#ffffff" stroked="false">
                      <v:path arrowok="t"/>
                      <v:fill type="solid"/>
                    </v:shape>
                  </v:group>
                </v:group>
              </w:pict>
            </w:r>
            <w:r>
              <w:rPr>
                <w:rFonts w:ascii="宋体" w:hAnsi="宋体" w:cs="宋体" w:eastAsia="宋体" w:hint="default"/>
                <w:position w:val="-5"/>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除实际控制人以外的其他关键管理人员</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中信网络科技股份有限公司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联营企业的子公司</w:t>
            </w:r>
          </w:p>
        </w:tc>
      </w:tr>
    </w:tbl>
    <w:p>
      <w:pPr>
        <w:spacing w:after="0" w:line="240" w:lineRule="auto"/>
        <w:jc w:val="left"/>
        <w:rPr>
          <w:rFonts w:ascii="宋体" w:hAnsi="宋体" w:cs="宋体" w:eastAsia="宋体" w:hint="default"/>
          <w:sz w:val="18"/>
          <w:szCs w:val="18"/>
        </w:rPr>
        <w:sectPr>
          <w:pgSz w:w="11910" w:h="16840"/>
          <w:pgMar w:header="851" w:footer="979" w:top="1400" w:bottom="1160" w:left="980" w:right="0"/>
        </w:sectPr>
      </w:pPr>
    </w:p>
    <w:p>
      <w:pPr>
        <w:spacing w:line="240" w:lineRule="auto" w:before="6"/>
        <w:rPr>
          <w:rFonts w:ascii="宋体" w:hAnsi="宋体" w:cs="宋体" w:eastAsia="宋体" w:hint="default"/>
          <w:b/>
          <w:bCs/>
          <w:sz w:val="2"/>
          <w:szCs w:val="2"/>
        </w:rPr>
      </w:pPr>
    </w:p>
    <w:tbl>
      <w:tblPr>
        <w:tblW w:w="0" w:type="auto"/>
        <w:jc w:val="left"/>
        <w:tblInd w:w="109" w:type="dxa"/>
        <w:tblLayout w:type="fixed"/>
        <w:tblCellMar>
          <w:top w:w="0" w:type="dxa"/>
          <w:left w:w="0" w:type="dxa"/>
          <w:bottom w:w="0" w:type="dxa"/>
          <w:right w:w="0" w:type="dxa"/>
        </w:tblCellMar>
        <w:tblLook w:val="01E0"/>
      </w:tblPr>
      <w:tblGrid>
        <w:gridCol w:w="4783"/>
        <w:gridCol w:w="4786"/>
      </w:tblGrid>
      <w:tr>
        <w:trPr>
          <w:trHeight w:val="414" w:hRule="exact"/>
        </w:trPr>
        <w:tc>
          <w:tcPr>
            <w:tcW w:w="478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重庆泰岳优才科技有限公司</w:t>
            </w:r>
          </w:p>
        </w:tc>
        <w:tc>
          <w:tcPr>
            <w:tcW w:w="478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公司高管担任执行董事的公司的子公司</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北京云中融信网络科技有限公司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公司投资的参股企业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泰岳金服（北京）科技有限公司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公司投资的参股企业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北京国信安石科技有限责任公司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公司高管担任执行董事的公司</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北京光合起源网络科技有限公司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公司原董事担任董事的企业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北京神州泰奇互动科技有限公司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公司投资的参股企业的子公司</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北京神州云联科技有限公司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公司投资的参股企业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成都斯沃茨科技有限公司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公司投资的参股企业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北京裂变科技有限公司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公司投资的参股企业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北京帝派智能科技有限公司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公司投资的参股企业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神州泰奇（香港）有限公司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公司投资的参股企业的子公司</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天津智子网络科技有限公司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公司投资的参股企业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Ultrapower 360 PTE</w:t>
            </w:r>
            <w:r>
              <w:rPr>
                <w:rFonts w:ascii="Times New Roman"/>
                <w:spacing w:val="-2"/>
                <w:sz w:val="18"/>
              </w:rPr>
              <w:t> </w:t>
            </w:r>
            <w:r>
              <w:rPr>
                <w:rFonts w:ascii="Times New Roman"/>
                <w:spacing w:val="-6"/>
                <w:sz w:val="18"/>
              </w:rPr>
              <w:t>LTD</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公司投资的参股企业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UQSOFT(SINGAPORE)PTE</w:t>
            </w:r>
            <w:r>
              <w:rPr>
                <w:rFonts w:ascii="Times New Roman"/>
                <w:spacing w:val="-2"/>
                <w:sz w:val="18"/>
              </w:rPr>
              <w:t> </w:t>
            </w:r>
            <w:r>
              <w:rPr>
                <w:rFonts w:ascii="Times New Roman"/>
                <w:spacing w:val="-6"/>
                <w:sz w:val="18"/>
              </w:rPr>
              <w:t>LTD</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公司投资的参股企业的子公司</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UQSOFT</w:t>
            </w:r>
            <w:r>
              <w:rPr>
                <w:rFonts w:ascii="Times New Roman"/>
                <w:spacing w:val="-6"/>
                <w:sz w:val="18"/>
              </w:rPr>
              <w:t> </w:t>
            </w:r>
            <w:r>
              <w:rPr>
                <w:rFonts w:ascii="Times New Roman"/>
                <w:sz w:val="18"/>
              </w:rPr>
              <w:t>(THAILAND)</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公司投资的参股企业的子公司</w:t>
            </w:r>
          </w:p>
        </w:tc>
      </w:tr>
    </w:tbl>
    <w:p>
      <w:pPr>
        <w:spacing w:line="240" w:lineRule="auto" w:before="2"/>
        <w:rPr>
          <w:rFonts w:ascii="宋体" w:hAnsi="宋体" w:cs="宋体" w:eastAsia="宋体" w:hint="default"/>
          <w:b/>
          <w:bCs/>
          <w:sz w:val="19"/>
          <w:szCs w:val="19"/>
        </w:rPr>
      </w:pPr>
    </w:p>
    <w:p>
      <w:pPr>
        <w:pStyle w:val="Heading3"/>
        <w:spacing w:line="240" w:lineRule="auto" w:before="35"/>
        <w:ind w:left="114" w:right="1276"/>
        <w:jc w:val="left"/>
        <w:rPr>
          <w:b w:val="0"/>
          <w:bCs w:val="0"/>
        </w:rPr>
      </w:pPr>
      <w:bookmarkStart w:name="5、关联交易情况" w:id="396"/>
      <w:bookmarkEnd w:id="396"/>
      <w:r>
        <w:rPr>
          <w:b w:val="0"/>
          <w:bCs w:val="0"/>
        </w:rPr>
      </w:r>
      <w:r>
        <w:rPr>
          <w:rFonts w:ascii="Times New Roman" w:hAnsi="Times New Roman" w:cs="Times New Roman" w:eastAsia="Times New Roman" w:hint="default"/>
        </w:rPr>
        <w:t>5</w:t>
      </w:r>
      <w:r>
        <w:rPr/>
        <w:t>、关联交易情况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114" w:right="1276"/>
        <w:jc w:val="left"/>
        <w:rPr>
          <w:b w:val="0"/>
          <w:bCs w:val="0"/>
        </w:rPr>
      </w:pPr>
      <w:bookmarkStart w:name="（1）购销商品、提供和接受劳务的关联交易" w:id="397"/>
      <w:bookmarkEnd w:id="397"/>
      <w:r>
        <w:rPr>
          <w:b w:val="0"/>
          <w:bCs w:val="0"/>
        </w:rPr>
      </w:r>
      <w:r>
        <w:rPr/>
        <w:t>（</w:t>
      </w:r>
      <w:r>
        <w:rPr>
          <w:rFonts w:ascii="Times New Roman" w:hAnsi="Times New Roman" w:cs="Times New Roman" w:eastAsia="Times New Roman" w:hint="default"/>
        </w:rPr>
        <w:t>1</w:t>
      </w:r>
      <w:r>
        <w:rPr/>
        <w:t>）购销商品、提供和接受劳务的关联交易</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114" w:right="1276"/>
        <w:jc w:val="left"/>
      </w:pPr>
      <w:r>
        <w:rPr/>
        <w:t>采购商品</w:t>
      </w:r>
      <w:r>
        <w:rPr>
          <w:rFonts w:ascii="Times New Roman" w:hAnsi="Times New Roman" w:cs="Times New Roman" w:eastAsia="Times New Roman" w:hint="default"/>
        </w:rPr>
        <w:t>/</w:t>
      </w:r>
      <w:r>
        <w:rPr/>
        <w:t>接受劳务情况表</w:t>
      </w:r>
    </w:p>
    <w:p>
      <w:pPr>
        <w:pStyle w:val="BodyText"/>
        <w:spacing w:line="240" w:lineRule="auto" w:before="102"/>
        <w:ind w:left="0" w:right="1130"/>
        <w:jc w:val="right"/>
      </w:pPr>
      <w:r>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40"/>
        <w:gridCol w:w="1454"/>
        <w:gridCol w:w="1455"/>
        <w:gridCol w:w="1706"/>
        <w:gridCol w:w="1708"/>
        <w:gridCol w:w="1706"/>
      </w:tblGrid>
      <w:tr>
        <w:trPr>
          <w:trHeight w:val="401" w:hRule="exact"/>
        </w:trPr>
        <w:tc>
          <w:tcPr>
            <w:tcW w:w="1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4"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82"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7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获批的交易额度</w:t>
            </w:r>
          </w:p>
        </w:tc>
        <w:tc>
          <w:tcPr>
            <w:tcW w:w="1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是否超过交易额度</w:t>
            </w:r>
          </w:p>
        </w:tc>
        <w:tc>
          <w:tcPr>
            <w:tcW w:w="1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9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北京岳海云测信息 技术有限公司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55" w:type="dxa"/>
            <w:tcBorders>
              <w:top w:val="single" w:sz="4" w:space="0" w:color="000000"/>
              <w:left w:val="single" w:sz="4" w:space="0" w:color="000000"/>
              <w:bottom w:val="single" w:sz="4" w:space="0" w:color="000000"/>
              <w:right w:val="single" w:sz="4" w:space="0" w:color="000000"/>
            </w:tcBorders>
          </w:tcPr>
          <w:p>
            <w:pPr/>
          </w:p>
        </w:tc>
        <w:tc>
          <w:tcPr>
            <w:tcW w:w="1706" w:type="dxa"/>
            <w:tcBorders>
              <w:top w:val="single" w:sz="4" w:space="0" w:color="000000"/>
              <w:left w:val="single" w:sz="4" w:space="0" w:color="000000"/>
              <w:bottom w:val="single" w:sz="4" w:space="0" w:color="000000"/>
              <w:right w:val="single" w:sz="4" w:space="0" w:color="000000"/>
            </w:tcBorders>
          </w:tcPr>
          <w:p>
            <w:pPr/>
          </w:p>
        </w:tc>
        <w:tc>
          <w:tcPr>
            <w:tcW w:w="1708" w:type="dxa"/>
            <w:tcBorders>
              <w:top w:val="single" w:sz="4" w:space="0" w:color="000000"/>
              <w:left w:val="single" w:sz="4" w:space="0" w:color="000000"/>
              <w:bottom w:val="single" w:sz="4" w:space="0" w:color="000000"/>
              <w:right w:val="single" w:sz="4" w:space="0" w:color="000000"/>
            </w:tcBorders>
          </w:tcPr>
          <w:p>
            <w:pP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424,528.29</w:t>
            </w:r>
          </w:p>
        </w:tc>
      </w:tr>
      <w:tr>
        <w:trPr>
          <w:trHeight w:val="714" w:hRule="exact"/>
        </w:trPr>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北京国信安石科技 有限责任公司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6,871,559.84</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6,871,559.84</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2,334,905.62</w:t>
            </w:r>
          </w:p>
        </w:tc>
      </w:tr>
      <w:tr>
        <w:trPr>
          <w:trHeight w:val="714" w:hRule="exact"/>
        </w:trPr>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北京光合起源网络 科技有限公司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3" w:right="20"/>
              <w:jc w:val="left"/>
              <w:rPr>
                <w:rFonts w:ascii="宋体" w:hAnsi="宋体" w:cs="宋体" w:eastAsia="宋体" w:hint="default"/>
                <w:sz w:val="18"/>
                <w:szCs w:val="18"/>
              </w:rPr>
            </w:pPr>
            <w:r>
              <w:rPr>
                <w:rFonts w:ascii="宋体" w:hAnsi="宋体" w:cs="宋体" w:eastAsia="宋体" w:hint="default"/>
                <w:spacing w:val="-6"/>
                <w:sz w:val="18"/>
                <w:szCs w:val="18"/>
              </w:rPr>
              <w:t>购买版权金、支付</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分成款</w:t>
            </w:r>
          </w:p>
        </w:tc>
        <w:tc>
          <w:tcPr>
            <w:tcW w:w="1455" w:type="dxa"/>
            <w:tcBorders>
              <w:top w:val="single" w:sz="4" w:space="0" w:color="000000"/>
              <w:left w:val="single" w:sz="4" w:space="0" w:color="000000"/>
              <w:bottom w:val="single" w:sz="4" w:space="0" w:color="000000"/>
              <w:right w:val="single" w:sz="4" w:space="0" w:color="000000"/>
            </w:tcBorders>
          </w:tcPr>
          <w:p>
            <w:pPr/>
          </w:p>
        </w:tc>
        <w:tc>
          <w:tcPr>
            <w:tcW w:w="1706" w:type="dxa"/>
            <w:tcBorders>
              <w:top w:val="single" w:sz="4" w:space="0" w:color="000000"/>
              <w:left w:val="single" w:sz="4" w:space="0" w:color="000000"/>
              <w:bottom w:val="single" w:sz="4" w:space="0" w:color="000000"/>
              <w:right w:val="single" w:sz="4" w:space="0" w:color="000000"/>
            </w:tcBorders>
          </w:tcPr>
          <w:p>
            <w:pPr/>
          </w:p>
        </w:tc>
        <w:tc>
          <w:tcPr>
            <w:tcW w:w="1708" w:type="dxa"/>
            <w:tcBorders>
              <w:top w:val="single" w:sz="4" w:space="0" w:color="000000"/>
              <w:left w:val="single" w:sz="4" w:space="0" w:color="000000"/>
              <w:bottom w:val="single" w:sz="4" w:space="0" w:color="000000"/>
              <w:right w:val="single" w:sz="4" w:space="0" w:color="000000"/>
            </w:tcBorders>
          </w:tcPr>
          <w:p>
            <w:pP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188,334.90</w:t>
            </w:r>
          </w:p>
        </w:tc>
      </w:tr>
      <w:tr>
        <w:trPr>
          <w:trHeight w:val="714" w:hRule="exact"/>
        </w:trPr>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北京神州泰奇互动 科技有限公司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游戏渠道分成款</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2,536,914.74</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2,536,914.74</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北京云中融信网络 科技有限公司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技术开发服务</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267,371.50</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267,371.50</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北京神州云联科技 有限公司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849,056.60</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849,056.60</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left="114" w:right="1276"/>
        <w:jc w:val="left"/>
      </w:pPr>
      <w:r>
        <w:rPr/>
        <w:t>出售商品</w:t>
      </w:r>
      <w:r>
        <w:rPr>
          <w:rFonts w:ascii="Times New Roman" w:hAnsi="Times New Roman" w:cs="Times New Roman" w:eastAsia="Times New Roman" w:hint="default"/>
        </w:rPr>
        <w:t>/</w:t>
      </w:r>
      <w:r>
        <w:rPr/>
        <w:t>提供劳务情况表</w:t>
      </w:r>
    </w:p>
    <w:p>
      <w:pPr>
        <w:pStyle w:val="BodyText"/>
        <w:spacing w:line="240" w:lineRule="auto" w:before="102"/>
        <w:ind w:left="0" w:right="1130"/>
        <w:jc w:val="right"/>
      </w:pPr>
      <w:r>
        <w:rPr/>
        <w:t>单位： 元</w:t>
      </w:r>
    </w:p>
    <w:p>
      <w:pPr>
        <w:spacing w:after="0" w:line="240" w:lineRule="auto"/>
        <w:jc w:val="right"/>
        <w:sectPr>
          <w:pgSz w:w="11910" w:h="16840"/>
          <w:pgMar w:header="851" w:footer="979" w:top="1400" w:bottom="1160" w:left="1020" w:right="0"/>
        </w:sectPr>
      </w:pPr>
    </w:p>
    <w:p>
      <w:pPr>
        <w:spacing w:line="240" w:lineRule="auto" w:before="6"/>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2398"/>
        <w:gridCol w:w="2259"/>
        <w:gridCol w:w="2260"/>
        <w:gridCol w:w="2652"/>
      </w:tblGrid>
      <w:tr>
        <w:trPr>
          <w:trHeight w:val="414" w:hRule="exact"/>
        </w:trPr>
        <w:tc>
          <w:tcPr>
            <w:tcW w:w="2398"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right="1"/>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259"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584"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260"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67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5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87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3"/>
              <w:jc w:val="left"/>
              <w:rPr>
                <w:rFonts w:ascii="宋体" w:hAnsi="宋体" w:cs="宋体" w:eastAsia="宋体" w:hint="default"/>
                <w:sz w:val="18"/>
                <w:szCs w:val="18"/>
              </w:rPr>
            </w:pPr>
            <w:r>
              <w:rPr>
                <w:rFonts w:ascii="宋体" w:hAnsi="宋体" w:cs="宋体" w:eastAsia="宋体" w:hint="default"/>
                <w:sz w:val="18"/>
                <w:szCs w:val="18"/>
              </w:rPr>
              <w:t>北京云中融信网络科技有限公 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技术开发服务</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2,532,830.16</w:t>
            </w:r>
          </w:p>
        </w:tc>
        <w:tc>
          <w:tcPr>
            <w:tcW w:w="2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934,823.42</w:t>
            </w:r>
          </w:p>
        </w:tc>
      </w:tr>
      <w:tr>
        <w:trPr>
          <w:trHeight w:val="402"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成都斯沃茨科技有限公司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出售商品</w:t>
            </w:r>
          </w:p>
        </w:tc>
        <w:tc>
          <w:tcPr>
            <w:tcW w:w="2260" w:type="dxa"/>
            <w:tcBorders>
              <w:top w:val="single" w:sz="4" w:space="0" w:color="000000"/>
              <w:left w:val="single" w:sz="4" w:space="0" w:color="000000"/>
              <w:bottom w:val="single" w:sz="4" w:space="0" w:color="000000"/>
              <w:right w:val="single" w:sz="4" w:space="0" w:color="000000"/>
            </w:tcBorders>
          </w:tcPr>
          <w:p>
            <w:pPr/>
          </w:p>
        </w:tc>
        <w:tc>
          <w:tcPr>
            <w:tcW w:w="2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3,418,803.42</w:t>
            </w:r>
          </w:p>
        </w:tc>
      </w:tr>
      <w:tr>
        <w:trPr>
          <w:trHeight w:val="714"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3"/>
              <w:jc w:val="left"/>
              <w:rPr>
                <w:rFonts w:ascii="宋体" w:hAnsi="宋体" w:cs="宋体" w:eastAsia="宋体" w:hint="default"/>
                <w:sz w:val="18"/>
                <w:szCs w:val="18"/>
              </w:rPr>
            </w:pPr>
            <w:r>
              <w:rPr>
                <w:rFonts w:ascii="宋体" w:hAnsi="宋体" w:cs="宋体" w:eastAsia="宋体" w:hint="default"/>
                <w:sz w:val="18"/>
                <w:szCs w:val="18"/>
              </w:rPr>
              <w:t>大连华信计算机技术股份有限 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出售商品</w:t>
            </w:r>
          </w:p>
        </w:tc>
        <w:tc>
          <w:tcPr>
            <w:tcW w:w="2260" w:type="dxa"/>
            <w:tcBorders>
              <w:top w:val="single" w:sz="4" w:space="0" w:color="000000"/>
              <w:left w:val="single" w:sz="4" w:space="0" w:color="000000"/>
              <w:bottom w:val="single" w:sz="4" w:space="0" w:color="000000"/>
              <w:right w:val="single" w:sz="4" w:space="0" w:color="000000"/>
            </w:tcBorders>
          </w:tcPr>
          <w:p>
            <w:pPr/>
          </w:p>
        </w:tc>
        <w:tc>
          <w:tcPr>
            <w:tcW w:w="2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750,823.00</w:t>
            </w:r>
          </w:p>
        </w:tc>
      </w:tr>
      <w:tr>
        <w:trPr>
          <w:trHeight w:val="715"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3"/>
              <w:jc w:val="left"/>
              <w:rPr>
                <w:rFonts w:ascii="宋体" w:hAnsi="宋体" w:cs="宋体" w:eastAsia="宋体" w:hint="default"/>
                <w:sz w:val="18"/>
                <w:szCs w:val="18"/>
              </w:rPr>
            </w:pPr>
            <w:r>
              <w:rPr>
                <w:rFonts w:ascii="宋体" w:hAnsi="宋体" w:cs="宋体" w:eastAsia="宋体" w:hint="default"/>
                <w:sz w:val="18"/>
                <w:szCs w:val="18"/>
              </w:rPr>
              <w:t>北京岳海云测信息技术有限公 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出售商品</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-742,735.04</w:t>
            </w:r>
            <w:r>
              <w:rPr>
                <w:rFonts w:ascii="Times New Roman"/>
                <w:sz w:val="18"/>
              </w:rPr>
            </w:r>
          </w:p>
        </w:tc>
        <w:tc>
          <w:tcPr>
            <w:tcW w:w="2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742,735.04</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2）关联受托管理/承包及委托管理/出包情况" w:id="398"/>
      <w:bookmarkEnd w:id="398"/>
      <w:r>
        <w:rPr>
          <w:b w:val="0"/>
          <w:bCs w:val="0"/>
        </w:rPr>
      </w:r>
      <w:r>
        <w:rPr/>
        <w:t>（</w:t>
      </w:r>
      <w:r>
        <w:rPr>
          <w:rFonts w:ascii="Times New Roman" w:hAnsi="Times New Roman" w:cs="Times New Roman" w:eastAsia="Times New Roman" w:hint="default"/>
        </w:rPr>
        <w:t>2</w:t>
      </w:r>
      <w:r>
        <w:rPr/>
        <w:t>）关联受托管理</w:t>
      </w:r>
      <w:r>
        <w:rPr>
          <w:rFonts w:ascii="Times New Roman" w:hAnsi="Times New Roman" w:cs="Times New Roman" w:eastAsia="Times New Roman" w:hint="default"/>
        </w:rPr>
        <w:t>/</w:t>
      </w:r>
      <w:r>
        <w:rPr/>
        <w:t>承包及委托管理</w:t>
      </w:r>
      <w:r>
        <w:rPr>
          <w:rFonts w:ascii="Times New Roman" w:hAnsi="Times New Roman" w:cs="Times New Roman" w:eastAsia="Times New Roman" w:hint="default"/>
        </w:rPr>
        <w:t>/</w:t>
      </w:r>
      <w:r>
        <w:rPr/>
        <w:t>出包情况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474" w:right="1276"/>
        <w:jc w:val="left"/>
      </w:pPr>
      <w:r>
        <w:rPr/>
        <w:t>无。</w:t>
      </w:r>
    </w:p>
    <w:p>
      <w:pPr>
        <w:spacing w:line="240" w:lineRule="auto" w:before="10"/>
        <w:rPr>
          <w:rFonts w:ascii="宋体" w:hAnsi="宋体" w:cs="宋体" w:eastAsia="宋体" w:hint="default"/>
          <w:sz w:val="26"/>
          <w:szCs w:val="26"/>
        </w:rPr>
      </w:pPr>
    </w:p>
    <w:p>
      <w:pPr>
        <w:pStyle w:val="Heading3"/>
        <w:spacing w:line="240" w:lineRule="auto"/>
        <w:ind w:left="114" w:right="1276"/>
        <w:jc w:val="left"/>
        <w:rPr>
          <w:b w:val="0"/>
          <w:bCs w:val="0"/>
        </w:rPr>
      </w:pPr>
      <w:bookmarkStart w:name="（3）关联租赁情况" w:id="399"/>
      <w:bookmarkEnd w:id="399"/>
      <w:r>
        <w:rPr>
          <w:b w:val="0"/>
          <w:bCs w:val="0"/>
        </w:rPr>
      </w:r>
      <w:r>
        <w:rPr/>
        <w:t>（</w:t>
      </w:r>
      <w:r>
        <w:rPr>
          <w:rFonts w:ascii="Times New Roman" w:hAnsi="Times New Roman" w:cs="Times New Roman" w:eastAsia="Times New Roman" w:hint="default"/>
        </w:rPr>
        <w:t>3</w:t>
      </w:r>
      <w:r>
        <w:rPr/>
        <w:t>）关联租赁情况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114" w:right="1276"/>
        <w:jc w:val="left"/>
      </w:pPr>
      <w:r>
        <w:rPr/>
        <w:t>本公司作为出租方：</w:t>
      </w:r>
    </w:p>
    <w:p>
      <w:pPr>
        <w:pStyle w:val="BodyText"/>
        <w:spacing w:line="240" w:lineRule="auto" w:before="116"/>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2366"/>
        <w:gridCol w:w="2406"/>
        <w:gridCol w:w="2393"/>
        <w:gridCol w:w="2393"/>
      </w:tblGrid>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27" w:right="0"/>
              <w:jc w:val="left"/>
              <w:rPr>
                <w:rFonts w:ascii="宋体" w:hAnsi="宋体" w:cs="宋体" w:eastAsia="宋体" w:hint="default"/>
                <w:sz w:val="18"/>
                <w:szCs w:val="18"/>
              </w:rPr>
            </w:pPr>
            <w:r>
              <w:rPr>
                <w:rFonts w:ascii="宋体" w:hAnsi="宋体" w:cs="宋体" w:eastAsia="宋体" w:hint="default"/>
                <w:sz w:val="18"/>
                <w:szCs w:val="18"/>
              </w:rPr>
              <w:t>承租方名称</w:t>
            </w:r>
          </w:p>
        </w:tc>
        <w:tc>
          <w:tcPr>
            <w:tcW w:w="24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62"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1" w:right="0"/>
              <w:jc w:val="left"/>
              <w:rPr>
                <w:rFonts w:ascii="宋体" w:hAnsi="宋体" w:cs="宋体" w:eastAsia="宋体" w:hint="default"/>
                <w:sz w:val="18"/>
                <w:szCs w:val="18"/>
              </w:rPr>
            </w:pPr>
            <w:r>
              <w:rPr>
                <w:rFonts w:ascii="宋体" w:hAnsi="宋体" w:cs="宋体" w:eastAsia="宋体" w:hint="default"/>
                <w:sz w:val="18"/>
                <w:szCs w:val="18"/>
              </w:rPr>
              <w:t>本期确认的租赁收入</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1" w:right="0"/>
              <w:jc w:val="left"/>
              <w:rPr>
                <w:rFonts w:ascii="宋体" w:hAnsi="宋体" w:cs="宋体" w:eastAsia="宋体" w:hint="default"/>
                <w:sz w:val="18"/>
                <w:szCs w:val="18"/>
              </w:rPr>
            </w:pPr>
            <w:r>
              <w:rPr>
                <w:rFonts w:ascii="宋体" w:hAnsi="宋体" w:cs="宋体" w:eastAsia="宋体" w:hint="default"/>
                <w:sz w:val="18"/>
                <w:szCs w:val="18"/>
              </w:rPr>
              <w:t>上期确认的租赁收入</w:t>
            </w:r>
          </w:p>
        </w:tc>
      </w:tr>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中信网络科技股份有限公司</w:t>
            </w:r>
          </w:p>
        </w:tc>
        <w:tc>
          <w:tcPr>
            <w:tcW w:w="24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5,403,314.00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3,409,057.60</w:t>
            </w:r>
          </w:p>
        </w:tc>
      </w:tr>
      <w:tr>
        <w:trPr>
          <w:trHeight w:val="714"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1" w:right="182"/>
              <w:jc w:val="left"/>
              <w:rPr>
                <w:rFonts w:ascii="宋体" w:hAnsi="宋体" w:cs="宋体" w:eastAsia="宋体" w:hint="default"/>
                <w:sz w:val="18"/>
                <w:szCs w:val="18"/>
              </w:rPr>
            </w:pPr>
            <w:r>
              <w:rPr>
                <w:rFonts w:ascii="宋体" w:hAnsi="宋体" w:cs="宋体" w:eastAsia="宋体" w:hint="default"/>
                <w:sz w:val="18"/>
                <w:szCs w:val="18"/>
              </w:rPr>
              <w:t>宁波泰岳梧桐投资管理有限 公司</w:t>
            </w:r>
          </w:p>
        </w:tc>
        <w:tc>
          <w:tcPr>
            <w:tcW w:w="24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225,952.38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207,654.41</w:t>
            </w:r>
          </w:p>
        </w:tc>
      </w:tr>
      <w:tr>
        <w:trPr>
          <w:trHeight w:val="714"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82"/>
              <w:jc w:val="left"/>
              <w:rPr>
                <w:rFonts w:ascii="宋体" w:hAnsi="宋体" w:cs="宋体" w:eastAsia="宋体" w:hint="default"/>
                <w:sz w:val="18"/>
                <w:szCs w:val="18"/>
              </w:rPr>
            </w:pPr>
            <w:r>
              <w:rPr>
                <w:rFonts w:ascii="宋体" w:hAnsi="宋体" w:cs="宋体" w:eastAsia="宋体" w:hint="default"/>
                <w:sz w:val="18"/>
                <w:szCs w:val="18"/>
              </w:rPr>
              <w:t>北京神州泰岳教育科技有限 公司</w:t>
            </w:r>
          </w:p>
        </w:tc>
        <w:tc>
          <w:tcPr>
            <w:tcW w:w="24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566,966.66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573,203.81</w:t>
            </w:r>
          </w:p>
        </w:tc>
      </w:tr>
      <w:tr>
        <w:trPr>
          <w:trHeight w:val="714"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82"/>
              <w:jc w:val="left"/>
              <w:rPr>
                <w:rFonts w:ascii="宋体" w:hAnsi="宋体" w:cs="宋体" w:eastAsia="宋体" w:hint="default"/>
                <w:sz w:val="18"/>
                <w:szCs w:val="18"/>
              </w:rPr>
            </w:pPr>
            <w:r>
              <w:rPr>
                <w:rFonts w:ascii="宋体" w:hAnsi="宋体" w:cs="宋体" w:eastAsia="宋体" w:hint="default"/>
                <w:sz w:val="18"/>
                <w:szCs w:val="18"/>
              </w:rPr>
              <w:t>北京神州良品电子商务科技 股份有限公司</w:t>
            </w:r>
          </w:p>
        </w:tc>
        <w:tc>
          <w:tcPr>
            <w:tcW w:w="24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896,063.79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1,327,917.60</w:t>
            </w:r>
          </w:p>
        </w:tc>
      </w:tr>
      <w:tr>
        <w:trPr>
          <w:trHeight w:val="714"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82"/>
              <w:jc w:val="left"/>
              <w:rPr>
                <w:rFonts w:ascii="宋体" w:hAnsi="宋体" w:cs="宋体" w:eastAsia="宋体" w:hint="default"/>
                <w:sz w:val="18"/>
                <w:szCs w:val="18"/>
              </w:rPr>
            </w:pPr>
            <w:r>
              <w:rPr>
                <w:rFonts w:ascii="宋体" w:hAnsi="宋体" w:cs="宋体" w:eastAsia="宋体" w:hint="default"/>
                <w:sz w:val="18"/>
                <w:szCs w:val="18"/>
              </w:rPr>
              <w:t>珠海泰岳梧桐投资管理有限 公司</w:t>
            </w:r>
          </w:p>
        </w:tc>
        <w:tc>
          <w:tcPr>
            <w:tcW w:w="24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69,271.44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112,468.99</w:t>
            </w:r>
          </w:p>
        </w:tc>
      </w:tr>
      <w:tr>
        <w:trPr>
          <w:trHeight w:val="714"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82"/>
              <w:jc w:val="left"/>
              <w:rPr>
                <w:rFonts w:ascii="宋体" w:hAnsi="宋体" w:cs="宋体" w:eastAsia="宋体" w:hint="default"/>
                <w:sz w:val="18"/>
                <w:szCs w:val="18"/>
              </w:rPr>
            </w:pPr>
            <w:r>
              <w:rPr>
                <w:rFonts w:ascii="宋体" w:hAnsi="宋体" w:cs="宋体" w:eastAsia="宋体" w:hint="default"/>
                <w:sz w:val="18"/>
                <w:szCs w:val="18"/>
              </w:rPr>
              <w:t>珠海神州泰岳投资管理有限 公司</w:t>
            </w:r>
          </w:p>
        </w:tc>
        <w:tc>
          <w:tcPr>
            <w:tcW w:w="24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137,057.14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214,430.21</w:t>
            </w:r>
          </w:p>
        </w:tc>
      </w:tr>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北京裂变科技有限公司</w:t>
            </w:r>
          </w:p>
        </w:tc>
        <w:tc>
          <w:tcPr>
            <w:tcW w:w="24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1,532,393.35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1,245,775.23</w:t>
            </w:r>
          </w:p>
        </w:tc>
      </w:tr>
      <w:tr>
        <w:trPr>
          <w:trHeight w:val="714"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82"/>
              <w:jc w:val="left"/>
              <w:rPr>
                <w:rFonts w:ascii="宋体" w:hAnsi="宋体" w:cs="宋体" w:eastAsia="宋体" w:hint="default"/>
                <w:sz w:val="18"/>
                <w:szCs w:val="18"/>
              </w:rPr>
            </w:pPr>
            <w:r>
              <w:rPr>
                <w:rFonts w:ascii="宋体" w:hAnsi="宋体" w:cs="宋体" w:eastAsia="宋体" w:hint="default"/>
                <w:sz w:val="18"/>
                <w:szCs w:val="18"/>
              </w:rPr>
              <w:t>北京云中融信网络科技有限 公司</w:t>
            </w:r>
          </w:p>
        </w:tc>
        <w:tc>
          <w:tcPr>
            <w:tcW w:w="24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3,011,946.66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1,864,784.76</w:t>
            </w:r>
          </w:p>
        </w:tc>
      </w:tr>
      <w:tr>
        <w:trPr>
          <w:trHeight w:val="714"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82"/>
              <w:jc w:val="left"/>
              <w:rPr>
                <w:rFonts w:ascii="宋体" w:hAnsi="宋体" w:cs="宋体" w:eastAsia="宋体" w:hint="default"/>
                <w:sz w:val="18"/>
                <w:szCs w:val="18"/>
              </w:rPr>
            </w:pPr>
            <w:r>
              <w:rPr>
                <w:rFonts w:ascii="宋体" w:hAnsi="宋体" w:cs="宋体" w:eastAsia="宋体" w:hint="default"/>
                <w:sz w:val="18"/>
                <w:szCs w:val="18"/>
              </w:rPr>
              <w:t>北京国信安石科技有限责任 公司</w:t>
            </w:r>
          </w:p>
        </w:tc>
        <w:tc>
          <w:tcPr>
            <w:tcW w:w="24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749,466.67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560,312.38</w:t>
            </w:r>
          </w:p>
        </w:tc>
      </w:tr>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北京帝派智能科技有限公司</w:t>
            </w:r>
          </w:p>
        </w:tc>
        <w:tc>
          <w:tcPr>
            <w:tcW w:w="24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185,640.00</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1" w:right="182"/>
              <w:jc w:val="left"/>
              <w:rPr>
                <w:rFonts w:ascii="宋体" w:hAnsi="宋体" w:cs="宋体" w:eastAsia="宋体" w:hint="default"/>
                <w:sz w:val="18"/>
                <w:szCs w:val="18"/>
              </w:rPr>
            </w:pPr>
            <w:r>
              <w:rPr>
                <w:rFonts w:ascii="宋体" w:hAnsi="宋体" w:cs="宋体" w:eastAsia="宋体" w:hint="default"/>
                <w:sz w:val="18"/>
                <w:szCs w:val="18"/>
              </w:rPr>
              <w:t>北京神州泰奇互动科技有限 公司</w:t>
            </w:r>
          </w:p>
        </w:tc>
        <w:tc>
          <w:tcPr>
            <w:tcW w:w="24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305,946.67</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北京神州云联科技有限公司</w:t>
            </w:r>
          </w:p>
        </w:tc>
        <w:tc>
          <w:tcPr>
            <w:tcW w:w="24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182,500.00</w:t>
            </w:r>
          </w:p>
        </w:tc>
        <w:tc>
          <w:tcPr>
            <w:tcW w:w="239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400" w:bottom="1160" w:left="102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4）关联担保情况" w:id="400"/>
      <w:bookmarkEnd w:id="400"/>
      <w:r>
        <w:rPr>
          <w:b w:val="0"/>
          <w:bCs w:val="0"/>
        </w:rPr>
      </w:r>
      <w:r>
        <w:rPr/>
        <w:t>（</w:t>
      </w:r>
      <w:r>
        <w:rPr>
          <w:rFonts w:ascii="Times New Roman" w:hAnsi="Times New Roman" w:cs="Times New Roman" w:eastAsia="Times New Roman" w:hint="default"/>
        </w:rPr>
        <w:t>4</w:t>
      </w:r>
      <w:r>
        <w:rPr/>
        <w:t>）关联担保情况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t>本公司作为担保方</w:t>
      </w:r>
    </w:p>
    <w:p>
      <w:pPr>
        <w:pStyle w:val="BodyText"/>
        <w:spacing w:line="240" w:lineRule="auto" w:before="117"/>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836"/>
        <w:gridCol w:w="1701"/>
        <w:gridCol w:w="1702"/>
        <w:gridCol w:w="1419"/>
        <w:gridCol w:w="1914"/>
      </w:tblGrid>
      <w:tr>
        <w:trPr>
          <w:trHeight w:val="402"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被担保方</w:t>
            </w:r>
          </w:p>
        </w:tc>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84"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担保起始日</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担保到期日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担保是否已经履行完毕</w:t>
            </w: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北京神州泰岳系统集成有限公司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65,000,000.00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2018/1/15</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2019/1/15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北京神州泰岳系统集成有限公司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80,000,000.00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2018/1/18</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2019/1/18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北京神州泰岳系统集成有限公司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20,000,000.00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2018/2/8</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2019/2/8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北京神州泰岳系统集成有限公司</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75,000,000.00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2018/2/1</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2019/2/1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5）关联方资金拆借" w:id="401"/>
      <w:bookmarkEnd w:id="401"/>
      <w:r>
        <w:rPr>
          <w:b w:val="0"/>
          <w:bCs w:val="0"/>
        </w:rPr>
      </w:r>
      <w:r>
        <w:rPr/>
        <w:t>（</w:t>
      </w:r>
      <w:r>
        <w:rPr>
          <w:rFonts w:ascii="Times New Roman" w:hAnsi="Times New Roman" w:cs="Times New Roman" w:eastAsia="Times New Roman" w:hint="default"/>
        </w:rPr>
        <w:t>5</w:t>
      </w:r>
      <w:r>
        <w:rPr/>
        <w:t>）关联方资金拆借</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14" w:right="0"/>
        <w:jc w:val="left"/>
      </w:pPr>
      <w:r>
        <w:rPr/>
        <w:t>无。</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6）关联方资产转让、债务重组情况" w:id="402"/>
      <w:bookmarkEnd w:id="402"/>
      <w:r>
        <w:rPr>
          <w:b w:val="0"/>
          <w:bCs w:val="0"/>
        </w:rPr>
      </w:r>
      <w:r>
        <w:rPr/>
        <w:t>（</w:t>
      </w:r>
      <w:r>
        <w:rPr>
          <w:rFonts w:ascii="Times New Roman" w:hAnsi="Times New Roman" w:cs="Times New Roman" w:eastAsia="Times New Roman" w:hint="default"/>
        </w:rPr>
        <w:t>6</w:t>
      </w:r>
      <w:r>
        <w:rPr/>
        <w:t>）关联方资产转让、债务重组情况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14" w:right="0"/>
        <w:jc w:val="left"/>
      </w:pPr>
      <w:r>
        <w:rPr/>
        <w:t>无。</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7）关键管理人员报酬" w:id="403"/>
      <w:bookmarkEnd w:id="403"/>
      <w:r>
        <w:rPr>
          <w:b w:val="0"/>
          <w:bCs w:val="0"/>
        </w:rPr>
      </w:r>
      <w:r>
        <w:rPr/>
        <w:t>（</w:t>
      </w:r>
      <w:r>
        <w:rPr>
          <w:rFonts w:ascii="Times New Roman" w:hAnsi="Times New Roman" w:cs="Times New Roman" w:eastAsia="Times New Roman" w:hint="default"/>
        </w:rPr>
        <w:t>7</w:t>
      </w:r>
      <w:r>
        <w:rPr/>
        <w:t>）关键管理人员报酬</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1"/>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关键管理人员薪酬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6,817,700.00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7,669,300.00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8）其他关联交易" w:id="404"/>
      <w:bookmarkEnd w:id="404"/>
      <w:r>
        <w:rPr>
          <w:b w:val="0"/>
          <w:bCs w:val="0"/>
        </w:rPr>
      </w:r>
      <w:r>
        <w:rPr/>
        <w:t>（</w:t>
      </w:r>
      <w:r>
        <w:rPr>
          <w:rFonts w:ascii="Times New Roman" w:hAnsi="Times New Roman" w:cs="Times New Roman" w:eastAsia="Times New Roman" w:hint="default"/>
        </w:rPr>
        <w:t>8</w:t>
      </w:r>
      <w:r>
        <w:rPr/>
        <w:t>）其他关联交易</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14" w:right="0"/>
        <w:jc w:val="left"/>
      </w:pPr>
      <w:r>
        <w:rPr/>
        <w:t>无。</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6、关联方应收应付款项" w:id="405"/>
      <w:bookmarkEnd w:id="405"/>
      <w:r>
        <w:rPr>
          <w:b w:val="0"/>
          <w:bCs w:val="0"/>
        </w:rPr>
      </w:r>
      <w:r>
        <w:rPr>
          <w:rFonts w:ascii="Times New Roman" w:hAnsi="Times New Roman" w:cs="Times New Roman" w:eastAsia="Times New Roman" w:hint="default"/>
        </w:rPr>
        <w:t>6</w:t>
      </w:r>
      <w:r>
        <w:rPr/>
        <w:t>、关联方应收应付款项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应收项目" w:id="406"/>
      <w:bookmarkEnd w:id="406"/>
      <w:r>
        <w:rPr>
          <w:b w:val="0"/>
          <w:bCs w:val="0"/>
        </w:rPr>
      </w:r>
      <w:r>
        <w:rPr/>
        <w:t>（</w:t>
      </w:r>
      <w:r>
        <w:rPr>
          <w:rFonts w:ascii="Times New Roman" w:hAnsi="Times New Roman" w:cs="Times New Roman" w:eastAsia="Times New Roman" w:hint="default"/>
        </w:rPr>
        <w:t>1</w:t>
      </w:r>
      <w:r>
        <w:rPr/>
        <w:t>）应收项目</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123"/>
        <w:gridCol w:w="2824"/>
        <w:gridCol w:w="1410"/>
        <w:gridCol w:w="1399"/>
        <w:gridCol w:w="1400"/>
        <w:gridCol w:w="1400"/>
      </w:tblGrid>
      <w:tr>
        <w:trPr>
          <w:trHeight w:val="206" w:hRule="exact"/>
        </w:trPr>
        <w:tc>
          <w:tcPr>
            <w:tcW w:w="1123" w:type="dxa"/>
            <w:tcBorders>
              <w:top w:val="single" w:sz="4" w:space="0" w:color="000000"/>
              <w:left w:val="single" w:sz="4" w:space="0" w:color="000000"/>
              <w:bottom w:val="nil" w:sz="6" w:space="0" w:color="auto"/>
              <w:right w:val="single" w:sz="4" w:space="0" w:color="000000"/>
            </w:tcBorders>
            <w:shd w:val="clear" w:color="auto" w:fill="D2D2D2"/>
          </w:tcPr>
          <w:p>
            <w:pPr/>
          </w:p>
        </w:tc>
        <w:tc>
          <w:tcPr>
            <w:tcW w:w="2824" w:type="dxa"/>
            <w:tcBorders>
              <w:top w:val="single" w:sz="4" w:space="0" w:color="000000"/>
              <w:left w:val="single" w:sz="4" w:space="0" w:color="000000"/>
              <w:bottom w:val="nil" w:sz="6" w:space="0" w:color="auto"/>
              <w:right w:val="single" w:sz="4" w:space="0" w:color="000000"/>
            </w:tcBorders>
            <w:shd w:val="clear" w:color="auto" w:fill="D2D2D2"/>
          </w:tcPr>
          <w:p>
            <w:pPr/>
          </w:p>
        </w:tc>
        <w:tc>
          <w:tcPr>
            <w:tcW w:w="280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80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1" w:hRule="exact"/>
        </w:trPr>
        <w:tc>
          <w:tcPr>
            <w:tcW w:w="112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90"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282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809" w:type="dxa"/>
            <w:gridSpan w:val="2"/>
            <w:vMerge/>
            <w:tcBorders>
              <w:left w:val="single" w:sz="4" w:space="0" w:color="000000"/>
              <w:bottom w:val="single" w:sz="4" w:space="0" w:color="000000"/>
              <w:right w:val="single" w:sz="4" w:space="0" w:color="000000"/>
            </w:tcBorders>
            <w:shd w:val="clear" w:color="auto" w:fill="D2D2D2"/>
          </w:tcPr>
          <w:p>
            <w:pPr/>
          </w:p>
        </w:tc>
        <w:tc>
          <w:tcPr>
            <w:tcW w:w="2800"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123" w:type="dxa"/>
            <w:vMerge/>
            <w:tcBorders>
              <w:left w:val="single" w:sz="4" w:space="0" w:color="000000"/>
              <w:bottom w:val="nil" w:sz="6" w:space="0" w:color="auto"/>
              <w:right w:val="single" w:sz="4" w:space="0" w:color="000000"/>
            </w:tcBorders>
            <w:shd w:val="clear" w:color="auto" w:fill="D2D2D2"/>
          </w:tcPr>
          <w:p>
            <w:pPr/>
          </w:p>
        </w:tc>
        <w:tc>
          <w:tcPr>
            <w:tcW w:w="2824" w:type="dxa"/>
            <w:vMerge/>
            <w:tcBorders>
              <w:left w:val="single" w:sz="4" w:space="0" w:color="000000"/>
              <w:bottom w:val="nil" w:sz="6" w:space="0" w:color="auto"/>
              <w:right w:val="single" w:sz="4" w:space="0" w:color="000000"/>
            </w:tcBorders>
            <w:shd w:val="clear" w:color="auto" w:fill="D2D2D2"/>
          </w:tcPr>
          <w:p>
            <w:pPr/>
          </w:p>
        </w:tc>
        <w:tc>
          <w:tcPr>
            <w:tcW w:w="141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3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3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34"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206" w:hRule="exact"/>
        </w:trPr>
        <w:tc>
          <w:tcPr>
            <w:tcW w:w="1123" w:type="dxa"/>
            <w:tcBorders>
              <w:top w:val="nil" w:sz="6" w:space="0" w:color="auto"/>
              <w:left w:val="single" w:sz="4" w:space="0" w:color="000000"/>
              <w:bottom w:val="single" w:sz="4" w:space="0" w:color="000000"/>
              <w:right w:val="single" w:sz="4" w:space="0" w:color="000000"/>
            </w:tcBorders>
            <w:shd w:val="clear" w:color="auto" w:fill="D2D2D2"/>
          </w:tcPr>
          <w:p>
            <w:pPr/>
          </w:p>
        </w:tc>
        <w:tc>
          <w:tcPr>
            <w:tcW w:w="2824" w:type="dxa"/>
            <w:tcBorders>
              <w:top w:val="nil" w:sz="6" w:space="0" w:color="auto"/>
              <w:left w:val="single" w:sz="4" w:space="0" w:color="000000"/>
              <w:bottom w:val="single" w:sz="4" w:space="0" w:color="000000"/>
              <w:right w:val="single" w:sz="4" w:space="0" w:color="000000"/>
            </w:tcBorders>
            <w:shd w:val="clear" w:color="auto" w:fill="D2D2D2"/>
          </w:tcPr>
          <w:p>
            <w:pPr/>
          </w:p>
        </w:tc>
        <w:tc>
          <w:tcPr>
            <w:tcW w:w="1410" w:type="dxa"/>
            <w:vMerge/>
            <w:tcBorders>
              <w:left w:val="single" w:sz="4" w:space="0" w:color="000000"/>
              <w:bottom w:val="single" w:sz="4" w:space="0" w:color="000000"/>
              <w:right w:val="single" w:sz="4" w:space="0" w:color="000000"/>
            </w:tcBorders>
            <w:shd w:val="clear" w:color="auto" w:fill="D2D2D2"/>
          </w:tcPr>
          <w:p>
            <w:pPr/>
          </w:p>
        </w:tc>
        <w:tc>
          <w:tcPr>
            <w:tcW w:w="1399" w:type="dxa"/>
            <w:vMerge/>
            <w:tcBorders>
              <w:left w:val="single" w:sz="4" w:space="0" w:color="000000"/>
              <w:bottom w:val="single" w:sz="4" w:space="0" w:color="000000"/>
              <w:right w:val="single" w:sz="4" w:space="0" w:color="000000"/>
            </w:tcBorders>
            <w:shd w:val="clear" w:color="auto" w:fill="D2D2D2"/>
          </w:tcPr>
          <w:p>
            <w:pPr/>
          </w:p>
        </w:tc>
        <w:tc>
          <w:tcPr>
            <w:tcW w:w="1400" w:type="dxa"/>
            <w:vMerge/>
            <w:tcBorders>
              <w:left w:val="single" w:sz="4" w:space="0" w:color="000000"/>
              <w:bottom w:val="single" w:sz="4" w:space="0" w:color="000000"/>
              <w:right w:val="single" w:sz="4" w:space="0" w:color="000000"/>
            </w:tcBorders>
            <w:shd w:val="clear" w:color="auto" w:fill="D2D2D2"/>
          </w:tcPr>
          <w:p>
            <w:pPr/>
          </w:p>
        </w:tc>
        <w:tc>
          <w:tcPr>
            <w:tcW w:w="1400"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1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成都斯沃茨科技有限公司</w:t>
            </w:r>
          </w:p>
        </w:tc>
        <w:tc>
          <w:tcPr>
            <w:tcW w:w="14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1,350,000.00</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135,000.00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1,600,000.00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80,000.00</w:t>
            </w:r>
          </w:p>
        </w:tc>
      </w:tr>
      <w:tr>
        <w:trPr>
          <w:trHeight w:val="402" w:hRule="exact"/>
        </w:trPr>
        <w:tc>
          <w:tcPr>
            <w:tcW w:w="11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重庆泰岳优才科技有限公司</w:t>
            </w:r>
          </w:p>
        </w:tc>
        <w:tc>
          <w:tcPr>
            <w:tcW w:w="14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1,932,000.00</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579,600.00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1,932,000.00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192,600.00</w:t>
            </w:r>
          </w:p>
        </w:tc>
      </w:tr>
      <w:tr>
        <w:trPr>
          <w:trHeight w:val="402" w:hRule="exact"/>
        </w:trPr>
        <w:tc>
          <w:tcPr>
            <w:tcW w:w="11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大连华信计算机技术股份有限公司</w:t>
            </w:r>
          </w:p>
        </w:tc>
        <w:tc>
          <w:tcPr>
            <w:tcW w:w="14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1,061,541.56</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235,227.98</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1,073,507.56</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134,346.52</w:t>
            </w:r>
          </w:p>
        </w:tc>
      </w:tr>
      <w:tr>
        <w:trPr>
          <w:trHeight w:val="402" w:hRule="exact"/>
        </w:trPr>
        <w:tc>
          <w:tcPr>
            <w:tcW w:w="11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中信网络科技股份有限公司</w:t>
            </w:r>
          </w:p>
        </w:tc>
        <w:tc>
          <w:tcPr>
            <w:tcW w:w="14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1,563,260.11</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78,163.01</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1,296,795.31</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64,839.77</w:t>
            </w:r>
          </w:p>
        </w:tc>
      </w:tr>
      <w:tr>
        <w:trPr>
          <w:trHeight w:val="402" w:hRule="exact"/>
        </w:trPr>
        <w:tc>
          <w:tcPr>
            <w:tcW w:w="11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珠海泰岳梧桐投资管理有限公司</w:t>
            </w:r>
          </w:p>
        </w:tc>
        <w:tc>
          <w:tcPr>
            <w:tcW w:w="14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13,915.71</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695.79</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14,417.17</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1,441.72</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980" w:right="0"/>
        </w:sectPr>
      </w:pPr>
    </w:p>
    <w:p>
      <w:pPr>
        <w:spacing w:line="240" w:lineRule="auto" w:before="6"/>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1134"/>
        <w:gridCol w:w="2824"/>
        <w:gridCol w:w="1410"/>
        <w:gridCol w:w="1399"/>
        <w:gridCol w:w="1400"/>
        <w:gridCol w:w="1400"/>
      </w:tblGrid>
      <w:tr>
        <w:trPr>
          <w:trHeight w:val="415" w:hRule="exact"/>
        </w:trPr>
        <w:tc>
          <w:tcPr>
            <w:tcW w:w="1134"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24"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北京岳海云测信息技术有限公司</w:t>
            </w:r>
          </w:p>
        </w:tc>
        <w:tc>
          <w:tcPr>
            <w:tcW w:w="1410" w:type="dxa"/>
            <w:tcBorders>
              <w:top w:val="single" w:sz="10" w:space="0" w:color="000000"/>
              <w:left w:val="single" w:sz="13" w:space="0" w:color="D2D2D2"/>
              <w:bottom w:val="single" w:sz="4" w:space="0" w:color="000000"/>
              <w:right w:val="single" w:sz="4" w:space="0" w:color="000000"/>
            </w:tcBorders>
          </w:tcPr>
          <w:p>
            <w:pPr/>
          </w:p>
        </w:tc>
        <w:tc>
          <w:tcPr>
            <w:tcW w:w="1399" w:type="dxa"/>
            <w:tcBorders>
              <w:top w:val="single" w:sz="10" w:space="0" w:color="000000"/>
              <w:left w:val="single" w:sz="4" w:space="0" w:color="000000"/>
              <w:bottom w:val="single" w:sz="4" w:space="0" w:color="000000"/>
              <w:right w:val="single" w:sz="4" w:space="0" w:color="000000"/>
            </w:tcBorders>
          </w:tcPr>
          <w:p>
            <w:pPr/>
          </w:p>
        </w:tc>
        <w:tc>
          <w:tcPr>
            <w:tcW w:w="140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Times New Roman" w:hAnsi="Times New Roman" w:cs="Times New Roman" w:eastAsia="Times New Roman" w:hint="default"/>
                <w:sz w:val="18"/>
                <w:szCs w:val="18"/>
              </w:rPr>
            </w:pPr>
            <w:r>
              <w:rPr>
                <w:rFonts w:ascii="Times New Roman"/>
                <w:sz w:val="18"/>
              </w:rPr>
              <w:t>546,000.00</w:t>
            </w:r>
          </w:p>
        </w:tc>
        <w:tc>
          <w:tcPr>
            <w:tcW w:w="140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Times New Roman" w:hAnsi="Times New Roman" w:cs="Times New Roman" w:eastAsia="Times New Roman" w:hint="default"/>
                <w:sz w:val="18"/>
                <w:szCs w:val="18"/>
              </w:rPr>
            </w:pPr>
            <w:r>
              <w:rPr>
                <w:rFonts w:ascii="Times New Roman"/>
                <w:sz w:val="18"/>
              </w:rPr>
              <w:t>27,300.00</w:t>
            </w: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北京裂变科技有限公司</w:t>
            </w:r>
          </w:p>
        </w:tc>
        <w:tc>
          <w:tcPr>
            <w:tcW w:w="14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2,634,466.73</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177,625.74</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1,308,064.00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65,403.20</w:t>
            </w: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北京云中融信网络科技有限公司</w:t>
            </w:r>
          </w:p>
        </w:tc>
        <w:tc>
          <w:tcPr>
            <w:tcW w:w="14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5,858,038.28</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344,641.91</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1,816,112.00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90,805.60</w:t>
            </w: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珠海神州泰岳投资管理有限公司</w:t>
            </w:r>
          </w:p>
        </w:tc>
        <w:tc>
          <w:tcPr>
            <w:tcW w:w="14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22,101.43</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1,105.07</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21,478.02</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1,073.90</w:t>
            </w: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宁波泰岳梧桐投资管理有限公司</w:t>
            </w:r>
          </w:p>
        </w:tc>
        <w:tc>
          <w:tcPr>
            <w:tcW w:w="14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45,285.71</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2,264.29</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27,195.59</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1,359.78</w:t>
            </w:r>
          </w:p>
        </w:tc>
      </w:tr>
      <w:tr>
        <w:trPr>
          <w:trHeight w:val="714"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89"/>
              <w:jc w:val="left"/>
              <w:rPr>
                <w:rFonts w:ascii="宋体" w:hAnsi="宋体" w:cs="宋体" w:eastAsia="宋体" w:hint="default"/>
                <w:sz w:val="18"/>
                <w:szCs w:val="18"/>
              </w:rPr>
            </w:pPr>
            <w:r>
              <w:rPr>
                <w:rFonts w:ascii="宋体" w:hAnsi="宋体" w:cs="宋体" w:eastAsia="宋体" w:hint="default"/>
                <w:sz w:val="18"/>
                <w:szCs w:val="18"/>
              </w:rPr>
              <w:t>北京神州良品电子商务科技股份有 限公司</w:t>
            </w:r>
          </w:p>
        </w:tc>
        <w:tc>
          <w:tcPr>
            <w:tcW w:w="14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1,159,248.31</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61,467.35</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70,098.63</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3,504.93</w:t>
            </w: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北京国信安石科技有限责任公司</w:t>
            </w:r>
          </w:p>
        </w:tc>
        <w:tc>
          <w:tcPr>
            <w:tcW w:w="14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1,425,236.57</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100,678.23</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588,328.00</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29,416.40</w:t>
            </w: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北京神州泰奇互动科技有限公司</w:t>
            </w:r>
          </w:p>
        </w:tc>
        <w:tc>
          <w:tcPr>
            <w:tcW w:w="14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988,357.06</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94,024.54</w:t>
            </w:r>
          </w:p>
        </w:tc>
        <w:tc>
          <w:tcPr>
            <w:tcW w:w="1400"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神州泰奇（香港）有限公司</w:t>
            </w:r>
          </w:p>
        </w:tc>
        <w:tc>
          <w:tcPr>
            <w:tcW w:w="14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63,796.09</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31,898.05</w:t>
            </w:r>
          </w:p>
        </w:tc>
        <w:tc>
          <w:tcPr>
            <w:tcW w:w="1400"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北京神州泰岳教育科技有限公司</w:t>
            </w:r>
          </w:p>
        </w:tc>
        <w:tc>
          <w:tcPr>
            <w:tcW w:w="14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198,069.14</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9,903.46</w:t>
            </w:r>
          </w:p>
        </w:tc>
        <w:tc>
          <w:tcPr>
            <w:tcW w:w="1400"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北京神州云联科技有限公司</w:t>
            </w:r>
          </w:p>
        </w:tc>
        <w:tc>
          <w:tcPr>
            <w:tcW w:w="14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18,000.00</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900.00</w:t>
            </w:r>
          </w:p>
        </w:tc>
        <w:tc>
          <w:tcPr>
            <w:tcW w:w="1400"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2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泰岳金服（北京）科技有限公司</w:t>
            </w:r>
          </w:p>
        </w:tc>
        <w:tc>
          <w:tcPr>
            <w:tcW w:w="14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2,245,471.64</w:t>
            </w:r>
          </w:p>
        </w:tc>
        <w:tc>
          <w:tcPr>
            <w:tcW w:w="139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2,245,471.64</w:t>
            </w:r>
          </w:p>
        </w:tc>
        <w:tc>
          <w:tcPr>
            <w:tcW w:w="14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2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天津智子网络科技有限公司</w:t>
            </w:r>
          </w:p>
        </w:tc>
        <w:tc>
          <w:tcPr>
            <w:tcW w:w="14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750,601.94</w:t>
            </w:r>
          </w:p>
        </w:tc>
        <w:tc>
          <w:tcPr>
            <w:tcW w:w="1399"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重庆泰岳优才科技有限公司</w:t>
            </w:r>
          </w:p>
        </w:tc>
        <w:tc>
          <w:tcPr>
            <w:tcW w:w="14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5,405,910.76</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1,621,225.23</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5,405,910.76</w:t>
            </w:r>
          </w:p>
        </w:tc>
        <w:tc>
          <w:tcPr>
            <w:tcW w:w="14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540,454.08</w:t>
            </w: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Ultrapower 360 PTE</w:t>
            </w:r>
            <w:r>
              <w:rPr>
                <w:rFonts w:ascii="Times New Roman"/>
                <w:spacing w:val="-2"/>
                <w:sz w:val="18"/>
              </w:rPr>
              <w:t> </w:t>
            </w:r>
            <w:r>
              <w:rPr>
                <w:rFonts w:ascii="Times New Roman"/>
                <w:spacing w:val="-6"/>
                <w:sz w:val="18"/>
              </w:rPr>
              <w:t>LTD</w:t>
            </w:r>
          </w:p>
        </w:tc>
        <w:tc>
          <w:tcPr>
            <w:tcW w:w="14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1,878.88</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433.99</w:t>
            </w:r>
          </w:p>
        </w:tc>
        <w:tc>
          <w:tcPr>
            <w:tcW w:w="1400"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UQSOFT(SINGAPORE)PTE</w:t>
            </w:r>
            <w:r>
              <w:rPr>
                <w:rFonts w:ascii="Times New Roman"/>
                <w:spacing w:val="-2"/>
                <w:sz w:val="18"/>
              </w:rPr>
              <w:t> </w:t>
            </w:r>
            <w:r>
              <w:rPr>
                <w:rFonts w:ascii="Times New Roman"/>
                <w:spacing w:val="-6"/>
                <w:sz w:val="18"/>
              </w:rPr>
              <w:t>LTD</w:t>
            </w:r>
          </w:p>
        </w:tc>
        <w:tc>
          <w:tcPr>
            <w:tcW w:w="14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4,984.32</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1,454.35</w:t>
            </w:r>
          </w:p>
        </w:tc>
        <w:tc>
          <w:tcPr>
            <w:tcW w:w="1400"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UQSOFT</w:t>
            </w:r>
            <w:r>
              <w:rPr>
                <w:rFonts w:ascii="Times New Roman"/>
                <w:spacing w:val="-6"/>
                <w:sz w:val="18"/>
              </w:rPr>
              <w:t> </w:t>
            </w:r>
            <w:r>
              <w:rPr>
                <w:rFonts w:ascii="Times New Roman"/>
                <w:sz w:val="18"/>
              </w:rPr>
              <w:t>(THAILAND)</w:t>
            </w:r>
          </w:p>
        </w:tc>
        <w:tc>
          <w:tcPr>
            <w:tcW w:w="141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7,218.59</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2,165.58</w:t>
            </w:r>
          </w:p>
        </w:tc>
        <w:tc>
          <w:tcPr>
            <w:tcW w:w="1400" w:type="dxa"/>
            <w:tcBorders>
              <w:top w:val="single" w:sz="4" w:space="0" w:color="000000"/>
              <w:left w:val="single" w:sz="4" w:space="0" w:color="000000"/>
              <w:bottom w:val="single" w:sz="4" w:space="0" w:color="000000"/>
              <w:right w:val="single" w:sz="4" w:space="0" w:color="000000"/>
            </w:tcBorders>
          </w:tcPr>
          <w:p>
            <w:pPr/>
          </w:p>
        </w:tc>
        <w:tc>
          <w:tcPr>
            <w:tcW w:w="140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2）应付项目" w:id="407"/>
      <w:bookmarkEnd w:id="407"/>
      <w:r>
        <w:rPr>
          <w:b w:val="0"/>
          <w:bCs w:val="0"/>
        </w:rPr>
      </w:r>
      <w:r>
        <w:rPr/>
        <w:t>（</w:t>
      </w:r>
      <w:r>
        <w:rPr>
          <w:rFonts w:ascii="Times New Roman" w:hAnsi="Times New Roman" w:cs="Times New Roman" w:eastAsia="Times New Roman" w:hint="default"/>
        </w:rPr>
        <w:t>2</w:t>
      </w:r>
      <w:r>
        <w:rPr/>
        <w:t>）应付项目</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1533"/>
        <w:gridCol w:w="3229"/>
        <w:gridCol w:w="2404"/>
        <w:gridCol w:w="2392"/>
      </w:tblGrid>
      <w:tr>
        <w:trPr>
          <w:trHeight w:val="402" w:hRule="exact"/>
        </w:trPr>
        <w:tc>
          <w:tcPr>
            <w:tcW w:w="1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02"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3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6"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4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62"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1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 w:right="0"/>
              <w:jc w:val="left"/>
              <w:rPr>
                <w:rFonts w:ascii="宋体" w:hAnsi="宋体" w:cs="宋体" w:eastAsia="宋体" w:hint="default"/>
                <w:sz w:val="18"/>
                <w:szCs w:val="18"/>
              </w:rPr>
            </w:pPr>
            <w:r>
              <w:rPr>
                <w:rFonts w:ascii="宋体" w:hAnsi="宋体" w:cs="宋体" w:eastAsia="宋体" w:hint="default"/>
                <w:sz w:val="18"/>
                <w:szCs w:val="18"/>
              </w:rPr>
              <w:t>大连华信计算机技术股份有限公司</w:t>
            </w:r>
          </w:p>
        </w:tc>
        <w:tc>
          <w:tcPr>
            <w:tcW w:w="240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1,101,275.58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1,101,275.58</w:t>
            </w:r>
          </w:p>
        </w:tc>
      </w:tr>
      <w:tr>
        <w:trPr>
          <w:trHeight w:val="402" w:hRule="exact"/>
        </w:trPr>
        <w:tc>
          <w:tcPr>
            <w:tcW w:w="1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 w:right="0"/>
              <w:jc w:val="left"/>
              <w:rPr>
                <w:rFonts w:ascii="宋体" w:hAnsi="宋体" w:cs="宋体" w:eastAsia="宋体" w:hint="default"/>
                <w:sz w:val="18"/>
                <w:szCs w:val="18"/>
              </w:rPr>
            </w:pPr>
            <w:r>
              <w:rPr>
                <w:rFonts w:ascii="宋体" w:hAnsi="宋体" w:cs="宋体" w:eastAsia="宋体" w:hint="default"/>
                <w:sz w:val="18"/>
                <w:szCs w:val="18"/>
              </w:rPr>
              <w:t>北京光合起源网络科技有限公司</w:t>
            </w:r>
          </w:p>
        </w:tc>
        <w:tc>
          <w:tcPr>
            <w:tcW w:w="2404" w:type="dxa"/>
            <w:tcBorders>
              <w:top w:val="single" w:sz="4" w:space="0" w:color="000000"/>
              <w:left w:val="single" w:sz="13" w:space="0" w:color="D2D2D2"/>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5,308,338.28</w:t>
            </w:r>
          </w:p>
        </w:tc>
      </w:tr>
      <w:tr>
        <w:trPr>
          <w:trHeight w:val="402" w:hRule="exact"/>
        </w:trPr>
        <w:tc>
          <w:tcPr>
            <w:tcW w:w="1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 w:right="0"/>
              <w:jc w:val="left"/>
              <w:rPr>
                <w:rFonts w:ascii="宋体" w:hAnsi="宋体" w:cs="宋体" w:eastAsia="宋体" w:hint="default"/>
                <w:sz w:val="18"/>
                <w:szCs w:val="18"/>
              </w:rPr>
            </w:pPr>
            <w:r>
              <w:rPr>
                <w:rFonts w:ascii="宋体" w:hAnsi="宋体" w:cs="宋体" w:eastAsia="宋体" w:hint="default"/>
                <w:sz w:val="18"/>
                <w:szCs w:val="18"/>
              </w:rPr>
              <w:t>北京神州泰奇互动科技有限公司</w:t>
            </w:r>
          </w:p>
        </w:tc>
        <w:tc>
          <w:tcPr>
            <w:tcW w:w="240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3,271,155.05</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 w:right="0"/>
              <w:jc w:val="left"/>
              <w:rPr>
                <w:rFonts w:ascii="宋体" w:hAnsi="宋体" w:cs="宋体" w:eastAsia="宋体" w:hint="default"/>
                <w:sz w:val="18"/>
                <w:szCs w:val="18"/>
              </w:rPr>
            </w:pPr>
            <w:r>
              <w:rPr>
                <w:rFonts w:ascii="宋体" w:hAnsi="宋体" w:cs="宋体" w:eastAsia="宋体" w:hint="default"/>
                <w:sz w:val="18"/>
                <w:szCs w:val="18"/>
              </w:rPr>
              <w:t>北京神州云联科技有限公司</w:t>
            </w:r>
          </w:p>
        </w:tc>
        <w:tc>
          <w:tcPr>
            <w:tcW w:w="240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849,056.60</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 w:right="0"/>
              <w:jc w:val="left"/>
              <w:rPr>
                <w:rFonts w:ascii="宋体" w:hAnsi="宋体" w:cs="宋体" w:eastAsia="宋体" w:hint="default"/>
                <w:sz w:val="18"/>
                <w:szCs w:val="18"/>
              </w:rPr>
            </w:pPr>
            <w:r>
              <w:rPr>
                <w:rFonts w:ascii="宋体" w:hAnsi="宋体" w:cs="宋体" w:eastAsia="宋体" w:hint="default"/>
                <w:sz w:val="18"/>
                <w:szCs w:val="18"/>
              </w:rPr>
              <w:t>北京云中融信网络科技有限公司</w:t>
            </w:r>
          </w:p>
        </w:tc>
        <w:tc>
          <w:tcPr>
            <w:tcW w:w="240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267,371.50</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 w:right="0"/>
              <w:jc w:val="left"/>
              <w:rPr>
                <w:rFonts w:ascii="宋体" w:hAnsi="宋体" w:cs="宋体" w:eastAsia="宋体" w:hint="default"/>
                <w:sz w:val="18"/>
                <w:szCs w:val="18"/>
              </w:rPr>
            </w:pPr>
            <w:r>
              <w:rPr>
                <w:rFonts w:ascii="宋体" w:hAnsi="宋体" w:cs="宋体" w:eastAsia="宋体" w:hint="default"/>
                <w:sz w:val="18"/>
                <w:szCs w:val="18"/>
              </w:rPr>
              <w:t>中信网络科技股份有限公司</w:t>
            </w:r>
          </w:p>
        </w:tc>
        <w:tc>
          <w:tcPr>
            <w:tcW w:w="240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1,398,940.20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1,398,940.20</w:t>
            </w:r>
          </w:p>
        </w:tc>
      </w:tr>
      <w:tr>
        <w:trPr>
          <w:trHeight w:val="402" w:hRule="exact"/>
        </w:trPr>
        <w:tc>
          <w:tcPr>
            <w:tcW w:w="1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 w:right="0"/>
              <w:jc w:val="left"/>
              <w:rPr>
                <w:rFonts w:ascii="宋体" w:hAnsi="宋体" w:cs="宋体" w:eastAsia="宋体" w:hint="default"/>
                <w:sz w:val="18"/>
                <w:szCs w:val="18"/>
              </w:rPr>
            </w:pPr>
            <w:r>
              <w:rPr>
                <w:rFonts w:ascii="宋体" w:hAnsi="宋体" w:cs="宋体" w:eastAsia="宋体" w:hint="default"/>
                <w:sz w:val="18"/>
                <w:szCs w:val="18"/>
              </w:rPr>
              <w:t>北京云中融信网络科技有限公司</w:t>
            </w:r>
          </w:p>
        </w:tc>
        <w:tc>
          <w:tcPr>
            <w:tcW w:w="240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100,000.00</w:t>
            </w:r>
          </w:p>
        </w:tc>
      </w:tr>
      <w:tr>
        <w:trPr>
          <w:trHeight w:val="402" w:hRule="exact"/>
        </w:trPr>
        <w:tc>
          <w:tcPr>
            <w:tcW w:w="1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 w:right="0"/>
              <w:jc w:val="left"/>
              <w:rPr>
                <w:rFonts w:ascii="宋体" w:hAnsi="宋体" w:cs="宋体" w:eastAsia="宋体" w:hint="default"/>
                <w:sz w:val="18"/>
                <w:szCs w:val="18"/>
              </w:rPr>
            </w:pPr>
            <w:r>
              <w:rPr>
                <w:rFonts w:ascii="宋体" w:hAnsi="宋体" w:cs="宋体" w:eastAsia="宋体" w:hint="default"/>
                <w:sz w:val="18"/>
                <w:szCs w:val="18"/>
              </w:rPr>
              <w:t>北京裂变科技有限公司</w:t>
            </w:r>
          </w:p>
        </w:tc>
        <w:tc>
          <w:tcPr>
            <w:tcW w:w="240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100,000.00</w:t>
            </w:r>
          </w:p>
        </w:tc>
      </w:tr>
      <w:tr>
        <w:trPr>
          <w:trHeight w:val="402" w:hRule="exact"/>
        </w:trPr>
        <w:tc>
          <w:tcPr>
            <w:tcW w:w="1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 w:right="0"/>
              <w:jc w:val="left"/>
              <w:rPr>
                <w:rFonts w:ascii="宋体" w:hAnsi="宋体" w:cs="宋体" w:eastAsia="宋体" w:hint="default"/>
                <w:sz w:val="18"/>
                <w:szCs w:val="18"/>
              </w:rPr>
            </w:pPr>
            <w:r>
              <w:rPr>
                <w:rFonts w:ascii="宋体" w:hAnsi="宋体" w:cs="宋体" w:eastAsia="宋体" w:hint="default"/>
                <w:sz w:val="18"/>
                <w:szCs w:val="18"/>
              </w:rPr>
              <w:t>北京神州泰岳良品电子商务有限公司</w:t>
            </w:r>
          </w:p>
        </w:tc>
        <w:tc>
          <w:tcPr>
            <w:tcW w:w="240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386,306.65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386,306.65</w:t>
            </w:r>
          </w:p>
        </w:tc>
      </w:tr>
      <w:tr>
        <w:trPr>
          <w:trHeight w:val="402" w:hRule="exact"/>
        </w:trPr>
        <w:tc>
          <w:tcPr>
            <w:tcW w:w="1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 w:right="0"/>
              <w:jc w:val="left"/>
              <w:rPr>
                <w:rFonts w:ascii="宋体" w:hAnsi="宋体" w:cs="宋体" w:eastAsia="宋体" w:hint="default"/>
                <w:sz w:val="18"/>
                <w:szCs w:val="18"/>
              </w:rPr>
            </w:pPr>
            <w:r>
              <w:rPr>
                <w:rFonts w:ascii="宋体" w:hAnsi="宋体" w:cs="宋体" w:eastAsia="宋体" w:hint="default"/>
                <w:sz w:val="18"/>
                <w:szCs w:val="18"/>
              </w:rPr>
              <w:t>珠海泰岳梧桐投资管理有限公司</w:t>
            </w:r>
          </w:p>
        </w:tc>
        <w:tc>
          <w:tcPr>
            <w:tcW w:w="240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14,040.00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45,450.00</w:t>
            </w:r>
          </w:p>
        </w:tc>
      </w:tr>
      <w:tr>
        <w:trPr>
          <w:trHeight w:val="402" w:hRule="exact"/>
        </w:trPr>
        <w:tc>
          <w:tcPr>
            <w:tcW w:w="1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 w:right="0"/>
              <w:jc w:val="left"/>
              <w:rPr>
                <w:rFonts w:ascii="宋体" w:hAnsi="宋体" w:cs="宋体" w:eastAsia="宋体" w:hint="default"/>
                <w:sz w:val="18"/>
                <w:szCs w:val="18"/>
              </w:rPr>
            </w:pPr>
            <w:r>
              <w:rPr>
                <w:rFonts w:ascii="宋体" w:hAnsi="宋体" w:cs="宋体" w:eastAsia="宋体" w:hint="default"/>
                <w:sz w:val="18"/>
                <w:szCs w:val="18"/>
              </w:rPr>
              <w:t>珠海神州泰岳投资管理有限公司</w:t>
            </w:r>
          </w:p>
        </w:tc>
        <w:tc>
          <w:tcPr>
            <w:tcW w:w="240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31,590.00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175,500.00</w:t>
            </w:r>
          </w:p>
        </w:tc>
      </w:tr>
      <w:tr>
        <w:trPr>
          <w:trHeight w:val="402" w:hRule="exact"/>
        </w:trPr>
        <w:tc>
          <w:tcPr>
            <w:tcW w:w="1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 w:right="0"/>
              <w:jc w:val="left"/>
              <w:rPr>
                <w:rFonts w:ascii="宋体" w:hAnsi="宋体" w:cs="宋体" w:eastAsia="宋体" w:hint="default"/>
                <w:sz w:val="18"/>
                <w:szCs w:val="18"/>
              </w:rPr>
            </w:pPr>
            <w:r>
              <w:rPr>
                <w:rFonts w:ascii="宋体" w:hAnsi="宋体" w:cs="宋体" w:eastAsia="宋体" w:hint="default"/>
                <w:sz w:val="18"/>
                <w:szCs w:val="18"/>
              </w:rPr>
              <w:t>北京神州泰岳教育科技有限公司</w:t>
            </w:r>
          </w:p>
        </w:tc>
        <w:tc>
          <w:tcPr>
            <w:tcW w:w="240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100,000.00</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1020" w:right="0"/>
        </w:sectPr>
      </w:pPr>
    </w:p>
    <w:p>
      <w:pPr>
        <w:spacing w:line="240" w:lineRule="auto" w:before="6"/>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1560"/>
        <w:gridCol w:w="3224"/>
        <w:gridCol w:w="2393"/>
        <w:gridCol w:w="2392"/>
      </w:tblGrid>
      <w:tr>
        <w:trPr>
          <w:trHeight w:val="415" w:hRule="exact"/>
        </w:trPr>
        <w:tc>
          <w:tcPr>
            <w:tcW w:w="1560"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224"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宁波泰岳梧桐投资管理有限公司</w:t>
            </w:r>
          </w:p>
        </w:tc>
        <w:tc>
          <w:tcPr>
            <w:tcW w:w="2393"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0"/>
              <w:jc w:val="right"/>
              <w:rPr>
                <w:rFonts w:ascii="Times New Roman" w:hAnsi="Times New Roman" w:cs="Times New Roman" w:eastAsia="Times New Roman" w:hint="default"/>
                <w:sz w:val="18"/>
                <w:szCs w:val="18"/>
              </w:rPr>
            </w:pPr>
            <w:r>
              <w:rPr>
                <w:rFonts w:ascii="Times New Roman"/>
                <w:sz w:val="18"/>
              </w:rPr>
              <w:t>58,500.00</w:t>
            </w:r>
          </w:p>
        </w:tc>
        <w:tc>
          <w:tcPr>
            <w:tcW w:w="239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0"/>
              <w:jc w:val="right"/>
              <w:rPr>
                <w:rFonts w:ascii="Times New Roman" w:hAnsi="Times New Roman" w:cs="Times New Roman" w:eastAsia="Times New Roman" w:hint="default"/>
                <w:sz w:val="18"/>
                <w:szCs w:val="18"/>
              </w:rPr>
            </w:pPr>
            <w:r>
              <w:rPr>
                <w:rFonts w:ascii="Times New Roman"/>
                <w:sz w:val="18"/>
              </w:rPr>
              <w:t>70,200.00</w:t>
            </w: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2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北京神州云联科技有限公司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47,250.00</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32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宁波泰岳梧桐投资管理有限公司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73,261.94</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32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珠海泰岳梧桐投资管理有限公司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20,440.66</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32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珠海神州泰岳投资管理有限公司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36,497.08</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32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北京神州云联科技有限公司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9,000.00</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7、关联方承诺" w:id="408"/>
      <w:bookmarkEnd w:id="408"/>
      <w:r>
        <w:rPr>
          <w:b w:val="0"/>
          <w:bCs w:val="0"/>
        </w:rPr>
      </w:r>
      <w:r>
        <w:rPr>
          <w:rFonts w:ascii="Times New Roman" w:hAnsi="Times New Roman" w:cs="Times New Roman" w:eastAsia="Times New Roman" w:hint="default"/>
        </w:rPr>
        <w:t>7</w:t>
      </w:r>
      <w:r>
        <w:rPr/>
        <w:t>、关联方承诺</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114" w:right="1276"/>
        <w:jc w:val="left"/>
      </w:pPr>
      <w:r>
        <w:rPr/>
        <w:t>无。</w:t>
      </w:r>
    </w:p>
    <w:p>
      <w:pPr>
        <w:spacing w:line="240" w:lineRule="auto" w:before="12"/>
        <w:rPr>
          <w:rFonts w:ascii="宋体" w:hAnsi="宋体" w:cs="宋体" w:eastAsia="宋体" w:hint="default"/>
          <w:sz w:val="26"/>
          <w:szCs w:val="26"/>
        </w:rPr>
      </w:pPr>
    </w:p>
    <w:p>
      <w:pPr>
        <w:pStyle w:val="Heading3"/>
        <w:spacing w:line="240" w:lineRule="auto"/>
        <w:ind w:left="114" w:right="1276"/>
        <w:jc w:val="left"/>
        <w:rPr>
          <w:b w:val="0"/>
          <w:bCs w:val="0"/>
        </w:rPr>
      </w:pPr>
      <w:bookmarkStart w:name="8、其他" w:id="409"/>
      <w:bookmarkEnd w:id="409"/>
      <w:r>
        <w:rPr>
          <w:b w:val="0"/>
          <w:bCs w:val="0"/>
        </w:rPr>
      </w:r>
      <w:r>
        <w:rPr>
          <w:rFonts w:ascii="Times New Roman" w:hAnsi="Times New Roman" w:cs="Times New Roman" w:eastAsia="Times New Roman" w:hint="default"/>
        </w:rPr>
        <w:t>8</w:t>
      </w:r>
      <w:r>
        <w:rPr/>
        <w:t>、其他</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114" w:right="1276"/>
        <w:jc w:val="left"/>
      </w:pPr>
      <w:r>
        <w:rPr/>
        <w:t>无。</w:t>
      </w:r>
    </w:p>
    <w:p>
      <w:pPr>
        <w:spacing w:line="240" w:lineRule="auto" w:before="2"/>
        <w:rPr>
          <w:rFonts w:ascii="宋体" w:hAnsi="宋体" w:cs="宋体" w:eastAsia="宋体" w:hint="default"/>
          <w:sz w:val="25"/>
          <w:szCs w:val="25"/>
        </w:rPr>
      </w:pPr>
    </w:p>
    <w:p>
      <w:pPr>
        <w:pStyle w:val="Heading2"/>
        <w:spacing w:line="240" w:lineRule="auto"/>
        <w:ind w:left="114" w:right="1276"/>
        <w:jc w:val="left"/>
        <w:rPr>
          <w:b w:val="0"/>
          <w:bCs w:val="0"/>
        </w:rPr>
      </w:pPr>
      <w:bookmarkStart w:name="十三、股份支付" w:id="410"/>
      <w:bookmarkEnd w:id="410"/>
      <w:r>
        <w:rPr>
          <w:b w:val="0"/>
          <w:bCs w:val="0"/>
        </w:rPr>
      </w:r>
      <w:r>
        <w:rPr/>
        <w:t>十三、股份支付</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4" w:right="1276"/>
        <w:jc w:val="left"/>
        <w:rPr>
          <w:b w:val="0"/>
          <w:bCs w:val="0"/>
        </w:rPr>
      </w:pPr>
      <w:bookmarkStart w:name="1、股份支付总体情况" w:id="411"/>
      <w:bookmarkEnd w:id="411"/>
      <w:r>
        <w:rPr>
          <w:b w:val="0"/>
          <w:bCs w:val="0"/>
        </w:rPr>
      </w:r>
      <w:r>
        <w:rPr>
          <w:rFonts w:ascii="Times New Roman" w:hAnsi="Times New Roman" w:cs="Times New Roman" w:eastAsia="Times New Roman" w:hint="default"/>
        </w:rPr>
        <w:t>1</w:t>
      </w:r>
      <w:r>
        <w:rPr/>
        <w:t>、股份支付总体情况</w:t>
      </w:r>
      <w:r>
        <w:rPr>
          <w:b w:val="0"/>
          <w:bCs w:val="0"/>
        </w:rPr>
      </w:r>
    </w:p>
    <w:p>
      <w:pPr>
        <w:spacing w:line="240" w:lineRule="auto" w:before="8"/>
        <w:rPr>
          <w:rFonts w:ascii="宋体" w:hAnsi="宋体" w:cs="宋体" w:eastAsia="宋体" w:hint="default"/>
          <w:b/>
          <w:bCs/>
          <w:sz w:val="26"/>
          <w:szCs w:val="26"/>
        </w:rPr>
      </w:pPr>
    </w:p>
    <w:p>
      <w:pPr>
        <w:spacing w:before="0"/>
        <w:ind w:left="114" w:right="127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left="114" w:right="1276"/>
        <w:jc w:val="left"/>
        <w:rPr>
          <w:b w:val="0"/>
          <w:bCs w:val="0"/>
        </w:rPr>
      </w:pPr>
      <w:bookmarkStart w:name="2、以权益结算的股份支付情况" w:id="412"/>
      <w:bookmarkEnd w:id="412"/>
      <w:r>
        <w:rPr>
          <w:b w:val="0"/>
          <w:bCs w:val="0"/>
        </w:rPr>
      </w:r>
      <w:r>
        <w:rPr>
          <w:rFonts w:ascii="Times New Roman" w:hAnsi="Times New Roman" w:cs="Times New Roman" w:eastAsia="Times New Roman" w:hint="default"/>
        </w:rPr>
        <w:t>2</w:t>
      </w:r>
      <w:r>
        <w:rPr/>
        <w:t>、以权益结算的股份支付情况</w:t>
      </w:r>
      <w:r>
        <w:rPr>
          <w:b w:val="0"/>
          <w:bCs w:val="0"/>
        </w:rPr>
      </w:r>
    </w:p>
    <w:p>
      <w:pPr>
        <w:spacing w:line="240" w:lineRule="auto" w:before="9"/>
        <w:rPr>
          <w:rFonts w:ascii="宋体" w:hAnsi="宋体" w:cs="宋体" w:eastAsia="宋体" w:hint="default"/>
          <w:b/>
          <w:bCs/>
          <w:sz w:val="26"/>
          <w:szCs w:val="26"/>
        </w:rPr>
      </w:pPr>
    </w:p>
    <w:p>
      <w:pPr>
        <w:spacing w:before="0"/>
        <w:ind w:left="114" w:right="127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left="114" w:right="1276"/>
        <w:jc w:val="left"/>
        <w:rPr>
          <w:b w:val="0"/>
          <w:bCs w:val="0"/>
        </w:rPr>
      </w:pPr>
      <w:bookmarkStart w:name="3、以现金结算的股份支付情况" w:id="413"/>
      <w:bookmarkEnd w:id="413"/>
      <w:r>
        <w:rPr>
          <w:b w:val="0"/>
          <w:bCs w:val="0"/>
        </w:rPr>
      </w:r>
      <w:r>
        <w:rPr>
          <w:rFonts w:ascii="Times New Roman" w:hAnsi="Times New Roman" w:cs="Times New Roman" w:eastAsia="Times New Roman" w:hint="default"/>
        </w:rPr>
        <w:t>3</w:t>
      </w:r>
      <w:r>
        <w:rPr/>
        <w:t>、以现金结算的股份支付情况</w:t>
      </w:r>
      <w:r>
        <w:rPr>
          <w:b w:val="0"/>
          <w:bCs w:val="0"/>
        </w:rPr>
      </w:r>
    </w:p>
    <w:p>
      <w:pPr>
        <w:spacing w:line="240" w:lineRule="auto" w:before="9"/>
        <w:rPr>
          <w:rFonts w:ascii="宋体" w:hAnsi="宋体" w:cs="宋体" w:eastAsia="宋体" w:hint="default"/>
          <w:b/>
          <w:bCs/>
          <w:sz w:val="26"/>
          <w:szCs w:val="26"/>
        </w:rPr>
      </w:pPr>
    </w:p>
    <w:p>
      <w:pPr>
        <w:spacing w:before="0"/>
        <w:ind w:left="114" w:right="127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left="114" w:right="1276"/>
        <w:jc w:val="left"/>
        <w:rPr>
          <w:b w:val="0"/>
          <w:bCs w:val="0"/>
        </w:rPr>
      </w:pPr>
      <w:bookmarkStart w:name="4、股份支付的修改、终止情况" w:id="414"/>
      <w:bookmarkEnd w:id="414"/>
      <w:r>
        <w:rPr>
          <w:b w:val="0"/>
          <w:bCs w:val="0"/>
        </w:rPr>
      </w:r>
      <w:r>
        <w:rPr>
          <w:rFonts w:ascii="Times New Roman" w:hAnsi="Times New Roman" w:cs="Times New Roman" w:eastAsia="Times New Roman" w:hint="default"/>
        </w:rPr>
        <w:t>4</w:t>
      </w:r>
      <w:r>
        <w:rPr/>
        <w:t>、股份支付的修改、终止情况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474" w:right="1276"/>
        <w:jc w:val="left"/>
      </w:pPr>
      <w:r>
        <w:rPr/>
        <w:t>无。</w:t>
      </w:r>
    </w:p>
    <w:p>
      <w:pPr>
        <w:spacing w:line="240" w:lineRule="auto" w:before="12"/>
        <w:rPr>
          <w:rFonts w:ascii="宋体" w:hAnsi="宋体" w:cs="宋体" w:eastAsia="宋体" w:hint="default"/>
          <w:sz w:val="26"/>
          <w:szCs w:val="26"/>
        </w:rPr>
      </w:pPr>
    </w:p>
    <w:p>
      <w:pPr>
        <w:pStyle w:val="Heading3"/>
        <w:spacing w:line="240" w:lineRule="auto"/>
        <w:ind w:left="114" w:right="1276"/>
        <w:jc w:val="left"/>
        <w:rPr>
          <w:b w:val="0"/>
          <w:bCs w:val="0"/>
        </w:rPr>
      </w:pPr>
      <w:bookmarkStart w:name="5、其他" w:id="415"/>
      <w:bookmarkEnd w:id="415"/>
      <w:r>
        <w:rPr>
          <w:b w:val="0"/>
          <w:bCs w:val="0"/>
        </w:rPr>
      </w:r>
      <w:r>
        <w:rPr>
          <w:rFonts w:ascii="Times New Roman" w:hAnsi="Times New Roman" w:cs="Times New Roman" w:eastAsia="Times New Roman" w:hint="default"/>
        </w:rPr>
        <w:t>5</w:t>
      </w:r>
      <w:r>
        <w:rPr/>
        <w:t>、其他</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474" w:right="1276"/>
        <w:jc w:val="left"/>
      </w:pPr>
      <w:r>
        <w:rPr/>
        <w:t>无。</w:t>
      </w:r>
    </w:p>
    <w:p>
      <w:pPr>
        <w:spacing w:line="240" w:lineRule="auto" w:before="2"/>
        <w:rPr>
          <w:rFonts w:ascii="宋体" w:hAnsi="宋体" w:cs="宋体" w:eastAsia="宋体" w:hint="default"/>
          <w:sz w:val="25"/>
          <w:szCs w:val="25"/>
        </w:rPr>
      </w:pPr>
    </w:p>
    <w:p>
      <w:pPr>
        <w:pStyle w:val="Heading2"/>
        <w:spacing w:line="240" w:lineRule="auto"/>
        <w:ind w:left="114" w:right="1276"/>
        <w:jc w:val="left"/>
        <w:rPr>
          <w:b w:val="0"/>
          <w:bCs w:val="0"/>
        </w:rPr>
      </w:pPr>
      <w:bookmarkStart w:name="十四、承诺及或有事项" w:id="416"/>
      <w:bookmarkEnd w:id="416"/>
      <w:r>
        <w:rPr>
          <w:b w:val="0"/>
          <w:bCs w:val="0"/>
        </w:rPr>
      </w:r>
      <w:r>
        <w:rPr/>
        <w:t>十四、承诺及或有事项</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14" w:right="1276"/>
        <w:jc w:val="left"/>
        <w:rPr>
          <w:b w:val="0"/>
          <w:bCs w:val="0"/>
        </w:rPr>
      </w:pPr>
      <w:bookmarkStart w:name="1、重要承诺事项" w:id="417"/>
      <w:bookmarkEnd w:id="417"/>
      <w:r>
        <w:rPr>
          <w:b w:val="0"/>
          <w:bCs w:val="0"/>
        </w:rPr>
      </w:r>
      <w:r>
        <w:rPr>
          <w:rFonts w:ascii="Times New Roman" w:hAnsi="Times New Roman" w:cs="Times New Roman" w:eastAsia="Times New Roman" w:hint="default"/>
        </w:rPr>
        <w:t>1</w:t>
      </w:r>
      <w:r>
        <w:rPr/>
        <w:t>、重要承诺事项</w:t>
      </w:r>
      <w:r>
        <w:rPr>
          <w:b w:val="0"/>
          <w:bCs w:val="0"/>
        </w:rPr>
      </w:r>
    </w:p>
    <w:p>
      <w:pPr>
        <w:spacing w:line="240" w:lineRule="auto" w:before="7"/>
        <w:rPr>
          <w:rFonts w:ascii="宋体" w:hAnsi="宋体" w:cs="宋体" w:eastAsia="宋体" w:hint="default"/>
          <w:b/>
          <w:bCs/>
          <w:sz w:val="32"/>
          <w:szCs w:val="32"/>
        </w:rPr>
      </w:pPr>
    </w:p>
    <w:p>
      <w:pPr>
        <w:pStyle w:val="BodyText"/>
        <w:spacing w:line="436" w:lineRule="auto"/>
        <w:ind w:left="474" w:right="4857" w:hanging="360"/>
        <w:jc w:val="left"/>
      </w:pPr>
      <w:r>
        <w:rPr/>
        <w:t>资产负债表日存在的重要承诺 截止</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日止，公司尚未结清的银行保函为</w:t>
      </w:r>
      <w:r>
        <w:rPr>
          <w:rFonts w:ascii="Times New Roman" w:hAnsi="Times New Roman" w:cs="Times New Roman" w:eastAsia="Times New Roman" w:hint="default"/>
        </w:rPr>
        <w:t>26,048,056.31</w:t>
      </w:r>
      <w:r>
        <w:rPr/>
        <w:t>元。</w:t>
      </w:r>
    </w:p>
    <w:p>
      <w:pPr>
        <w:spacing w:after="0" w:line="436" w:lineRule="auto"/>
        <w:jc w:val="left"/>
        <w:sectPr>
          <w:pgSz w:w="11910" w:h="16840"/>
          <w:pgMar w:header="851" w:footer="979" w:top="1400" w:bottom="1160" w:left="102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2、或有事项" w:id="418"/>
      <w:bookmarkEnd w:id="418"/>
      <w:r>
        <w:rPr>
          <w:b w:val="0"/>
          <w:bCs w:val="0"/>
        </w:rPr>
      </w:r>
      <w:r>
        <w:rPr>
          <w:rFonts w:ascii="Times New Roman" w:hAnsi="Times New Roman" w:cs="Times New Roman" w:eastAsia="Times New Roman" w:hint="default"/>
        </w:rPr>
        <w:t>2</w:t>
      </w:r>
      <w:r>
        <w:rPr/>
        <w:t>、或有事项</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514" w:right="0"/>
        <w:jc w:val="left"/>
      </w:pPr>
      <w:r>
        <w:rPr/>
        <w:t>公司不存在需要披露的重要或有事项。</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3、其他" w:id="419"/>
      <w:bookmarkEnd w:id="419"/>
      <w:r>
        <w:rPr>
          <w:b w:val="0"/>
          <w:bCs w:val="0"/>
        </w:rPr>
      </w:r>
      <w:r>
        <w:rPr>
          <w:rFonts w:ascii="Times New Roman" w:hAnsi="Times New Roman" w:cs="Times New Roman" w:eastAsia="Times New Roman" w:hint="default"/>
        </w:rPr>
        <w:t>3</w:t>
      </w:r>
      <w:r>
        <w:rPr/>
        <w:t>、其他</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14" w:right="0"/>
        <w:jc w:val="left"/>
      </w:pPr>
      <w:r>
        <w:rPr/>
        <w:t>无。</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bookmarkStart w:name="十五、资产负债表日后事项" w:id="420"/>
      <w:bookmarkEnd w:id="420"/>
      <w:r>
        <w:rPr>
          <w:b w:val="0"/>
          <w:bCs w:val="0"/>
        </w:rPr>
      </w:r>
      <w:r>
        <w:rPr/>
        <w:t>十五、资产负债表日后事项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重要的非调整事项" w:id="421"/>
      <w:bookmarkEnd w:id="421"/>
      <w:r>
        <w:rPr>
          <w:b w:val="0"/>
          <w:bCs w:val="0"/>
        </w:rPr>
      </w:r>
      <w:r>
        <w:rPr>
          <w:rFonts w:ascii="Times New Roman" w:hAnsi="Times New Roman" w:cs="Times New Roman" w:eastAsia="Times New Roman" w:hint="default"/>
        </w:rPr>
        <w:t>1</w:t>
      </w:r>
      <w:r>
        <w:rPr/>
        <w:t>、重要的非调整事项</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514" w:right="0"/>
        <w:jc w:val="left"/>
      </w:pPr>
      <w:r>
        <w:rPr/>
        <w:t>无。</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2、利润分配情况" w:id="422"/>
      <w:bookmarkEnd w:id="422"/>
      <w:r>
        <w:rPr>
          <w:b w:val="0"/>
          <w:bCs w:val="0"/>
        </w:rPr>
      </w:r>
      <w:r>
        <w:rPr>
          <w:rFonts w:ascii="Times New Roman" w:hAnsi="Times New Roman" w:cs="Times New Roman" w:eastAsia="Times New Roman" w:hint="default"/>
        </w:rPr>
        <w:t>2</w:t>
      </w:r>
      <w:r>
        <w:rPr/>
        <w:t>、利润分配情况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31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984"/>
        <w:gridCol w:w="4585"/>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拟分配的利润或股利</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经审议批准宣告发放的利润或股利</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销售退回" w:id="423"/>
      <w:bookmarkEnd w:id="423"/>
      <w:r>
        <w:rPr>
          <w:b w:val="0"/>
          <w:bCs w:val="0"/>
        </w:rPr>
      </w:r>
      <w:r>
        <w:rPr>
          <w:rFonts w:ascii="Times New Roman" w:hAnsi="Times New Roman" w:cs="Times New Roman" w:eastAsia="Times New Roman" w:hint="default"/>
        </w:rPr>
        <w:t>3</w:t>
      </w:r>
      <w:r>
        <w:rPr/>
        <w:t>、销售退回</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9536"/>
        <w:jc w:val="center"/>
      </w:pPr>
      <w:r>
        <w:rPr/>
        <w:t>无。</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4、其他资产负债表日后事项说明" w:id="424"/>
      <w:bookmarkEnd w:id="424"/>
      <w:r>
        <w:rPr>
          <w:b w:val="0"/>
          <w:bCs w:val="0"/>
        </w:rPr>
      </w:r>
      <w:r>
        <w:rPr>
          <w:rFonts w:ascii="Times New Roman" w:hAnsi="Times New Roman" w:cs="Times New Roman" w:eastAsia="Times New Roman" w:hint="default"/>
        </w:rPr>
        <w:t>4</w:t>
      </w:r>
      <w:r>
        <w:rPr/>
        <w:t>、其他资产负债表日后事项说明</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9536"/>
        <w:jc w:val="center"/>
      </w:pPr>
      <w:r>
        <w:rPr/>
        <w:t>无。</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bookmarkStart w:name="十六、其他重要事项" w:id="425"/>
      <w:bookmarkEnd w:id="425"/>
      <w:r>
        <w:rPr>
          <w:b w:val="0"/>
          <w:bCs w:val="0"/>
        </w:rPr>
      </w:r>
      <w:r>
        <w:rPr/>
        <w:t>十六、其他重要事项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前期会计差错更正" w:id="426"/>
      <w:bookmarkEnd w:id="426"/>
      <w:r>
        <w:rPr>
          <w:b w:val="0"/>
          <w:bCs w:val="0"/>
        </w:rPr>
      </w:r>
      <w:r>
        <w:rPr>
          <w:rFonts w:ascii="Times New Roman" w:hAnsi="Times New Roman" w:cs="Times New Roman" w:eastAsia="Times New Roman" w:hint="default"/>
        </w:rPr>
        <w:t>1</w:t>
      </w:r>
      <w:r>
        <w:rPr/>
        <w:t>、前期会计差错更正</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9446"/>
        <w:jc w:val="center"/>
      </w:pPr>
      <w:r>
        <w:rPr/>
        <w:t>无 。</w:t>
      </w:r>
    </w:p>
    <w:p>
      <w:pPr>
        <w:spacing w:line="240" w:lineRule="auto" w:before="10"/>
        <w:rPr>
          <w:rFonts w:ascii="宋体" w:hAnsi="宋体" w:cs="宋体" w:eastAsia="宋体" w:hint="default"/>
          <w:sz w:val="26"/>
          <w:szCs w:val="26"/>
        </w:rPr>
      </w:pPr>
    </w:p>
    <w:p>
      <w:pPr>
        <w:pStyle w:val="Heading3"/>
        <w:spacing w:line="240" w:lineRule="auto"/>
        <w:ind w:right="0"/>
        <w:jc w:val="left"/>
        <w:rPr>
          <w:b w:val="0"/>
          <w:bCs w:val="0"/>
        </w:rPr>
      </w:pPr>
      <w:bookmarkStart w:name="2、债务重组" w:id="427"/>
      <w:bookmarkEnd w:id="427"/>
      <w:r>
        <w:rPr>
          <w:b w:val="0"/>
          <w:bCs w:val="0"/>
        </w:rPr>
      </w:r>
      <w:r>
        <w:rPr>
          <w:rFonts w:ascii="Times New Roman" w:hAnsi="Times New Roman" w:cs="Times New Roman" w:eastAsia="Times New Roman" w:hint="default"/>
        </w:rPr>
        <w:t>2</w:t>
      </w:r>
      <w:r>
        <w:rPr/>
        <w:t>、债务重组</w:t>
      </w:r>
      <w:r>
        <w:rPr>
          <w:b w:val="0"/>
          <w:bCs w:val="0"/>
        </w:rPr>
      </w:r>
    </w:p>
    <w:p>
      <w:pPr>
        <w:spacing w:line="240" w:lineRule="auto" w:before="7"/>
        <w:rPr>
          <w:rFonts w:ascii="宋体" w:hAnsi="宋体" w:cs="宋体" w:eastAsia="宋体" w:hint="default"/>
          <w:b/>
          <w:bCs/>
          <w:sz w:val="32"/>
          <w:szCs w:val="32"/>
        </w:rPr>
      </w:pPr>
    </w:p>
    <w:p>
      <w:pPr>
        <w:pStyle w:val="BodyText"/>
        <w:spacing w:line="451" w:lineRule="auto"/>
        <w:ind w:right="1131" w:firstLine="360"/>
        <w:jc w:val="both"/>
      </w:pP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6</w:t>
      </w:r>
      <w:r>
        <w:rPr>
          <w:spacing w:val="-2"/>
        </w:rPr>
        <w:t>月至</w:t>
      </w:r>
      <w:r>
        <w:rPr>
          <w:rFonts w:ascii="Times New Roman" w:hAnsi="Times New Roman" w:cs="Times New Roman" w:eastAsia="Times New Roman" w:hint="default"/>
          <w:spacing w:val="-2"/>
        </w:rPr>
        <w:t>7</w:t>
      </w:r>
      <w:r>
        <w:rPr>
          <w:spacing w:val="-2"/>
        </w:rPr>
        <w:t>月，根据北京神州泰岳系统集成有限公司与冯涛、江苏致福电脑有限公司、江苏网联科技有限公司、江苏</w:t>
      </w:r>
      <w:r>
        <w:rPr/>
        <w:t> </w:t>
      </w:r>
      <w:r>
        <w:rPr>
          <w:spacing w:val="-2"/>
        </w:rPr>
        <w:t>安达数码科技有限公司、江苏北塔汇维软件技术服务有限公司（以下简称</w:t>
      </w:r>
      <w:r>
        <w:rPr>
          <w:rFonts w:ascii="Times New Roman" w:hAnsi="Times New Roman" w:cs="Times New Roman" w:eastAsia="Times New Roman" w:hint="default"/>
          <w:spacing w:val="-2"/>
        </w:rPr>
        <w:t>“</w:t>
      </w:r>
      <w:r>
        <w:rPr>
          <w:spacing w:val="-2"/>
        </w:rPr>
        <w:t>债务人</w:t>
      </w:r>
      <w:r>
        <w:rPr>
          <w:rFonts w:ascii="Times New Roman" w:hAnsi="Times New Roman" w:cs="Times New Roman" w:eastAsia="Times New Roman" w:hint="default"/>
          <w:spacing w:val="-2"/>
        </w:rPr>
        <w:t>”</w:t>
      </w:r>
      <w:r>
        <w:rPr>
          <w:spacing w:val="-2"/>
        </w:rPr>
        <w:t>）签署的和解协议及其变更协议，债务人</w:t>
      </w:r>
      <w:r>
        <w:rPr>
          <w:spacing w:val="-45"/>
        </w:rPr>
        <w:t> </w:t>
      </w:r>
      <w:r>
        <w:rPr>
          <w:spacing w:val="-45"/>
        </w:rPr>
      </w:r>
      <w:r>
        <w:rPr/>
        <w:t>以现金</w:t>
      </w:r>
      <w:r>
        <w:rPr>
          <w:rFonts w:ascii="Times New Roman" w:hAnsi="Times New Roman" w:cs="Times New Roman" w:eastAsia="Times New Roman" w:hint="default"/>
        </w:rPr>
        <w:t>839.65</w:t>
      </w:r>
      <w:r>
        <w:rPr/>
        <w:t>万元和南京</w:t>
      </w:r>
      <w:r>
        <w:rPr>
          <w:rFonts w:ascii="Times New Roman" w:hAnsi="Times New Roman" w:cs="Times New Roman" w:eastAsia="Times New Roman" w:hint="default"/>
        </w:rPr>
        <w:t>11</w:t>
      </w:r>
      <w:r>
        <w:rPr/>
        <w:t>套房产抵偿所欠应收款项</w:t>
      </w:r>
      <w:r>
        <w:rPr>
          <w:rFonts w:ascii="Times New Roman" w:hAnsi="Times New Roman" w:cs="Times New Roman" w:eastAsia="Times New Roman" w:hint="default"/>
        </w:rPr>
        <w:t>6,534.96</w:t>
      </w:r>
      <w:r>
        <w:rPr/>
        <w:t>万元，</w:t>
      </w:r>
      <w:r>
        <w:rPr>
          <w:rFonts w:ascii="Times New Roman" w:hAnsi="Times New Roman" w:cs="Times New Roman" w:eastAsia="Times New Roman" w:hint="default"/>
        </w:rPr>
        <w:t>11</w:t>
      </w:r>
      <w:r>
        <w:rPr/>
        <w:t>套房产公司以双方认可的第三方估值金额为基础确定</w:t>
      </w:r>
      <w:r>
        <w:rPr>
          <w:spacing w:val="-48"/>
        </w:rPr>
        <w:t> </w:t>
      </w:r>
      <w:r>
        <w:rPr>
          <w:spacing w:val="-48"/>
        </w:rPr>
      </w:r>
      <w:r>
        <w:rPr/>
        <w:t>入账价格为</w:t>
      </w:r>
      <w:r>
        <w:rPr>
          <w:rFonts w:ascii="Times New Roman" w:hAnsi="Times New Roman" w:cs="Times New Roman" w:eastAsia="Times New Roman" w:hint="default"/>
        </w:rPr>
        <w:t>5,858.00</w:t>
      </w:r>
      <w:r>
        <w:rPr/>
        <w:t>万元（含契税等），该笔债务重组公司无损失。</w:t>
      </w:r>
    </w:p>
    <w:p>
      <w:pPr>
        <w:spacing w:after="0" w:line="451" w:lineRule="auto"/>
        <w:jc w:val="both"/>
        <w:sectPr>
          <w:pgSz w:w="11910" w:h="16840"/>
          <w:pgMar w:header="851" w:footer="979" w:top="1400" w:bottom="1160" w:left="98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left="0" w:right="9457"/>
        <w:jc w:val="center"/>
        <w:rPr>
          <w:b w:val="0"/>
          <w:bCs w:val="0"/>
        </w:rPr>
      </w:pPr>
      <w:bookmarkStart w:name="3、资产置换" w:id="428"/>
      <w:bookmarkEnd w:id="428"/>
      <w:r>
        <w:rPr>
          <w:b w:val="0"/>
          <w:bCs w:val="0"/>
        </w:rPr>
      </w:r>
      <w:r>
        <w:rPr>
          <w:rFonts w:ascii="Times New Roman" w:hAnsi="Times New Roman" w:cs="Times New Roman" w:eastAsia="Times New Roman" w:hint="default"/>
        </w:rPr>
        <w:t>3</w:t>
      </w:r>
      <w:r>
        <w:rPr/>
        <w:t>、资产置换</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9536"/>
        <w:jc w:val="center"/>
      </w:pPr>
      <w:r>
        <w:rPr/>
        <w:t>无。</w:t>
      </w:r>
    </w:p>
    <w:p>
      <w:pPr>
        <w:spacing w:line="240" w:lineRule="auto" w:before="11"/>
        <w:rPr>
          <w:rFonts w:ascii="宋体" w:hAnsi="宋体" w:cs="宋体" w:eastAsia="宋体" w:hint="default"/>
          <w:sz w:val="26"/>
          <w:szCs w:val="26"/>
        </w:rPr>
      </w:pPr>
    </w:p>
    <w:p>
      <w:pPr>
        <w:pStyle w:val="Heading3"/>
        <w:spacing w:line="240" w:lineRule="auto"/>
        <w:ind w:left="0" w:right="9457"/>
        <w:jc w:val="center"/>
        <w:rPr>
          <w:b w:val="0"/>
          <w:bCs w:val="0"/>
        </w:rPr>
      </w:pPr>
      <w:bookmarkStart w:name="4、年金计划" w:id="429"/>
      <w:bookmarkEnd w:id="429"/>
      <w:r>
        <w:rPr>
          <w:b w:val="0"/>
          <w:bCs w:val="0"/>
        </w:rPr>
      </w:r>
      <w:r>
        <w:rPr>
          <w:rFonts w:ascii="Times New Roman" w:hAnsi="Times New Roman" w:cs="Times New Roman" w:eastAsia="Times New Roman" w:hint="default"/>
        </w:rPr>
        <w:t>4</w:t>
      </w:r>
      <w:r>
        <w:rPr/>
        <w:t>、年金计划</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9536"/>
        <w:jc w:val="center"/>
      </w:pPr>
      <w:r>
        <w:rPr/>
        <w:t>无。</w:t>
      </w:r>
    </w:p>
    <w:p>
      <w:pPr>
        <w:spacing w:line="240" w:lineRule="auto" w:before="11"/>
        <w:rPr>
          <w:rFonts w:ascii="宋体" w:hAnsi="宋体" w:cs="宋体" w:eastAsia="宋体" w:hint="default"/>
          <w:sz w:val="26"/>
          <w:szCs w:val="26"/>
        </w:rPr>
      </w:pPr>
    </w:p>
    <w:p>
      <w:pPr>
        <w:pStyle w:val="Heading3"/>
        <w:spacing w:line="240" w:lineRule="auto"/>
        <w:ind w:left="0" w:right="9457"/>
        <w:jc w:val="center"/>
        <w:rPr>
          <w:b w:val="0"/>
          <w:bCs w:val="0"/>
        </w:rPr>
      </w:pPr>
      <w:bookmarkStart w:name="5、终止经营" w:id="430"/>
      <w:bookmarkEnd w:id="430"/>
      <w:r>
        <w:rPr>
          <w:b w:val="0"/>
          <w:bCs w:val="0"/>
        </w:rPr>
      </w:r>
      <w:r>
        <w:rPr>
          <w:rFonts w:ascii="Times New Roman" w:hAnsi="Times New Roman" w:cs="Times New Roman" w:eastAsia="Times New Roman" w:hint="default"/>
        </w:rPr>
        <w:t>5</w:t>
      </w:r>
      <w:r>
        <w:rPr/>
        <w:t>、终止经营</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9536"/>
        <w:jc w:val="center"/>
      </w:pPr>
      <w:r>
        <w:rPr/>
        <w:t>无。</w:t>
      </w:r>
    </w:p>
    <w:p>
      <w:pPr>
        <w:spacing w:line="240" w:lineRule="auto" w:before="11"/>
        <w:rPr>
          <w:rFonts w:ascii="宋体" w:hAnsi="宋体" w:cs="宋体" w:eastAsia="宋体" w:hint="default"/>
          <w:sz w:val="26"/>
          <w:szCs w:val="26"/>
        </w:rPr>
      </w:pPr>
    </w:p>
    <w:p>
      <w:pPr>
        <w:pStyle w:val="Heading3"/>
        <w:spacing w:line="240" w:lineRule="auto"/>
        <w:ind w:left="0" w:right="9457"/>
        <w:jc w:val="center"/>
        <w:rPr>
          <w:b w:val="0"/>
          <w:bCs w:val="0"/>
        </w:rPr>
      </w:pPr>
      <w:bookmarkStart w:name="6、分部信息" w:id="431"/>
      <w:bookmarkEnd w:id="431"/>
      <w:r>
        <w:rPr>
          <w:b w:val="0"/>
          <w:bCs w:val="0"/>
        </w:rPr>
      </w:r>
      <w:r>
        <w:rPr>
          <w:rFonts w:ascii="Times New Roman" w:hAnsi="Times New Roman" w:cs="Times New Roman" w:eastAsia="Times New Roman" w:hint="default"/>
        </w:rPr>
        <w:t>6</w:t>
      </w:r>
      <w:r>
        <w:rPr/>
        <w:t>、分部信息</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报告分部的确定依据与会计政策" w:id="432"/>
      <w:bookmarkEnd w:id="432"/>
      <w:r>
        <w:rPr>
          <w:b w:val="0"/>
          <w:bCs w:val="0"/>
        </w:rPr>
      </w:r>
      <w:r>
        <w:rPr/>
        <w:t>（</w:t>
      </w:r>
      <w:r>
        <w:rPr>
          <w:rFonts w:ascii="Times New Roman" w:hAnsi="Times New Roman" w:cs="Times New Roman" w:eastAsia="Times New Roman" w:hint="default"/>
        </w:rPr>
        <w:t>1</w:t>
      </w:r>
      <w:r>
        <w:rPr/>
        <w:t>）报告分部的确定依据与会计政策</w:t>
      </w:r>
      <w:r>
        <w:rPr>
          <w:b w:val="0"/>
          <w:bCs w:val="0"/>
        </w:rPr>
      </w:r>
    </w:p>
    <w:p>
      <w:pPr>
        <w:spacing w:line="240" w:lineRule="auto" w:before="0"/>
        <w:rPr>
          <w:rFonts w:ascii="宋体" w:hAnsi="宋体" w:cs="宋体" w:eastAsia="宋体" w:hint="default"/>
          <w:b/>
          <w:bCs/>
          <w:sz w:val="22"/>
          <w:szCs w:val="22"/>
        </w:rPr>
      </w:pPr>
    </w:p>
    <w:p>
      <w:pPr>
        <w:pStyle w:val="BodyText"/>
        <w:spacing w:line="408" w:lineRule="auto" w:before="185"/>
        <w:ind w:right="1129" w:firstLine="360"/>
        <w:jc w:val="both"/>
      </w:pPr>
      <w:r>
        <w:rPr/>
        <w:t>根据本公司的内部组织结构、管理要求及内部报告制度确定了</w:t>
      </w:r>
      <w:r>
        <w:rPr>
          <w:spacing w:val="-45"/>
        </w:rPr>
        <w:t> </w:t>
      </w:r>
      <w:r>
        <w:rPr>
          <w:rFonts w:ascii="宋体" w:hAnsi="宋体" w:cs="宋体" w:eastAsia="宋体" w:hint="default"/>
        </w:rPr>
        <w:t>4</w:t>
      </w:r>
      <w:r>
        <w:rPr>
          <w:rFonts w:ascii="宋体" w:hAnsi="宋体" w:cs="宋体" w:eastAsia="宋体" w:hint="default"/>
          <w:spacing w:val="-46"/>
        </w:rPr>
        <w:t> </w:t>
      </w:r>
      <w:r>
        <w:rPr/>
        <w:t>个报告分部，分别为（</w:t>
      </w:r>
      <w:r>
        <w:rPr>
          <w:rFonts w:ascii="宋体" w:hAnsi="宋体" w:cs="宋体" w:eastAsia="宋体" w:hint="default"/>
        </w:rPr>
        <w:t>1</w:t>
      </w:r>
      <w:r>
        <w:rPr/>
        <w:t>）</w:t>
      </w:r>
      <w:r>
        <w:rPr>
          <w:rFonts w:ascii="宋体" w:hAnsi="宋体" w:cs="宋体" w:eastAsia="宋体" w:hint="default"/>
        </w:rPr>
        <w:t>AI/ICT</w:t>
      </w:r>
      <w:r>
        <w:rPr>
          <w:rFonts w:ascii="宋体" w:hAnsi="宋体" w:cs="宋体" w:eastAsia="宋体" w:hint="default"/>
          <w:spacing w:val="-46"/>
        </w:rPr>
        <w:t> </w:t>
      </w:r>
      <w:r>
        <w:rPr/>
        <w:t>运营管理（</w:t>
      </w:r>
      <w:r>
        <w:rPr>
          <w:rFonts w:ascii="宋体" w:hAnsi="宋体" w:cs="宋体" w:eastAsia="宋体" w:hint="default"/>
        </w:rPr>
        <w:t>ICT</w:t>
      </w:r>
      <w:r>
        <w:rPr>
          <w:rFonts w:ascii="宋体" w:hAnsi="宋体" w:cs="宋体" w:eastAsia="宋体" w:hint="default"/>
          <w:spacing w:val="-46"/>
        </w:rPr>
        <w:t> </w:t>
      </w:r>
      <w:r>
        <w:rPr/>
        <w:t>解决 </w:t>
      </w:r>
      <w:r>
        <w:rPr>
          <w:spacing w:val="-4"/>
        </w:rPr>
        <w:t>方案、系统集成、移动互联网运营、人工智能与大数据、拨测）（</w:t>
      </w:r>
      <w:r>
        <w:rPr>
          <w:rFonts w:ascii="宋体" w:hAnsi="宋体" w:cs="宋体" w:eastAsia="宋体" w:hint="default"/>
          <w:spacing w:val="-4"/>
        </w:rPr>
        <w:t>2</w:t>
      </w:r>
      <w:r>
        <w:rPr>
          <w:spacing w:val="-4"/>
        </w:rPr>
        <w:t>）手机游戏（</w:t>
      </w:r>
      <w:r>
        <w:rPr>
          <w:rFonts w:ascii="宋体" w:hAnsi="宋体" w:cs="宋体" w:eastAsia="宋体" w:hint="default"/>
          <w:spacing w:val="-4"/>
        </w:rPr>
        <w:t>3</w:t>
      </w:r>
      <w:r>
        <w:rPr>
          <w:spacing w:val="-4"/>
        </w:rPr>
        <w:t>）物联网通信（</w:t>
      </w:r>
      <w:r>
        <w:rPr>
          <w:rFonts w:ascii="宋体" w:hAnsi="宋体" w:cs="宋体" w:eastAsia="宋体" w:hint="default"/>
          <w:spacing w:val="-4"/>
        </w:rPr>
        <w:t>4</w:t>
      </w:r>
      <w:r>
        <w:rPr>
          <w:spacing w:val="-4"/>
        </w:rPr>
        <w:t>）创新业务。本公司的各</w:t>
      </w:r>
      <w:r>
        <w:rPr>
          <w:spacing w:val="-45"/>
        </w:rPr>
        <w:t> </w:t>
      </w:r>
      <w:r>
        <w:rPr>
          <w:spacing w:val="-45"/>
        </w:rPr>
      </w:r>
      <w:r>
        <w:rPr>
          <w:spacing w:val="-2"/>
        </w:rPr>
        <w:t>个报告分部分别提供不同的产品或服务。由于每个分部需要不同的技术或市场策略，本公司管理层分别单独管理各个报告分</w:t>
      </w:r>
      <w:r>
        <w:rPr>
          <w:spacing w:val="-64"/>
        </w:rPr>
        <w:t> </w:t>
      </w:r>
      <w:r>
        <w:rPr>
          <w:spacing w:val="-64"/>
        </w:rPr>
      </w:r>
      <w:r>
        <w:rPr/>
        <w:t>部的经营活动，定期评价这些报告分部的经营成果，以决定向其分配资源及评价其业绩。</w:t>
      </w:r>
    </w:p>
    <w:p>
      <w:pPr>
        <w:pStyle w:val="BodyText"/>
        <w:spacing w:line="408" w:lineRule="auto" w:before="38"/>
        <w:ind w:right="1130" w:firstLine="360"/>
        <w:jc w:val="both"/>
      </w:pPr>
      <w:r>
        <w:rPr>
          <w:spacing w:val="-2"/>
        </w:rPr>
        <w:t>分部报告信息根据各分部向管理层报告时采用的会计政策及计量标准披露，这些计量基础与编制财务报表时的会计与计</w:t>
      </w:r>
      <w:r>
        <w:rPr/>
        <w:t> 量基础保持一致。</w:t>
      </w:r>
    </w:p>
    <w:p>
      <w:pPr>
        <w:spacing w:line="240" w:lineRule="auto" w:before="6"/>
        <w:rPr>
          <w:rFonts w:ascii="宋体" w:hAnsi="宋体" w:cs="宋体" w:eastAsia="宋体" w:hint="default"/>
          <w:sz w:val="14"/>
          <w:szCs w:val="14"/>
        </w:rPr>
      </w:pPr>
    </w:p>
    <w:p>
      <w:pPr>
        <w:pStyle w:val="Heading3"/>
        <w:spacing w:line="240" w:lineRule="auto"/>
        <w:ind w:right="0"/>
        <w:jc w:val="left"/>
        <w:rPr>
          <w:b w:val="0"/>
          <w:bCs w:val="0"/>
        </w:rPr>
      </w:pPr>
      <w:bookmarkStart w:name="（2）报告分部的财务信息" w:id="433"/>
      <w:bookmarkEnd w:id="433"/>
      <w:r>
        <w:rPr>
          <w:b w:val="0"/>
          <w:bCs w:val="0"/>
        </w:rPr>
      </w:r>
      <w:r>
        <w:rPr/>
        <w:t>（</w:t>
      </w:r>
      <w:r>
        <w:rPr>
          <w:rFonts w:ascii="Times New Roman" w:hAnsi="Times New Roman" w:cs="Times New Roman" w:eastAsia="Times New Roman" w:hint="default"/>
        </w:rPr>
        <w:t>2</w:t>
      </w:r>
      <w:r>
        <w:rPr/>
        <w:t>）报告分部的财务信息</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344"/>
        <w:gridCol w:w="1378"/>
        <w:gridCol w:w="1368"/>
        <w:gridCol w:w="1367"/>
        <w:gridCol w:w="1367"/>
        <w:gridCol w:w="1367"/>
        <w:gridCol w:w="1367"/>
      </w:tblGrid>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9"/>
              <w:jc w:val="right"/>
              <w:rPr>
                <w:rFonts w:ascii="宋体" w:hAnsi="宋体" w:cs="宋体" w:eastAsia="宋体" w:hint="default"/>
                <w:sz w:val="18"/>
                <w:szCs w:val="18"/>
              </w:rPr>
            </w:pPr>
            <w:r>
              <w:rPr>
                <w:rFonts w:ascii="Times New Roman" w:hAnsi="Times New Roman" w:cs="Times New Roman" w:eastAsia="Times New Roman" w:hint="default"/>
                <w:sz w:val="18"/>
                <w:szCs w:val="18"/>
              </w:rPr>
              <w:t>AI/ICT</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运营管理</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游戏</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物联网</w:t>
            </w:r>
            <w:r>
              <w:rPr>
                <w:rFonts w:ascii="Times New Roman" w:hAnsi="Times New Roman" w:cs="Times New Roman" w:eastAsia="Times New Roman" w:hint="default"/>
                <w:sz w:val="18"/>
                <w:szCs w:val="18"/>
              </w:rPr>
              <w:t>/</w:t>
            </w:r>
            <w:r>
              <w:rPr>
                <w:rFonts w:ascii="宋体" w:hAnsi="宋体" w:cs="宋体" w:eastAsia="宋体" w:hint="default"/>
                <w:sz w:val="18"/>
                <w:szCs w:val="18"/>
              </w:rPr>
              <w:t>通讯</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创新服务</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8" w:right="0"/>
              <w:jc w:val="left"/>
              <w:rPr>
                <w:rFonts w:ascii="宋体" w:hAnsi="宋体" w:cs="宋体" w:eastAsia="宋体" w:hint="default"/>
                <w:sz w:val="18"/>
                <w:szCs w:val="18"/>
              </w:rPr>
            </w:pPr>
            <w:r>
              <w:rPr>
                <w:rFonts w:ascii="宋体" w:hAnsi="宋体" w:cs="宋体" w:eastAsia="宋体" w:hint="default"/>
                <w:sz w:val="18"/>
                <w:szCs w:val="18"/>
              </w:rPr>
              <w:t>分部间抵销</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61"/>
              <w:jc w:val="left"/>
              <w:rPr>
                <w:rFonts w:ascii="宋体" w:hAnsi="宋体" w:cs="宋体" w:eastAsia="宋体" w:hint="default"/>
                <w:sz w:val="18"/>
                <w:szCs w:val="18"/>
              </w:rPr>
            </w:pPr>
            <w:r>
              <w:rPr>
                <w:rFonts w:ascii="宋体" w:hAnsi="宋体" w:cs="宋体" w:eastAsia="宋体" w:hint="default"/>
                <w:sz w:val="18"/>
                <w:szCs w:val="18"/>
              </w:rPr>
              <w:t>一、对外交易营 业收入</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1,132,814,218.19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613,490,628.05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81,381,327.21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154,384,913.83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1,982,071,087.28</w:t>
            </w: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61" w:firstLine="360"/>
              <w:jc w:val="left"/>
              <w:rPr>
                <w:rFonts w:ascii="宋体" w:hAnsi="宋体" w:cs="宋体" w:eastAsia="宋体" w:hint="default"/>
                <w:sz w:val="18"/>
                <w:szCs w:val="18"/>
              </w:rPr>
            </w:pPr>
            <w:r>
              <w:rPr>
                <w:rFonts w:ascii="宋体" w:hAnsi="宋体" w:cs="宋体" w:eastAsia="宋体" w:hint="default"/>
                <w:sz w:val="18"/>
                <w:szCs w:val="18"/>
              </w:rPr>
              <w:t>分部间交易 营业收入</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13,459,365.95</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8,130,567.94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3,199,177.49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left="313" w:right="0"/>
              <w:jc w:val="left"/>
              <w:rPr>
                <w:rFonts w:ascii="Times New Roman" w:hAnsi="Times New Roman" w:cs="Times New Roman" w:eastAsia="Times New Roman" w:hint="default"/>
                <w:sz w:val="18"/>
                <w:szCs w:val="18"/>
              </w:rPr>
            </w:pPr>
            <w:r>
              <w:rPr>
                <w:rFonts w:ascii="Times New Roman"/>
                <w:sz w:val="18"/>
              </w:rPr>
              <w:t>24,789,111.38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61"/>
              <w:jc w:val="left"/>
              <w:rPr>
                <w:rFonts w:ascii="宋体" w:hAnsi="宋体" w:cs="宋体" w:eastAsia="宋体" w:hint="default"/>
                <w:sz w:val="18"/>
                <w:szCs w:val="18"/>
              </w:rPr>
            </w:pPr>
            <w:r>
              <w:rPr>
                <w:rFonts w:ascii="宋体" w:hAnsi="宋体" w:cs="宋体" w:eastAsia="宋体" w:hint="default"/>
                <w:sz w:val="18"/>
                <w:szCs w:val="18"/>
              </w:rPr>
              <w:t>二、对外交易营 业成本</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401,182,728.08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76,104,256.93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17,561,668.79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77,813,934.31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572,662,588.11</w:t>
            </w: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61" w:firstLine="360"/>
              <w:jc w:val="left"/>
              <w:rPr>
                <w:rFonts w:ascii="宋体" w:hAnsi="宋体" w:cs="宋体" w:eastAsia="宋体" w:hint="default"/>
                <w:sz w:val="18"/>
                <w:szCs w:val="18"/>
              </w:rPr>
            </w:pPr>
            <w:r>
              <w:rPr>
                <w:rFonts w:ascii="宋体" w:hAnsi="宋体" w:cs="宋体" w:eastAsia="宋体" w:hint="default"/>
                <w:sz w:val="18"/>
                <w:szCs w:val="18"/>
              </w:rPr>
              <w:t>分部间交易 营业成本</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11,502,159.22</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13,248,987.95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left="300" w:right="0"/>
              <w:jc w:val="left"/>
              <w:rPr>
                <w:rFonts w:ascii="Times New Roman" w:hAnsi="Times New Roman" w:cs="Times New Roman" w:eastAsia="Times New Roman" w:hint="default"/>
                <w:sz w:val="18"/>
                <w:szCs w:val="18"/>
              </w:rPr>
            </w:pPr>
            <w:r>
              <w:rPr>
                <w:rFonts w:ascii="Times New Roman"/>
                <w:sz w:val="18"/>
              </w:rPr>
              <w:t>24,751,147.17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7、其他对投资者决策有影响的重要交易和事项" w:id="434"/>
      <w:bookmarkEnd w:id="434"/>
      <w:r>
        <w:rPr>
          <w:b w:val="0"/>
          <w:bCs w:val="0"/>
        </w:rPr>
      </w:r>
      <w:r>
        <w:rPr>
          <w:rFonts w:ascii="Times New Roman" w:hAnsi="Times New Roman" w:cs="Times New Roman" w:eastAsia="Times New Roman" w:hint="default"/>
        </w:rPr>
        <w:t>7</w:t>
      </w:r>
      <w:r>
        <w:rPr/>
        <w:t>、其他对投资者决策有影响的重要交易和事项</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14" w:right="0"/>
        <w:jc w:val="left"/>
      </w:pPr>
      <w:r>
        <w:rPr/>
        <w:t>无。</w:t>
      </w:r>
    </w:p>
    <w:p>
      <w:pPr>
        <w:spacing w:after="0" w:line="240" w:lineRule="auto"/>
        <w:jc w:val="left"/>
        <w:sectPr>
          <w:pgSz w:w="11910" w:h="16840"/>
          <w:pgMar w:header="851" w:footer="979" w:top="1400" w:bottom="1160" w:left="980" w:right="0"/>
        </w:sectPr>
      </w:pPr>
    </w:p>
    <w:p>
      <w:pPr>
        <w:spacing w:line="240" w:lineRule="auto" w:before="11"/>
        <w:rPr>
          <w:rFonts w:ascii="宋体" w:hAnsi="宋体" w:cs="宋体" w:eastAsia="宋体" w:hint="default"/>
          <w:sz w:val="2"/>
          <w:szCs w:val="2"/>
        </w:rPr>
      </w:pPr>
    </w:p>
    <w:p>
      <w:pPr>
        <w:spacing w:line="20" w:lineRule="exact"/>
        <w:ind w:left="17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left="214" w:right="1753"/>
        <w:jc w:val="left"/>
        <w:rPr>
          <w:b w:val="0"/>
          <w:bCs w:val="0"/>
        </w:rPr>
      </w:pPr>
      <w:bookmarkStart w:name="8、其他" w:id="435"/>
      <w:bookmarkEnd w:id="435"/>
      <w:r>
        <w:rPr>
          <w:b w:val="0"/>
          <w:bCs w:val="0"/>
        </w:rPr>
      </w:r>
      <w:r>
        <w:rPr>
          <w:rFonts w:ascii="Times New Roman" w:hAnsi="Times New Roman" w:cs="Times New Roman" w:eastAsia="Times New Roman" w:hint="default"/>
        </w:rPr>
        <w:t>8</w:t>
      </w:r>
      <w:r>
        <w:rPr/>
        <w:t>、其他</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74" w:right="1753"/>
        <w:jc w:val="left"/>
      </w:pPr>
      <w:r>
        <w:rPr/>
        <w:t>重大诉讼：</w:t>
      </w:r>
    </w:p>
    <w:p>
      <w:pPr>
        <w:spacing w:line="240" w:lineRule="auto" w:before="1"/>
        <w:rPr>
          <w:rFonts w:ascii="宋体" w:hAnsi="宋体" w:cs="宋体" w:eastAsia="宋体" w:hint="default"/>
          <w:sz w:val="8"/>
          <w:szCs w:val="8"/>
        </w:rPr>
      </w:pPr>
    </w:p>
    <w:tbl>
      <w:tblPr>
        <w:tblW w:w="0" w:type="auto"/>
        <w:jc w:val="left"/>
        <w:tblInd w:w="101" w:type="dxa"/>
        <w:tblLayout w:type="fixed"/>
        <w:tblCellMar>
          <w:top w:w="0" w:type="dxa"/>
          <w:left w:w="0" w:type="dxa"/>
          <w:bottom w:w="0" w:type="dxa"/>
          <w:right w:w="0" w:type="dxa"/>
        </w:tblCellMar>
        <w:tblLook w:val="01E0"/>
      </w:tblPr>
      <w:tblGrid>
        <w:gridCol w:w="4306"/>
        <w:gridCol w:w="924"/>
        <w:gridCol w:w="974"/>
        <w:gridCol w:w="994"/>
        <w:gridCol w:w="1415"/>
        <w:gridCol w:w="1242"/>
      </w:tblGrid>
      <w:tr>
        <w:trPr>
          <w:trHeight w:val="930" w:hRule="exact"/>
        </w:trPr>
        <w:tc>
          <w:tcPr>
            <w:tcW w:w="43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2"/>
              <w:ind w:left="1366" w:right="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基本情况</w:t>
            </w:r>
          </w:p>
        </w:tc>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94" w:right="0"/>
              <w:jc w:val="left"/>
              <w:rPr>
                <w:rFonts w:ascii="宋体" w:hAnsi="宋体" w:cs="宋体" w:eastAsia="宋体" w:hint="default"/>
                <w:sz w:val="18"/>
                <w:szCs w:val="18"/>
              </w:rPr>
            </w:pPr>
            <w:r>
              <w:rPr>
                <w:rFonts w:ascii="宋体" w:hAnsi="宋体" w:cs="宋体" w:eastAsia="宋体" w:hint="default"/>
                <w:sz w:val="18"/>
                <w:szCs w:val="18"/>
              </w:rPr>
              <w:t>涉案金额</w:t>
            </w: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94"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9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400" w:lineRule="atLeast" w:before="32"/>
              <w:ind w:left="119" w:right="122"/>
              <w:jc w:val="left"/>
              <w:rPr>
                <w:rFonts w:ascii="宋体" w:hAnsi="宋体" w:cs="宋体" w:eastAsia="宋体" w:hint="default"/>
                <w:sz w:val="18"/>
                <w:szCs w:val="18"/>
              </w:rPr>
            </w:pPr>
            <w:r>
              <w:rPr>
                <w:rFonts w:ascii="宋体" w:hAnsi="宋体" w:cs="宋体" w:eastAsia="宋体" w:hint="default"/>
                <w:sz w:val="18"/>
                <w:szCs w:val="18"/>
              </w:rPr>
              <w:t>是否形成 预计负债</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5"/>
                <w:szCs w:val="15"/>
              </w:rPr>
            </w:pPr>
          </w:p>
          <w:p>
            <w:pPr>
              <w:pStyle w:val="TableParagraph"/>
              <w:spacing w:line="384" w:lineRule="auto"/>
              <w:ind w:left="309" w:right="72" w:hanging="24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 </w:t>
            </w:r>
            <w:r>
              <w:rPr>
                <w:rFonts w:ascii="宋体" w:hAnsi="宋体" w:cs="宋体" w:eastAsia="宋体" w:hint="default"/>
                <w:sz w:val="18"/>
                <w:szCs w:val="18"/>
              </w:rPr>
              <w:t>进展</w:t>
            </w:r>
          </w:p>
        </w:tc>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5"/>
                <w:szCs w:val="15"/>
              </w:rPr>
            </w:pPr>
          </w:p>
          <w:p>
            <w:pPr>
              <w:pStyle w:val="TableParagraph"/>
              <w:spacing w:line="384" w:lineRule="auto"/>
              <w:ind w:left="249" w:right="103" w:hanging="15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审理 结果及影响</w:t>
            </w:r>
          </w:p>
        </w:tc>
        <w:tc>
          <w:tcPr>
            <w:tcW w:w="1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5"/>
                <w:szCs w:val="15"/>
              </w:rPr>
            </w:pPr>
          </w:p>
          <w:p>
            <w:pPr>
              <w:pStyle w:val="TableParagraph"/>
              <w:spacing w:line="384" w:lineRule="auto"/>
              <w:ind w:left="164" w:right="107" w:hanging="6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判 决执行情况</w:t>
            </w:r>
          </w:p>
        </w:tc>
      </w:tr>
      <w:tr>
        <w:trPr>
          <w:trHeight w:val="1690"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408" w:lineRule="auto" w:before="141"/>
              <w:ind w:left="56" w:right="61"/>
              <w:jc w:val="both"/>
              <w:rPr>
                <w:rFonts w:ascii="宋体" w:hAnsi="宋体" w:cs="宋体" w:eastAsia="宋体" w:hint="default"/>
                <w:sz w:val="18"/>
                <w:szCs w:val="18"/>
              </w:rPr>
            </w:pPr>
            <w:r>
              <w:rPr>
                <w:rFonts w:ascii="宋体" w:hAnsi="宋体" w:cs="宋体" w:eastAsia="宋体" w:hint="default"/>
                <w:sz w:val="18"/>
                <w:szCs w:val="18"/>
              </w:rPr>
              <w:t>全资子公司北京神州泰岳系统集成有限公司起诉大唐</w:t>
            </w:r>
            <w:r>
              <w:rPr>
                <w:rFonts w:ascii="宋体" w:hAnsi="宋体" w:cs="宋体" w:eastAsia="宋体" w:hint="default"/>
                <w:spacing w:val="-57"/>
                <w:sz w:val="18"/>
                <w:szCs w:val="18"/>
              </w:rPr>
              <w:t> </w:t>
            </w:r>
            <w:r>
              <w:rPr>
                <w:rFonts w:ascii="宋体" w:hAnsi="宋体" w:cs="宋体" w:eastAsia="宋体" w:hint="default"/>
                <w:spacing w:val="-57"/>
                <w:sz w:val="18"/>
                <w:szCs w:val="18"/>
              </w:rPr>
            </w:r>
            <w:r>
              <w:rPr>
                <w:rFonts w:ascii="宋体" w:hAnsi="宋体" w:cs="宋体" w:eastAsia="宋体" w:hint="default"/>
                <w:sz w:val="18"/>
                <w:szCs w:val="18"/>
              </w:rPr>
              <w:t>半导体设计有限公司，要求其支付合同款项并支付相</w:t>
            </w:r>
            <w:r>
              <w:rPr>
                <w:rFonts w:ascii="宋体" w:hAnsi="宋体" w:cs="宋体" w:eastAsia="宋体" w:hint="default"/>
                <w:spacing w:val="-57"/>
                <w:sz w:val="18"/>
                <w:szCs w:val="18"/>
              </w:rPr>
              <w:t> </w:t>
            </w:r>
            <w:r>
              <w:rPr>
                <w:rFonts w:ascii="宋体" w:hAnsi="宋体" w:cs="宋体" w:eastAsia="宋体" w:hint="default"/>
                <w:spacing w:val="-57"/>
                <w:sz w:val="18"/>
                <w:szCs w:val="18"/>
              </w:rPr>
            </w:r>
            <w:r>
              <w:rPr>
                <w:rFonts w:ascii="宋体" w:hAnsi="宋体" w:cs="宋体" w:eastAsia="宋体" w:hint="default"/>
                <w:sz w:val="18"/>
                <w:szCs w:val="18"/>
              </w:rPr>
              <w:t>应违约金</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75" w:right="0"/>
              <w:jc w:val="center"/>
              <w:rPr>
                <w:rFonts w:ascii="Times New Roman" w:hAnsi="Times New Roman" w:cs="Times New Roman" w:eastAsia="Times New Roman" w:hint="default"/>
                <w:sz w:val="18"/>
                <w:szCs w:val="18"/>
              </w:rPr>
            </w:pPr>
            <w:r>
              <w:rPr>
                <w:rFonts w:ascii="Times New Roman"/>
                <w:sz w:val="18"/>
              </w:rPr>
              <w:t>32,046.01</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否</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5"/>
                <w:szCs w:val="25"/>
              </w:rPr>
            </w:pPr>
          </w:p>
          <w:p>
            <w:pPr>
              <w:pStyle w:val="TableParagraph"/>
              <w:spacing w:line="408" w:lineRule="auto"/>
              <w:ind w:left="399" w:right="132" w:hanging="270"/>
              <w:jc w:val="left"/>
              <w:rPr>
                <w:rFonts w:ascii="宋体" w:hAnsi="宋体" w:cs="宋体" w:eastAsia="宋体" w:hint="default"/>
                <w:sz w:val="18"/>
                <w:szCs w:val="18"/>
              </w:rPr>
            </w:pPr>
            <w:r>
              <w:rPr>
                <w:rFonts w:ascii="宋体" w:hAnsi="宋体" w:cs="宋体" w:eastAsia="宋体" w:hint="default"/>
                <w:sz w:val="18"/>
                <w:szCs w:val="18"/>
              </w:rPr>
              <w:t>再审申请 中</w:t>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408" w:lineRule="auto"/>
              <w:ind w:left="55" w:right="54"/>
              <w:jc w:val="both"/>
              <w:rPr>
                <w:rFonts w:ascii="宋体" w:hAnsi="宋体" w:cs="宋体" w:eastAsia="宋体" w:hint="default"/>
                <w:sz w:val="18"/>
                <w:szCs w:val="18"/>
              </w:rPr>
            </w:pPr>
            <w:r>
              <w:rPr>
                <w:rFonts w:ascii="宋体" w:hAnsi="宋体" w:cs="宋体" w:eastAsia="宋体" w:hint="default"/>
                <w:spacing w:val="4"/>
                <w:sz w:val="18"/>
                <w:szCs w:val="18"/>
              </w:rPr>
              <w:t>北京市高级人民 法院受理中，对 公司的影响存在</w:t>
            </w:r>
            <w:r>
              <w:rPr>
                <w:rFonts w:ascii="宋体" w:hAnsi="宋体" w:cs="宋体" w:eastAsia="宋体" w:hint="default"/>
                <w:sz w:val="18"/>
                <w:szCs w:val="18"/>
              </w:rPr>
            </w:r>
          </w:p>
          <w:p>
            <w:pPr>
              <w:pStyle w:val="TableParagraph"/>
              <w:spacing w:line="240" w:lineRule="auto" w:before="38"/>
              <w:ind w:left="55" w:right="0"/>
              <w:jc w:val="both"/>
              <w:rPr>
                <w:rFonts w:ascii="宋体" w:hAnsi="宋体" w:cs="宋体" w:eastAsia="宋体" w:hint="default"/>
                <w:sz w:val="18"/>
                <w:szCs w:val="18"/>
              </w:rPr>
            </w:pPr>
            <w:r>
              <w:rPr>
                <w:rFonts w:ascii="宋体" w:hAnsi="宋体" w:cs="宋体" w:eastAsia="宋体" w:hint="default"/>
                <w:sz w:val="18"/>
                <w:szCs w:val="18"/>
              </w:rPr>
              <w:t>不确定性</w:t>
            </w:r>
          </w:p>
        </w:tc>
        <w:tc>
          <w:tcPr>
            <w:tcW w:w="1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目前尚未判决</w:t>
            </w:r>
          </w:p>
        </w:tc>
      </w:tr>
      <w:tr>
        <w:trPr>
          <w:trHeight w:val="1691" w:hRule="exact"/>
        </w:trPr>
        <w:tc>
          <w:tcPr>
            <w:tcW w:w="4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408" w:lineRule="auto" w:before="141"/>
              <w:ind w:left="56" w:right="61"/>
              <w:jc w:val="both"/>
              <w:rPr>
                <w:rFonts w:ascii="宋体" w:hAnsi="宋体" w:cs="宋体" w:eastAsia="宋体" w:hint="default"/>
                <w:sz w:val="18"/>
                <w:szCs w:val="18"/>
              </w:rPr>
            </w:pPr>
            <w:r>
              <w:rPr>
                <w:rFonts w:ascii="宋体" w:hAnsi="宋体" w:cs="宋体" w:eastAsia="宋体" w:hint="default"/>
                <w:sz w:val="18"/>
                <w:szCs w:val="18"/>
              </w:rPr>
              <w:t>全资子公司北京神州泰岳系统集成有限公司起诉大唐</w:t>
            </w:r>
            <w:r>
              <w:rPr>
                <w:rFonts w:ascii="宋体" w:hAnsi="宋体" w:cs="宋体" w:eastAsia="宋体" w:hint="default"/>
                <w:spacing w:val="-57"/>
                <w:sz w:val="18"/>
                <w:szCs w:val="18"/>
              </w:rPr>
              <w:t> </w:t>
            </w:r>
            <w:r>
              <w:rPr>
                <w:rFonts w:ascii="宋体" w:hAnsi="宋体" w:cs="宋体" w:eastAsia="宋体" w:hint="default"/>
                <w:spacing w:val="-57"/>
                <w:sz w:val="18"/>
                <w:szCs w:val="18"/>
              </w:rPr>
            </w:r>
            <w:r>
              <w:rPr>
                <w:rFonts w:ascii="宋体" w:hAnsi="宋体" w:cs="宋体" w:eastAsia="宋体" w:hint="default"/>
                <w:sz w:val="18"/>
                <w:szCs w:val="18"/>
              </w:rPr>
              <w:t>微电子技术有限公司，要求其支付合同款项并支付相</w:t>
            </w:r>
            <w:r>
              <w:rPr>
                <w:rFonts w:ascii="宋体" w:hAnsi="宋体" w:cs="宋体" w:eastAsia="宋体" w:hint="default"/>
                <w:spacing w:val="-57"/>
                <w:sz w:val="18"/>
                <w:szCs w:val="18"/>
              </w:rPr>
              <w:t> </w:t>
            </w:r>
            <w:r>
              <w:rPr>
                <w:rFonts w:ascii="宋体" w:hAnsi="宋体" w:cs="宋体" w:eastAsia="宋体" w:hint="default"/>
                <w:spacing w:val="-57"/>
                <w:sz w:val="18"/>
                <w:szCs w:val="18"/>
              </w:rPr>
            </w:r>
            <w:r>
              <w:rPr>
                <w:rFonts w:ascii="宋体" w:hAnsi="宋体" w:cs="宋体" w:eastAsia="宋体" w:hint="default"/>
                <w:sz w:val="18"/>
                <w:szCs w:val="18"/>
              </w:rPr>
              <w:t>应违约金</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75" w:right="0"/>
              <w:jc w:val="center"/>
              <w:rPr>
                <w:rFonts w:ascii="Times New Roman" w:hAnsi="Times New Roman" w:cs="Times New Roman" w:eastAsia="Times New Roman" w:hint="default"/>
                <w:sz w:val="18"/>
                <w:szCs w:val="18"/>
              </w:rPr>
            </w:pPr>
            <w:r>
              <w:rPr>
                <w:rFonts w:ascii="Times New Roman"/>
                <w:sz w:val="18"/>
              </w:rPr>
              <w:t>10,434.36</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否</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6"/>
                <w:szCs w:val="26"/>
              </w:rPr>
            </w:pPr>
          </w:p>
          <w:p>
            <w:pPr>
              <w:pStyle w:val="TableParagraph"/>
              <w:spacing w:line="408" w:lineRule="auto"/>
              <w:ind w:left="399" w:right="132" w:hanging="270"/>
              <w:jc w:val="left"/>
              <w:rPr>
                <w:rFonts w:ascii="宋体" w:hAnsi="宋体" w:cs="宋体" w:eastAsia="宋体" w:hint="default"/>
                <w:sz w:val="18"/>
                <w:szCs w:val="18"/>
              </w:rPr>
            </w:pPr>
            <w:r>
              <w:rPr>
                <w:rFonts w:ascii="宋体" w:hAnsi="宋体" w:cs="宋体" w:eastAsia="宋体" w:hint="default"/>
                <w:sz w:val="18"/>
                <w:szCs w:val="18"/>
              </w:rPr>
              <w:t>再审申请 中</w:t>
            </w:r>
          </w:p>
        </w:tc>
        <w:tc>
          <w:tcPr>
            <w:tcW w:w="14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408" w:lineRule="auto"/>
              <w:ind w:left="55" w:right="54"/>
              <w:jc w:val="both"/>
              <w:rPr>
                <w:rFonts w:ascii="宋体" w:hAnsi="宋体" w:cs="宋体" w:eastAsia="宋体" w:hint="default"/>
                <w:sz w:val="18"/>
                <w:szCs w:val="18"/>
              </w:rPr>
            </w:pPr>
            <w:r>
              <w:rPr>
                <w:rFonts w:ascii="宋体" w:hAnsi="宋体" w:cs="宋体" w:eastAsia="宋体" w:hint="default"/>
                <w:spacing w:val="4"/>
                <w:sz w:val="18"/>
                <w:szCs w:val="18"/>
              </w:rPr>
              <w:t>北京市高级人民 法院受理中，对 公司的影响存在</w:t>
            </w:r>
            <w:r>
              <w:rPr>
                <w:rFonts w:ascii="宋体" w:hAnsi="宋体" w:cs="宋体" w:eastAsia="宋体" w:hint="default"/>
                <w:sz w:val="18"/>
                <w:szCs w:val="18"/>
              </w:rPr>
            </w:r>
          </w:p>
          <w:p>
            <w:pPr>
              <w:pStyle w:val="TableParagraph"/>
              <w:spacing w:line="240" w:lineRule="auto" w:before="39"/>
              <w:ind w:left="55" w:right="0"/>
              <w:jc w:val="both"/>
              <w:rPr>
                <w:rFonts w:ascii="宋体" w:hAnsi="宋体" w:cs="宋体" w:eastAsia="宋体" w:hint="default"/>
                <w:sz w:val="18"/>
                <w:szCs w:val="18"/>
              </w:rPr>
            </w:pPr>
            <w:r>
              <w:rPr>
                <w:rFonts w:ascii="宋体" w:hAnsi="宋体" w:cs="宋体" w:eastAsia="宋体" w:hint="default"/>
                <w:sz w:val="18"/>
                <w:szCs w:val="18"/>
              </w:rPr>
              <w:t>不确定性</w:t>
            </w:r>
          </w:p>
        </w:tc>
        <w:tc>
          <w:tcPr>
            <w:tcW w:w="1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目前尚未判决</w:t>
            </w:r>
          </w:p>
        </w:tc>
      </w:tr>
    </w:tbl>
    <w:p>
      <w:pPr>
        <w:spacing w:line="240" w:lineRule="auto" w:before="2"/>
        <w:rPr>
          <w:rFonts w:ascii="宋体" w:hAnsi="宋体" w:cs="宋体" w:eastAsia="宋体" w:hint="default"/>
          <w:sz w:val="18"/>
          <w:szCs w:val="18"/>
        </w:rPr>
      </w:pPr>
    </w:p>
    <w:p>
      <w:pPr>
        <w:pStyle w:val="Heading2"/>
        <w:spacing w:line="240" w:lineRule="auto" w:before="26"/>
        <w:ind w:left="214" w:right="1753"/>
        <w:jc w:val="left"/>
        <w:rPr>
          <w:b w:val="0"/>
          <w:bCs w:val="0"/>
        </w:rPr>
      </w:pPr>
      <w:bookmarkStart w:name="十七、母公司财务报表主要项目注释" w:id="436"/>
      <w:bookmarkEnd w:id="436"/>
      <w:r>
        <w:rPr>
          <w:b w:val="0"/>
          <w:bCs w:val="0"/>
        </w:rPr>
      </w:r>
      <w:r>
        <w:rPr/>
        <w:t>十七、母公司财务报表主要项目注释</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214" w:right="1753"/>
        <w:jc w:val="left"/>
        <w:rPr>
          <w:b w:val="0"/>
          <w:bCs w:val="0"/>
        </w:rPr>
      </w:pPr>
      <w:bookmarkStart w:name="1、应收票据及应收账款" w:id="437"/>
      <w:bookmarkEnd w:id="437"/>
      <w:r>
        <w:rPr>
          <w:b w:val="0"/>
          <w:bCs w:val="0"/>
        </w:rPr>
      </w:r>
      <w:r>
        <w:rPr>
          <w:rFonts w:ascii="Times New Roman" w:hAnsi="Times New Roman" w:cs="Times New Roman" w:eastAsia="Times New Roman" w:hint="default"/>
        </w:rPr>
        <w:t>1</w:t>
      </w:r>
      <w:r>
        <w:rPr/>
        <w:t>、应收票据及应收账款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22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1,748,655.50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701,770,449.80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689,936,666.75</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703,519,105.30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689,936,666.75</w:t>
            </w:r>
          </w:p>
        </w:tc>
      </w:tr>
    </w:tbl>
    <w:p>
      <w:pPr>
        <w:spacing w:line="240" w:lineRule="auto" w:before="2"/>
        <w:rPr>
          <w:rFonts w:ascii="宋体" w:hAnsi="宋体" w:cs="宋体" w:eastAsia="宋体" w:hint="default"/>
          <w:sz w:val="19"/>
          <w:szCs w:val="19"/>
        </w:rPr>
      </w:pPr>
    </w:p>
    <w:p>
      <w:pPr>
        <w:pStyle w:val="Heading3"/>
        <w:spacing w:line="240" w:lineRule="auto" w:before="35"/>
        <w:ind w:left="214" w:right="1753"/>
        <w:jc w:val="left"/>
        <w:rPr>
          <w:b w:val="0"/>
          <w:bCs w:val="0"/>
        </w:rPr>
      </w:pPr>
      <w:bookmarkStart w:name="（1）应收票据" w:id="438"/>
      <w:bookmarkEnd w:id="438"/>
      <w:r>
        <w:rPr>
          <w:b w:val="0"/>
          <w:bCs w:val="0"/>
        </w:rPr>
      </w:r>
      <w:r>
        <w:rPr/>
        <w:t>（</w:t>
      </w:r>
      <w:r>
        <w:rPr>
          <w:rFonts w:ascii="Times New Roman" w:hAnsi="Times New Roman" w:cs="Times New Roman" w:eastAsia="Times New Roman" w:hint="default"/>
        </w:rPr>
        <w:t>1</w:t>
      </w:r>
      <w:r>
        <w:rPr/>
        <w:t>）应收票据</w:t>
      </w:r>
      <w:r>
        <w:rPr>
          <w:b w:val="0"/>
          <w:bCs w:val="0"/>
        </w:rPr>
      </w:r>
    </w:p>
    <w:p>
      <w:pPr>
        <w:spacing w:line="240" w:lineRule="auto" w:before="3"/>
        <w:rPr>
          <w:rFonts w:ascii="宋体" w:hAnsi="宋体" w:cs="宋体" w:eastAsia="宋体" w:hint="default"/>
          <w:b/>
          <w:bCs/>
          <w:sz w:val="23"/>
          <w:szCs w:val="23"/>
        </w:rPr>
      </w:pPr>
    </w:p>
    <w:p>
      <w:pPr>
        <w:pStyle w:val="Heading5"/>
        <w:spacing w:line="240" w:lineRule="auto" w:before="44"/>
        <w:ind w:left="214" w:right="1753"/>
        <w:jc w:val="left"/>
        <w:rPr>
          <w:b w:val="0"/>
          <w:bCs w:val="0"/>
        </w:rPr>
      </w:pPr>
      <w:r>
        <w:rPr>
          <w:rFonts w:ascii="Times New Roman" w:hAnsi="Times New Roman" w:cs="Times New Roman" w:eastAsia="Times New Roman" w:hint="default"/>
        </w:rPr>
        <w:t>1)</w:t>
      </w:r>
      <w:r>
        <w:rPr/>
        <w:t>应收票据分类列示</w:t>
      </w:r>
      <w:r>
        <w:rPr>
          <w:b w:val="0"/>
          <w:bCs w:val="0"/>
        </w:rPr>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22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1,748,655.50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1,748,655.50</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400" w:bottom="1160" w:left="920" w:right="0"/>
        </w:sectPr>
      </w:pPr>
    </w:p>
    <w:p>
      <w:pPr>
        <w:pStyle w:val="Heading5"/>
        <w:spacing w:line="340" w:lineRule="auto" w:before="51"/>
        <w:ind w:left="574" w:right="2686" w:hanging="360"/>
        <w:jc w:val="left"/>
        <w:rPr>
          <w:rFonts w:ascii="宋体" w:hAnsi="宋体" w:cs="宋体" w:eastAsia="宋体" w:hint="default"/>
          <w:b w:val="0"/>
          <w:bCs w:val="0"/>
        </w:rPr>
      </w:pPr>
      <w:r>
        <w:rPr>
          <w:rFonts w:ascii="Times New Roman" w:hAnsi="Times New Roman" w:cs="Times New Roman" w:eastAsia="Times New Roman" w:hint="default"/>
        </w:rPr>
        <w:t>2)</w:t>
      </w:r>
      <w:r>
        <w:rPr/>
        <w:t>期末公司已质押的应收票据</w:t>
      </w:r>
      <w:r>
        <w:rPr>
          <w:w w:val="99"/>
        </w:rPr>
        <w:t> </w:t>
      </w:r>
      <w:r>
        <w:rPr>
          <w:rFonts w:ascii="宋体" w:hAnsi="宋体" w:cs="宋体" w:eastAsia="宋体" w:hint="default"/>
          <w:b w:val="0"/>
          <w:bCs w:val="0"/>
        </w:rPr>
        <w:t>无。</w:t>
      </w:r>
    </w:p>
    <w:p>
      <w:pPr>
        <w:pStyle w:val="Heading5"/>
        <w:spacing w:line="240" w:lineRule="auto" w:before="41"/>
        <w:ind w:left="214" w:right="0"/>
        <w:jc w:val="left"/>
        <w:rPr>
          <w:b w:val="0"/>
          <w:bCs w:val="0"/>
        </w:rPr>
      </w:pPr>
      <w:r>
        <w:rPr>
          <w:rFonts w:ascii="Times New Roman" w:hAnsi="Times New Roman" w:cs="Times New Roman" w:eastAsia="Times New Roman" w:hint="default"/>
          <w:w w:val="95"/>
        </w:rPr>
        <w:t>3)</w:t>
      </w:r>
      <w:r>
        <w:rPr>
          <w:w w:val="95"/>
        </w:rPr>
        <w:t>期末公司已背书或贴现且在资产负债表日尚未到期的应收票据</w:t>
      </w:r>
      <w:r>
        <w:rPr>
          <w:b w:val="0"/>
          <w:bCs w:val="0"/>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10"/>
        <w:rPr>
          <w:rFonts w:ascii="宋体" w:hAnsi="宋体" w:cs="宋体" w:eastAsia="宋体" w:hint="default"/>
          <w:b/>
          <w:bCs/>
          <w:sz w:val="12"/>
          <w:szCs w:val="12"/>
        </w:rPr>
      </w:pPr>
    </w:p>
    <w:p>
      <w:pPr>
        <w:pStyle w:val="BodyText"/>
        <w:spacing w:line="240" w:lineRule="auto"/>
        <w:ind w:left="213" w:right="0"/>
        <w:jc w:val="left"/>
      </w:pPr>
      <w:r>
        <w:rPr/>
        <w:t>单位： 元</w:t>
      </w:r>
    </w:p>
    <w:p>
      <w:pPr>
        <w:spacing w:after="0" w:line="240" w:lineRule="auto"/>
        <w:jc w:val="left"/>
        <w:sectPr>
          <w:type w:val="continuous"/>
          <w:pgSz w:w="11910" w:h="16840"/>
          <w:pgMar w:top="900" w:bottom="0" w:left="920" w:right="0"/>
          <w:cols w:num="2" w:equalWidth="0">
            <w:col w:w="5240" w:space="3590"/>
            <w:col w:w="2160"/>
          </w:cols>
        </w:sectPr>
      </w:pPr>
    </w:p>
    <w:p>
      <w:pPr>
        <w:spacing w:line="240" w:lineRule="auto" w:before="13"/>
        <w:rPr>
          <w:rFonts w:ascii="宋体" w:hAnsi="宋体" w:cs="宋体" w:eastAsia="宋体" w:hint="default"/>
          <w:sz w:val="7"/>
          <w:szCs w:val="7"/>
        </w:rPr>
      </w:pPr>
    </w:p>
    <w:tbl>
      <w:tblPr>
        <w:tblW w:w="0" w:type="auto"/>
        <w:jc w:val="left"/>
        <w:tblInd w:w="22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82"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80"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8,500,000.00</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900" w:bottom="0" w:left="920" w:right="0"/>
        </w:sectPr>
      </w:pPr>
    </w:p>
    <w:p>
      <w:pPr>
        <w:spacing w:line="240" w:lineRule="auto" w:before="6"/>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3192"/>
        <w:gridCol w:w="3191"/>
        <w:gridCol w:w="3190"/>
      </w:tblGrid>
      <w:tr>
        <w:trPr>
          <w:trHeight w:val="415" w:hRule="exact"/>
        </w:trPr>
        <w:tc>
          <w:tcPr>
            <w:tcW w:w="3192"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0"/>
              <w:jc w:val="right"/>
              <w:rPr>
                <w:rFonts w:ascii="Times New Roman" w:hAnsi="Times New Roman" w:cs="Times New Roman" w:eastAsia="Times New Roman" w:hint="default"/>
                <w:sz w:val="18"/>
                <w:szCs w:val="18"/>
              </w:rPr>
            </w:pPr>
            <w:r>
              <w:rPr>
                <w:rFonts w:ascii="Times New Roman"/>
                <w:spacing w:val="-1"/>
                <w:sz w:val="18"/>
              </w:rPr>
              <w:t>8,500,000.00</w:t>
            </w:r>
          </w:p>
        </w:tc>
        <w:tc>
          <w:tcPr>
            <w:tcW w:w="3190" w:type="dxa"/>
            <w:tcBorders>
              <w:top w:val="single" w:sz="10" w:space="0" w:color="000000"/>
              <w:left w:val="single" w:sz="4" w:space="0" w:color="000000"/>
              <w:bottom w:val="single" w:sz="4" w:space="0" w:color="000000"/>
              <w:right w:val="single" w:sz="4" w:space="0" w:color="000000"/>
            </w:tcBorders>
          </w:tcPr>
          <w:p>
            <w:pPr/>
          </w:p>
        </w:tc>
      </w:tr>
    </w:tbl>
    <w:p>
      <w:pPr>
        <w:pStyle w:val="Heading5"/>
        <w:spacing w:line="338" w:lineRule="auto" w:before="51"/>
        <w:ind w:left="494" w:right="6627" w:hanging="360"/>
        <w:jc w:val="left"/>
        <w:rPr>
          <w:rFonts w:ascii="宋体" w:hAnsi="宋体" w:cs="宋体" w:eastAsia="宋体" w:hint="default"/>
          <w:b w:val="0"/>
          <w:bCs w:val="0"/>
        </w:rPr>
      </w:pPr>
      <w:r>
        <w:rPr>
          <w:rFonts w:ascii="Times New Roman" w:hAnsi="Times New Roman" w:cs="Times New Roman" w:eastAsia="Times New Roman" w:hint="default"/>
        </w:rPr>
        <w:t>4)</w:t>
      </w:r>
      <w:r>
        <w:rPr/>
        <w:t>期末公司因出票人未履约而将其转应收账款的票据</w:t>
      </w:r>
      <w:r>
        <w:rPr>
          <w:w w:val="99"/>
        </w:rPr>
        <w:t> </w:t>
      </w:r>
      <w:r>
        <w:rPr>
          <w:rFonts w:ascii="宋体" w:hAnsi="宋体" w:cs="宋体" w:eastAsia="宋体" w:hint="default"/>
          <w:b w:val="0"/>
          <w:bCs w:val="0"/>
        </w:rPr>
        <w:t>无。</w:t>
      </w:r>
    </w:p>
    <w:p>
      <w:pPr>
        <w:pStyle w:val="Heading5"/>
        <w:spacing w:line="240" w:lineRule="auto" w:before="44"/>
        <w:ind w:left="134" w:right="7680"/>
        <w:jc w:val="left"/>
        <w:rPr>
          <w:b w:val="0"/>
          <w:bCs w:val="0"/>
        </w:rPr>
      </w:pPr>
      <w:r>
        <w:rPr>
          <w:rFonts w:ascii="Times New Roman" w:hAnsi="Times New Roman" w:cs="Times New Roman" w:eastAsia="Times New Roman" w:hint="default"/>
        </w:rPr>
        <w:t>5</w:t>
      </w:r>
      <w:r>
        <w:rPr/>
        <w:t>）其他说明</w:t>
      </w:r>
      <w:r>
        <w:rPr>
          <w:b w:val="0"/>
          <w:bCs w:val="0"/>
        </w:rPr>
      </w:r>
    </w:p>
    <w:p>
      <w:pPr>
        <w:spacing w:line="240" w:lineRule="auto" w:before="9"/>
        <w:rPr>
          <w:rFonts w:ascii="宋体" w:hAnsi="宋体" w:cs="宋体" w:eastAsia="宋体" w:hint="default"/>
          <w:b/>
          <w:bCs/>
          <w:sz w:val="13"/>
          <w:szCs w:val="13"/>
        </w:rPr>
      </w:pPr>
    </w:p>
    <w:p>
      <w:pPr>
        <w:pStyle w:val="BodyText"/>
        <w:spacing w:line="240" w:lineRule="auto"/>
        <w:ind w:left="494" w:right="7680"/>
        <w:jc w:val="left"/>
      </w:pPr>
      <w:r>
        <w:rPr/>
        <w:t>商业承兑汇票金额明细如下：</w:t>
      </w:r>
    </w:p>
    <w:p>
      <w:pPr>
        <w:spacing w:line="240" w:lineRule="auto" w:before="5"/>
        <w:rPr>
          <w:rFonts w:ascii="宋体" w:hAnsi="宋体" w:cs="宋体" w:eastAsia="宋体" w:hint="default"/>
          <w:sz w:val="11"/>
          <w:szCs w:val="11"/>
        </w:rPr>
      </w:pPr>
    </w:p>
    <w:tbl>
      <w:tblPr>
        <w:tblW w:w="0" w:type="auto"/>
        <w:jc w:val="left"/>
        <w:tblInd w:w="117" w:type="dxa"/>
        <w:tblLayout w:type="fixed"/>
        <w:tblCellMar>
          <w:top w:w="0" w:type="dxa"/>
          <w:left w:w="0" w:type="dxa"/>
          <w:bottom w:w="0" w:type="dxa"/>
          <w:right w:w="0" w:type="dxa"/>
        </w:tblCellMar>
        <w:tblLook w:val="01E0"/>
      </w:tblPr>
      <w:tblGrid>
        <w:gridCol w:w="3470"/>
        <w:gridCol w:w="2283"/>
        <w:gridCol w:w="2111"/>
        <w:gridCol w:w="1794"/>
      </w:tblGrid>
      <w:tr>
        <w:trPr>
          <w:trHeight w:val="341" w:hRule="exact"/>
        </w:trPr>
        <w:tc>
          <w:tcPr>
            <w:tcW w:w="3470" w:type="dxa"/>
            <w:vMerge w:val="restart"/>
            <w:tcBorders>
              <w:top w:val="single" w:sz="6" w:space="0" w:color="000000"/>
              <w:left w:val="single" w:sz="6" w:space="0" w:color="000000"/>
              <w:right w:val="single" w:sz="6" w:space="0" w:color="000000"/>
            </w:tcBorders>
            <w:shd w:val="clear" w:color="auto" w:fill="D2D2D2"/>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6189" w:type="dxa"/>
            <w:gridSpan w:val="3"/>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47" w:hRule="exact"/>
        </w:trPr>
        <w:tc>
          <w:tcPr>
            <w:tcW w:w="3470" w:type="dxa"/>
            <w:vMerge/>
            <w:tcBorders>
              <w:left w:val="single" w:sz="6" w:space="0" w:color="000000"/>
              <w:bottom w:val="single" w:sz="6" w:space="0" w:color="000000"/>
              <w:right w:val="single" w:sz="6" w:space="0" w:color="000000"/>
            </w:tcBorders>
            <w:shd w:val="clear" w:color="auto" w:fill="D2D2D2"/>
          </w:tcPr>
          <w:p>
            <w:pPr/>
          </w:p>
        </w:tc>
        <w:tc>
          <w:tcPr>
            <w:tcW w:w="2283"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595"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211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68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794"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273"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47" w:hRule="exact"/>
        </w:trPr>
        <w:tc>
          <w:tcPr>
            <w:tcW w:w="347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2283"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55"/>
              <w:ind w:right="1"/>
              <w:jc w:val="right"/>
              <w:rPr>
                <w:rFonts w:ascii="Times New Roman" w:hAnsi="Times New Roman" w:cs="Times New Roman" w:eastAsia="Times New Roman" w:hint="default"/>
                <w:sz w:val="18"/>
                <w:szCs w:val="18"/>
              </w:rPr>
            </w:pPr>
            <w:r>
              <w:rPr>
                <w:rFonts w:ascii="Times New Roman"/>
                <w:spacing w:val="-1"/>
                <w:sz w:val="18"/>
              </w:rPr>
              <w:t>1,840,690.00</w:t>
            </w:r>
          </w:p>
        </w:tc>
        <w:tc>
          <w:tcPr>
            <w:tcW w:w="2111"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55"/>
              <w:ind w:right="1"/>
              <w:jc w:val="right"/>
              <w:rPr>
                <w:rFonts w:ascii="Times New Roman" w:hAnsi="Times New Roman" w:cs="Times New Roman" w:eastAsia="Times New Roman" w:hint="default"/>
                <w:sz w:val="18"/>
                <w:szCs w:val="18"/>
              </w:rPr>
            </w:pPr>
            <w:r>
              <w:rPr>
                <w:rFonts w:ascii="Times New Roman"/>
                <w:sz w:val="18"/>
              </w:rPr>
              <w:t>92,034.50</w:t>
            </w:r>
          </w:p>
        </w:tc>
        <w:tc>
          <w:tcPr>
            <w:tcW w:w="1794"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55"/>
              <w:ind w:right="0"/>
              <w:jc w:val="right"/>
              <w:rPr>
                <w:rFonts w:ascii="Times New Roman" w:hAnsi="Times New Roman" w:cs="Times New Roman" w:eastAsia="Times New Roman" w:hint="default"/>
                <w:sz w:val="18"/>
                <w:szCs w:val="18"/>
              </w:rPr>
            </w:pPr>
            <w:r>
              <w:rPr>
                <w:rFonts w:ascii="Times New Roman"/>
                <w:sz w:val="18"/>
              </w:rPr>
              <w:t>5.00</w:t>
            </w:r>
          </w:p>
        </w:tc>
      </w:tr>
      <w:tr>
        <w:trPr>
          <w:trHeight w:val="348" w:hRule="exact"/>
        </w:trPr>
        <w:tc>
          <w:tcPr>
            <w:tcW w:w="3470"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22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1,840,690.00</w:t>
            </w:r>
          </w:p>
        </w:tc>
        <w:tc>
          <w:tcPr>
            <w:tcW w:w="2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92,034.50</w:t>
            </w:r>
          </w:p>
        </w:tc>
        <w:tc>
          <w:tcPr>
            <w:tcW w:w="17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5.00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pStyle w:val="Heading3"/>
        <w:spacing w:line="240" w:lineRule="auto" w:before="35"/>
        <w:ind w:left="134" w:right="7680"/>
        <w:jc w:val="left"/>
        <w:rPr>
          <w:b w:val="0"/>
          <w:bCs w:val="0"/>
        </w:rPr>
      </w:pPr>
      <w:bookmarkStart w:name="（2）应收账款" w:id="439"/>
      <w:bookmarkEnd w:id="439"/>
      <w:r>
        <w:rPr>
          <w:b w:val="0"/>
          <w:bCs w:val="0"/>
        </w:rPr>
      </w:r>
      <w:r>
        <w:rPr/>
        <w:t>（</w:t>
      </w:r>
      <w:r>
        <w:rPr>
          <w:rFonts w:ascii="Times New Roman" w:hAnsi="Times New Roman" w:cs="Times New Roman" w:eastAsia="Times New Roman" w:hint="default"/>
        </w:rPr>
        <w:t>2</w:t>
      </w:r>
      <w:r>
        <w:rPr/>
        <w:t>）应收账款</w:t>
      </w:r>
      <w:r>
        <w:rPr>
          <w:b w:val="0"/>
          <w:bCs w:val="0"/>
        </w:rPr>
      </w:r>
    </w:p>
    <w:p>
      <w:pPr>
        <w:spacing w:line="240" w:lineRule="auto" w:before="3"/>
        <w:rPr>
          <w:rFonts w:ascii="宋体" w:hAnsi="宋体" w:cs="宋体" w:eastAsia="宋体" w:hint="default"/>
          <w:b/>
          <w:bCs/>
          <w:sz w:val="23"/>
          <w:szCs w:val="23"/>
        </w:rPr>
      </w:pPr>
    </w:p>
    <w:p>
      <w:pPr>
        <w:pStyle w:val="Heading5"/>
        <w:spacing w:line="240" w:lineRule="auto" w:before="44"/>
        <w:ind w:left="134" w:right="7680"/>
        <w:jc w:val="left"/>
        <w:rPr>
          <w:b w:val="0"/>
          <w:bCs w:val="0"/>
        </w:rPr>
      </w:pPr>
      <w:r>
        <w:rPr>
          <w:rFonts w:ascii="Times New Roman" w:hAnsi="Times New Roman" w:cs="Times New Roman" w:eastAsia="Times New Roman" w:hint="default"/>
        </w:rPr>
        <w:t>1)</w:t>
      </w:r>
      <w:r>
        <w:rPr/>
        <w:t>应收账款分类披露</w:t>
      </w:r>
      <w:r>
        <w:rPr>
          <w:b w:val="0"/>
          <w:bCs w:val="0"/>
        </w:rPr>
      </w:r>
    </w:p>
    <w:p>
      <w:pPr>
        <w:pStyle w:val="BodyText"/>
        <w:spacing w:line="240" w:lineRule="auto" w:before="102"/>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0" w:type="dxa"/>
        <w:tblLayout w:type="fixed"/>
        <w:tblCellMar>
          <w:top w:w="0" w:type="dxa"/>
          <w:left w:w="0" w:type="dxa"/>
          <w:bottom w:w="0" w:type="dxa"/>
          <w:right w:w="0" w:type="dxa"/>
        </w:tblCellMar>
        <w:tblLook w:val="01E0"/>
      </w:tblPr>
      <w:tblGrid>
        <w:gridCol w:w="1623"/>
        <w:gridCol w:w="763"/>
        <w:gridCol w:w="762"/>
        <w:gridCol w:w="762"/>
        <w:gridCol w:w="762"/>
        <w:gridCol w:w="790"/>
        <w:gridCol w:w="654"/>
        <w:gridCol w:w="762"/>
        <w:gridCol w:w="813"/>
        <w:gridCol w:w="662"/>
        <w:gridCol w:w="1202"/>
      </w:tblGrid>
      <w:tr>
        <w:trPr>
          <w:trHeight w:val="397" w:hRule="exact"/>
        </w:trPr>
        <w:tc>
          <w:tcPr>
            <w:tcW w:w="1623" w:type="dxa"/>
            <w:vMerge w:val="restart"/>
            <w:tcBorders>
              <w:top w:val="single" w:sz="4" w:space="0" w:color="000000"/>
              <w:left w:val="single" w:sz="4" w:space="0" w:color="000000"/>
              <w:right w:val="single" w:sz="4" w:space="0" w:color="000000"/>
            </w:tcBorders>
            <w:shd w:val="clear" w:color="auto" w:fill="D2D2D2"/>
          </w:tcPr>
          <w:p>
            <w:pP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23" w:type="dxa"/>
            <w:vMerge/>
            <w:tcBorders>
              <w:left w:val="single" w:sz="4" w:space="0" w:color="000000"/>
              <w:bottom w:val="nil" w:sz="6" w:space="0" w:color="auto"/>
              <w:right w:val="single" w:sz="4" w:space="0" w:color="000000"/>
            </w:tcBorders>
            <w:shd w:val="clear" w:color="auto" w:fill="D2D2D2"/>
          </w:tcPr>
          <w:p>
            <w:pPr/>
          </w:p>
        </w:tc>
        <w:tc>
          <w:tcPr>
            <w:tcW w:w="152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7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7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0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2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类别</w:t>
            </w:r>
          </w:p>
        </w:tc>
        <w:tc>
          <w:tcPr>
            <w:tcW w:w="1525"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475" w:type="dxa"/>
            <w:gridSpan w:val="2"/>
            <w:vMerge/>
            <w:tcBorders>
              <w:left w:val="single" w:sz="4" w:space="0" w:color="000000"/>
              <w:bottom w:val="single" w:sz="4" w:space="0" w:color="000000"/>
              <w:right w:val="single" w:sz="4" w:space="0" w:color="000000"/>
            </w:tcBorders>
            <w:shd w:val="clear" w:color="auto" w:fill="D2D2D2"/>
          </w:tcPr>
          <w:p>
            <w:pPr/>
          </w:p>
        </w:tc>
        <w:tc>
          <w:tcPr>
            <w:tcW w:w="1202"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23" w:type="dxa"/>
            <w:vMerge/>
            <w:tcBorders>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66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236" w:right="5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120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35"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3" w:hRule="exact"/>
        </w:trPr>
        <w:tc>
          <w:tcPr>
            <w:tcW w:w="1623" w:type="dxa"/>
            <w:vMerge w:val="restart"/>
            <w:tcBorders>
              <w:top w:val="single" w:sz="4" w:space="0" w:color="FFFFFF"/>
              <w:left w:val="single" w:sz="4" w:space="0" w:color="000000"/>
              <w:right w:val="single" w:sz="4" w:space="0" w:color="000000"/>
            </w:tcBorders>
            <w:shd w:val="clear" w:color="auto" w:fill="D2D2D2"/>
          </w:tcPr>
          <w:p>
            <w:pP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662" w:type="dxa"/>
            <w:vMerge/>
            <w:tcBorders>
              <w:left w:val="single" w:sz="4" w:space="0" w:color="000000"/>
              <w:right w:val="single" w:sz="4" w:space="0" w:color="000000"/>
            </w:tcBorders>
            <w:shd w:val="clear" w:color="auto" w:fill="D2D2D2"/>
          </w:tcPr>
          <w:p>
            <w:pPr/>
          </w:p>
        </w:tc>
        <w:tc>
          <w:tcPr>
            <w:tcW w:w="1202"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23" w:type="dxa"/>
            <w:vMerge/>
            <w:tcBorders>
              <w:left w:val="single" w:sz="4" w:space="0" w:color="000000"/>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662" w:type="dxa"/>
            <w:vMerge/>
            <w:tcBorders>
              <w:left w:val="single" w:sz="4" w:space="0" w:color="000000"/>
              <w:right w:val="single" w:sz="4" w:space="0" w:color="000000"/>
            </w:tcBorders>
            <w:shd w:val="clear" w:color="auto" w:fill="D2D2D2"/>
          </w:tcPr>
          <w:p>
            <w:pPr/>
          </w:p>
        </w:tc>
        <w:tc>
          <w:tcPr>
            <w:tcW w:w="120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23"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662" w:type="dxa"/>
            <w:vMerge/>
            <w:tcBorders>
              <w:left w:val="single" w:sz="4" w:space="0" w:color="000000"/>
              <w:bottom w:val="single" w:sz="4" w:space="0" w:color="000000"/>
              <w:right w:val="single" w:sz="4" w:space="0" w:color="000000"/>
            </w:tcBorders>
            <w:shd w:val="clear" w:color="auto" w:fill="D2D2D2"/>
          </w:tcPr>
          <w:p>
            <w:pPr/>
          </w:p>
        </w:tc>
        <w:tc>
          <w:tcPr>
            <w:tcW w:w="120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6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3" w:right="0"/>
              <w:jc w:val="center"/>
              <w:rPr>
                <w:rFonts w:ascii="Times New Roman" w:hAnsi="Times New Roman" w:cs="Times New Roman" w:eastAsia="Times New Roman" w:hint="default"/>
                <w:sz w:val="18"/>
                <w:szCs w:val="18"/>
              </w:rPr>
            </w:pPr>
            <w:r>
              <w:rPr>
                <w:rFonts w:ascii="Times New Roman"/>
                <w:sz w:val="18"/>
              </w:rPr>
              <w:t>824,373,</w:t>
            </w:r>
          </w:p>
          <w:p>
            <w:pPr>
              <w:pStyle w:val="TableParagraph"/>
              <w:spacing w:line="240" w:lineRule="auto" w:before="105"/>
              <w:ind w:left="200" w:right="0"/>
              <w:jc w:val="center"/>
              <w:rPr>
                <w:rFonts w:ascii="Times New Roman" w:hAnsi="Times New Roman" w:cs="Times New Roman" w:eastAsia="Times New Roman" w:hint="default"/>
                <w:sz w:val="18"/>
                <w:szCs w:val="18"/>
              </w:rPr>
            </w:pPr>
            <w:r>
              <w:rPr>
                <w:rFonts w:ascii="Times New Roman"/>
                <w:sz w:val="18"/>
              </w:rPr>
              <w:t>450.55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sz w:val="18"/>
              </w:rPr>
              <w:t>122,603,</w:t>
            </w:r>
          </w:p>
          <w:p>
            <w:pPr>
              <w:pStyle w:val="TableParagraph"/>
              <w:spacing w:line="240" w:lineRule="auto" w:before="105"/>
              <w:ind w:left="210" w:right="0"/>
              <w:jc w:val="center"/>
              <w:rPr>
                <w:rFonts w:ascii="Times New Roman" w:hAnsi="Times New Roman" w:cs="Times New Roman" w:eastAsia="Times New Roman" w:hint="default"/>
                <w:sz w:val="18"/>
                <w:szCs w:val="18"/>
              </w:rPr>
            </w:pPr>
            <w:r>
              <w:rPr>
                <w:rFonts w:ascii="Times New Roman"/>
                <w:sz w:val="18"/>
              </w:rPr>
              <w:t>000.75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75" w:right="0"/>
              <w:jc w:val="left"/>
              <w:rPr>
                <w:rFonts w:ascii="Times New Roman" w:hAnsi="Times New Roman" w:cs="Times New Roman" w:eastAsia="Times New Roman" w:hint="default"/>
                <w:sz w:val="18"/>
                <w:szCs w:val="18"/>
              </w:rPr>
            </w:pPr>
            <w:r>
              <w:rPr>
                <w:rFonts w:ascii="Times New Roman"/>
                <w:sz w:val="18"/>
              </w:rPr>
              <w:t>14.87%</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701,770,4</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49.80</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 w:right="0"/>
              <w:jc w:val="left"/>
              <w:rPr>
                <w:rFonts w:ascii="Times New Roman" w:hAnsi="Times New Roman" w:cs="Times New Roman" w:eastAsia="Times New Roman" w:hint="default"/>
                <w:sz w:val="18"/>
                <w:szCs w:val="18"/>
              </w:rPr>
            </w:pPr>
            <w:r>
              <w:rPr>
                <w:rFonts w:ascii="Times New Roman"/>
                <w:sz w:val="18"/>
              </w:rPr>
              <w:t>797,033</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,222.74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107,096,5</w:t>
            </w:r>
          </w:p>
          <w:p>
            <w:pPr>
              <w:pStyle w:val="TableParagraph"/>
              <w:spacing w:line="240" w:lineRule="auto" w:before="105"/>
              <w:ind w:left="375" w:right="0"/>
              <w:jc w:val="left"/>
              <w:rPr>
                <w:rFonts w:ascii="Times New Roman" w:hAnsi="Times New Roman" w:cs="Times New Roman" w:eastAsia="Times New Roman" w:hint="default"/>
                <w:sz w:val="18"/>
                <w:szCs w:val="18"/>
              </w:rPr>
            </w:pPr>
            <w:r>
              <w:rPr>
                <w:rFonts w:ascii="Times New Roman"/>
                <w:sz w:val="18"/>
              </w:rPr>
              <w:t>55.99</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5" w:right="0"/>
              <w:jc w:val="left"/>
              <w:rPr>
                <w:rFonts w:ascii="Times New Roman" w:hAnsi="Times New Roman" w:cs="Times New Roman" w:eastAsia="Times New Roman" w:hint="default"/>
                <w:sz w:val="18"/>
                <w:szCs w:val="18"/>
              </w:rPr>
            </w:pPr>
            <w:r>
              <w:rPr>
                <w:rFonts w:ascii="Times New Roman"/>
                <w:sz w:val="18"/>
              </w:rPr>
              <w:t>13.44%</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689,936,666.75</w:t>
            </w:r>
          </w:p>
        </w:tc>
      </w:tr>
      <w:tr>
        <w:trPr>
          <w:trHeight w:val="161" w:hRule="exact"/>
        </w:trPr>
        <w:tc>
          <w:tcPr>
            <w:tcW w:w="1623"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vMerge w:val="restart"/>
            <w:tcBorders>
              <w:top w:val="single" w:sz="4" w:space="0" w:color="000000"/>
              <w:left w:val="single" w:sz="9" w:space="0" w:color="D2D2D2"/>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824,373,</w:t>
            </w:r>
          </w:p>
          <w:p>
            <w:pPr>
              <w:pStyle w:val="TableParagraph"/>
              <w:spacing w:line="240" w:lineRule="auto" w:before="105"/>
              <w:ind w:left="205" w:right="0"/>
              <w:jc w:val="center"/>
              <w:rPr>
                <w:rFonts w:ascii="Times New Roman" w:hAnsi="Times New Roman" w:cs="Times New Roman" w:eastAsia="Times New Roman" w:hint="default"/>
                <w:sz w:val="18"/>
                <w:szCs w:val="18"/>
              </w:rPr>
            </w:pPr>
            <w:r>
              <w:rPr>
                <w:rFonts w:ascii="Times New Roman"/>
                <w:sz w:val="18"/>
              </w:rPr>
              <w:t>450.55</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91"/>
              <w:ind w:left="74" w:right="0"/>
              <w:jc w:val="center"/>
              <w:rPr>
                <w:rFonts w:ascii="Times New Roman" w:hAnsi="Times New Roman" w:cs="Times New Roman" w:eastAsia="Times New Roman" w:hint="default"/>
                <w:sz w:val="18"/>
                <w:szCs w:val="18"/>
              </w:rPr>
            </w:pPr>
            <w:r>
              <w:rPr>
                <w:rFonts w:ascii="Times New Roman"/>
                <w:sz w:val="18"/>
              </w:rPr>
              <w:t>122,603,</w:t>
            </w:r>
          </w:p>
          <w:p>
            <w:pPr>
              <w:pStyle w:val="TableParagraph"/>
              <w:spacing w:line="240" w:lineRule="auto" w:before="105"/>
              <w:ind w:left="210" w:right="0"/>
              <w:jc w:val="center"/>
              <w:rPr>
                <w:rFonts w:ascii="Times New Roman" w:hAnsi="Times New Roman" w:cs="Times New Roman" w:eastAsia="Times New Roman" w:hint="default"/>
                <w:sz w:val="18"/>
                <w:szCs w:val="18"/>
              </w:rPr>
            </w:pPr>
            <w:r>
              <w:rPr>
                <w:rFonts w:ascii="Times New Roman"/>
                <w:sz w:val="18"/>
              </w:rPr>
              <w:t>000.75</w:t>
            </w:r>
          </w:p>
        </w:tc>
        <w:tc>
          <w:tcPr>
            <w:tcW w:w="762" w:type="dxa"/>
            <w:vMerge w:val="restart"/>
            <w:tcBorders>
              <w:top w:val="single" w:sz="4" w:space="0" w:color="000000"/>
              <w:left w:val="single" w:sz="4" w:space="0" w:color="000000"/>
              <w:right w:val="single" w:sz="4" w:space="0" w:color="000000"/>
            </w:tcBorders>
          </w:tcPr>
          <w:p>
            <w:pP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91"/>
              <w:ind w:left="37" w:right="0"/>
              <w:jc w:val="left"/>
              <w:rPr>
                <w:rFonts w:ascii="Times New Roman" w:hAnsi="Times New Roman" w:cs="Times New Roman" w:eastAsia="Times New Roman" w:hint="default"/>
                <w:sz w:val="18"/>
                <w:szCs w:val="18"/>
              </w:rPr>
            </w:pPr>
            <w:r>
              <w:rPr>
                <w:rFonts w:ascii="Times New Roman"/>
                <w:sz w:val="18"/>
              </w:rPr>
              <w:t>701,770,4</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49.80</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1"/>
              <w:ind w:left="36" w:right="0"/>
              <w:jc w:val="left"/>
              <w:rPr>
                <w:rFonts w:ascii="Times New Roman" w:hAnsi="Times New Roman" w:cs="Times New Roman" w:eastAsia="Times New Roman" w:hint="default"/>
                <w:sz w:val="18"/>
                <w:szCs w:val="18"/>
              </w:rPr>
            </w:pPr>
            <w:r>
              <w:rPr>
                <w:rFonts w:ascii="Times New Roman"/>
                <w:sz w:val="18"/>
              </w:rPr>
              <w:t>797,033</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,222.74</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107,096,5</w:t>
            </w:r>
          </w:p>
          <w:p>
            <w:pPr>
              <w:pStyle w:val="TableParagraph"/>
              <w:spacing w:line="240" w:lineRule="auto" w:before="105"/>
              <w:ind w:left="375" w:right="0"/>
              <w:jc w:val="left"/>
              <w:rPr>
                <w:rFonts w:ascii="Times New Roman" w:hAnsi="Times New Roman" w:cs="Times New Roman" w:eastAsia="Times New Roman" w:hint="default"/>
                <w:sz w:val="18"/>
                <w:szCs w:val="18"/>
              </w:rPr>
            </w:pPr>
            <w:r>
              <w:rPr>
                <w:rFonts w:ascii="Times New Roman"/>
                <w:sz w:val="18"/>
              </w:rPr>
              <w:t>55.99</w:t>
            </w:r>
          </w:p>
        </w:tc>
        <w:tc>
          <w:tcPr>
            <w:tcW w:w="662" w:type="dxa"/>
            <w:vMerge w:val="restart"/>
            <w:tcBorders>
              <w:top w:val="single" w:sz="4" w:space="0" w:color="000000"/>
              <w:left w:val="single" w:sz="4" w:space="0" w:color="000000"/>
              <w:right w:val="single" w:sz="4" w:space="0" w:color="000000"/>
            </w:tcBorders>
          </w:tcPr>
          <w:p>
            <w:pPr/>
          </w:p>
        </w:tc>
        <w:tc>
          <w:tcPr>
            <w:tcW w:w="120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689,936,666.75</w:t>
            </w:r>
          </w:p>
        </w:tc>
      </w:tr>
      <w:tr>
        <w:trPr>
          <w:trHeight w:val="392" w:hRule="exact"/>
        </w:trPr>
        <w:tc>
          <w:tcPr>
            <w:tcW w:w="162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1202" w:type="dxa"/>
            <w:vMerge/>
            <w:tcBorders>
              <w:left w:val="single" w:sz="4" w:space="0" w:color="000000"/>
              <w:right w:val="single" w:sz="4" w:space="0" w:color="000000"/>
            </w:tcBorders>
          </w:tcPr>
          <w:p>
            <w:pPr/>
          </w:p>
        </w:tc>
      </w:tr>
      <w:tr>
        <w:trPr>
          <w:trHeight w:val="161" w:hRule="exact"/>
        </w:trPr>
        <w:tc>
          <w:tcPr>
            <w:tcW w:w="162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1202" w:type="dxa"/>
            <w:vMerge/>
            <w:tcBorders>
              <w:left w:val="single" w:sz="4" w:space="0" w:color="000000"/>
              <w:bottom w:val="single" w:sz="4" w:space="0" w:color="000000"/>
              <w:right w:val="single" w:sz="4" w:space="0" w:color="000000"/>
            </w:tcBorders>
          </w:tcPr>
          <w:p>
            <w:pPr/>
          </w:p>
        </w:tc>
      </w:tr>
    </w:tbl>
    <w:p>
      <w:pPr>
        <w:spacing w:after="0"/>
        <w:sectPr>
          <w:pgSz w:w="11910" w:h="16840"/>
          <w:pgMar w:header="851" w:footer="979" w:top="1400" w:bottom="1160" w:left="1000" w:right="0"/>
        </w:sectPr>
      </w:pPr>
    </w:p>
    <w:p>
      <w:pPr>
        <w:pStyle w:val="BodyText"/>
        <w:spacing w:line="240" w:lineRule="auto" w:before="51"/>
        <w:ind w:left="134" w:right="-20"/>
        <w:jc w:val="left"/>
      </w:pPr>
      <w:r>
        <w:rPr/>
        <w:t>期末单项金额重大并单项计提坏账准备的应收账款：</w:t>
      </w:r>
    </w:p>
    <w:p>
      <w:pPr>
        <w:pStyle w:val="BodyText"/>
        <w:spacing w:line="338" w:lineRule="auto" w:before="117"/>
        <w:ind w:left="134" w:right="16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4"/>
        </w:rPr>
        <w:t> </w:t>
      </w:r>
      <w:r>
        <w:rPr>
          <w:rFonts w:ascii="宋体" w:hAnsi="宋体" w:cs="宋体" w:eastAsia="宋体" w:hint="default"/>
          <w:b/>
          <w:bCs/>
        </w:rPr>
        <w:t>不适用</w:t>
      </w:r>
      <w:r>
        <w:rPr>
          <w:rFonts w:ascii="宋体" w:hAnsi="宋体" w:cs="宋体" w:eastAsia="宋体" w:hint="default"/>
          <w:b/>
          <w:bCs/>
          <w:w w:val="99"/>
        </w:rPr>
        <w:t> </w:t>
      </w:r>
      <w:r>
        <w:rPr/>
        <w:t>组合中，按账龄分析法计提坏账准备的应收账款：</w:t>
      </w:r>
    </w:p>
    <w:p>
      <w:pPr>
        <w:spacing w:before="42"/>
        <w:ind w:left="134" w:right="-2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pStyle w:val="BodyText"/>
        <w:spacing w:line="240" w:lineRule="auto"/>
        <w:ind w:left="133" w:right="0"/>
        <w:jc w:val="left"/>
      </w:pPr>
      <w:r>
        <w:rPr/>
        <w:t>单位： 元</w:t>
      </w:r>
    </w:p>
    <w:p>
      <w:pPr>
        <w:spacing w:after="0" w:line="240" w:lineRule="auto"/>
        <w:jc w:val="left"/>
        <w:sectPr>
          <w:type w:val="continuous"/>
          <w:pgSz w:w="11910" w:h="16840"/>
          <w:pgMar w:top="900" w:bottom="0" w:left="1000" w:right="0"/>
          <w:cols w:num="2" w:equalWidth="0">
            <w:col w:w="4275" w:space="4555"/>
            <w:col w:w="2080"/>
          </w:cols>
        </w:sectPr>
      </w:pPr>
    </w:p>
    <w:p>
      <w:pPr>
        <w:spacing w:line="240" w:lineRule="auto" w:before="13"/>
        <w:rPr>
          <w:rFonts w:ascii="宋体" w:hAnsi="宋体" w:cs="宋体" w:eastAsia="宋体" w:hint="default"/>
          <w:sz w:val="7"/>
          <w:szCs w:val="7"/>
        </w:rPr>
      </w:pPr>
    </w:p>
    <w:tbl>
      <w:tblPr>
        <w:tblW w:w="0" w:type="auto"/>
        <w:jc w:val="left"/>
        <w:tblInd w:w="140" w:type="dxa"/>
        <w:tblLayout w:type="fixed"/>
        <w:tblCellMar>
          <w:top w:w="0" w:type="dxa"/>
          <w:left w:w="0" w:type="dxa"/>
          <w:bottom w:w="0" w:type="dxa"/>
          <w:right w:w="0" w:type="dxa"/>
        </w:tblCellMar>
        <w:tblLook w:val="01E0"/>
      </w:tblPr>
      <w:tblGrid>
        <w:gridCol w:w="2471"/>
        <w:gridCol w:w="2307"/>
        <w:gridCol w:w="2391"/>
        <w:gridCol w:w="2389"/>
      </w:tblGrid>
      <w:tr>
        <w:trPr>
          <w:trHeight w:val="206" w:hRule="exact"/>
        </w:trPr>
        <w:tc>
          <w:tcPr>
            <w:tcW w:w="2471"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1" w:hRule="exact"/>
        </w:trPr>
        <w:tc>
          <w:tcPr>
            <w:tcW w:w="247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7087" w:type="dxa"/>
            <w:gridSpan w:val="3"/>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2471" w:type="dxa"/>
            <w:vMerge/>
            <w:tcBorders>
              <w:left w:val="single" w:sz="4" w:space="0" w:color="000000"/>
              <w:bottom w:val="nil" w:sz="6" w:space="0" w:color="auto"/>
              <w:right w:val="single" w:sz="4" w:space="0" w:color="000000"/>
            </w:tcBorders>
            <w:shd w:val="clear" w:color="auto" w:fill="D2D2D2"/>
          </w:tcPr>
          <w:p>
            <w:pPr/>
          </w:p>
        </w:tc>
        <w:tc>
          <w:tcPr>
            <w:tcW w:w="230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1"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8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05" w:hRule="exact"/>
        </w:trPr>
        <w:tc>
          <w:tcPr>
            <w:tcW w:w="2471" w:type="dxa"/>
            <w:tcBorders>
              <w:top w:val="nil" w:sz="6" w:space="0" w:color="auto"/>
              <w:left w:val="single" w:sz="4" w:space="0" w:color="000000"/>
              <w:bottom w:val="single" w:sz="4" w:space="0" w:color="000000"/>
              <w:right w:val="single" w:sz="4" w:space="0" w:color="000000"/>
            </w:tcBorders>
            <w:shd w:val="clear" w:color="auto" w:fill="D2D2D2"/>
          </w:tcPr>
          <w:p>
            <w:pPr/>
          </w:p>
        </w:tc>
        <w:tc>
          <w:tcPr>
            <w:tcW w:w="2307" w:type="dxa"/>
            <w:vMerge/>
            <w:tcBorders>
              <w:left w:val="single" w:sz="4" w:space="0" w:color="000000"/>
              <w:bottom w:val="single" w:sz="4" w:space="0" w:color="000000"/>
              <w:right w:val="single" w:sz="4" w:space="0" w:color="000000"/>
            </w:tcBorders>
            <w:shd w:val="clear" w:color="auto" w:fill="D2D2D2"/>
          </w:tcPr>
          <w:p>
            <w:pPr/>
          </w:p>
        </w:tc>
        <w:tc>
          <w:tcPr>
            <w:tcW w:w="2391" w:type="dxa"/>
            <w:vMerge/>
            <w:tcBorders>
              <w:left w:val="single" w:sz="4" w:space="0" w:color="000000"/>
              <w:bottom w:val="single" w:sz="4" w:space="0" w:color="000000"/>
              <w:right w:val="single" w:sz="4" w:space="0" w:color="000000"/>
            </w:tcBorders>
            <w:shd w:val="clear" w:color="auto" w:fill="D2D2D2"/>
          </w:tcPr>
          <w:p>
            <w:pPr/>
          </w:p>
        </w:tc>
        <w:tc>
          <w:tcPr>
            <w:tcW w:w="2389"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4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467,297,731.93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23,364,886.60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4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212,867,819.54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21,286,781.95</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4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63,961,645.00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19,188,493.50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30.00%</w:t>
            </w:r>
          </w:p>
        </w:tc>
      </w:tr>
      <w:tr>
        <w:trPr>
          <w:trHeight w:val="402" w:hRule="exact"/>
        </w:trPr>
        <w:tc>
          <w:tcPr>
            <w:tcW w:w="24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30,808,964.40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15,404,482.20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4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30,394,665.92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24,315,732.74</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80.00%</w:t>
            </w:r>
          </w:p>
        </w:tc>
      </w:tr>
      <w:tr>
        <w:trPr>
          <w:trHeight w:val="402" w:hRule="exact"/>
        </w:trPr>
        <w:tc>
          <w:tcPr>
            <w:tcW w:w="24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19,042,623.76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19,042,623.76</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900" w:bottom="0" w:left="1000" w:right="0"/>
        </w:sectPr>
      </w:pPr>
    </w:p>
    <w:p>
      <w:pPr>
        <w:spacing w:line="240" w:lineRule="auto" w:before="6"/>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2484"/>
        <w:gridCol w:w="2307"/>
        <w:gridCol w:w="2391"/>
        <w:gridCol w:w="2389"/>
      </w:tblGrid>
      <w:tr>
        <w:trPr>
          <w:trHeight w:val="415" w:hRule="exact"/>
        </w:trPr>
        <w:tc>
          <w:tcPr>
            <w:tcW w:w="2484"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07" w:type="dxa"/>
            <w:tcBorders>
              <w:top w:val="single" w:sz="10" w:space="0" w:color="000000"/>
              <w:left w:val="single" w:sz="13" w:space="0" w:color="D2D2D2"/>
              <w:bottom w:val="single" w:sz="4" w:space="0" w:color="000000"/>
              <w:right w:val="single" w:sz="4" w:space="0" w:color="000000"/>
            </w:tcBorders>
          </w:tcPr>
          <w:p>
            <w:pPr>
              <w:pStyle w:val="TableParagraph"/>
              <w:spacing w:line="240" w:lineRule="auto" w:before="97"/>
              <w:ind w:left="1137" w:right="0"/>
              <w:jc w:val="left"/>
              <w:rPr>
                <w:rFonts w:ascii="Times New Roman" w:hAnsi="Times New Roman" w:cs="Times New Roman" w:eastAsia="Times New Roman" w:hint="default"/>
                <w:sz w:val="18"/>
                <w:szCs w:val="18"/>
              </w:rPr>
            </w:pPr>
            <w:r>
              <w:rPr>
                <w:rFonts w:ascii="Times New Roman"/>
                <w:sz w:val="18"/>
              </w:rPr>
              <w:t>824,373,450.55</w:t>
            </w:r>
          </w:p>
        </w:tc>
        <w:tc>
          <w:tcPr>
            <w:tcW w:w="239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left="1232" w:right="0"/>
              <w:jc w:val="left"/>
              <w:rPr>
                <w:rFonts w:ascii="Times New Roman" w:hAnsi="Times New Roman" w:cs="Times New Roman" w:eastAsia="Times New Roman" w:hint="default"/>
                <w:sz w:val="18"/>
                <w:szCs w:val="18"/>
              </w:rPr>
            </w:pPr>
            <w:r>
              <w:rPr>
                <w:rFonts w:ascii="Times New Roman"/>
                <w:sz w:val="18"/>
              </w:rPr>
              <w:t>122,603,000.75</w:t>
            </w:r>
          </w:p>
        </w:tc>
        <w:tc>
          <w:tcPr>
            <w:tcW w:w="2389" w:type="dxa"/>
            <w:tcBorders>
              <w:top w:val="single" w:sz="10" w:space="0" w:color="000000"/>
              <w:left w:val="single" w:sz="4" w:space="0" w:color="000000"/>
              <w:bottom w:val="single" w:sz="4" w:space="0" w:color="000000"/>
              <w:right w:val="single" w:sz="4" w:space="0" w:color="000000"/>
            </w:tcBorders>
          </w:tcPr>
          <w:p>
            <w:pPr/>
          </w:p>
        </w:tc>
      </w:tr>
    </w:tbl>
    <w:p>
      <w:pPr>
        <w:spacing w:line="240" w:lineRule="auto" w:before="6"/>
        <w:rPr>
          <w:rFonts w:ascii="宋体" w:hAnsi="宋体" w:cs="宋体" w:eastAsia="宋体" w:hint="default"/>
          <w:sz w:val="6"/>
          <w:szCs w:val="6"/>
        </w:rPr>
      </w:pPr>
    </w:p>
    <w:p>
      <w:pPr>
        <w:pStyle w:val="BodyText"/>
        <w:spacing w:line="240" w:lineRule="auto" w:before="44"/>
        <w:ind w:left="134" w:right="1032"/>
        <w:jc w:val="left"/>
      </w:pPr>
      <w:r>
        <w:rPr/>
        <w:t>组合中，采用余额百分比法计提坏账准备的应收账款：</w:t>
      </w:r>
    </w:p>
    <w:p>
      <w:pPr>
        <w:spacing w:line="240" w:lineRule="auto" w:before="10"/>
        <w:rPr>
          <w:rFonts w:ascii="宋体" w:hAnsi="宋体" w:cs="宋体" w:eastAsia="宋体" w:hint="default"/>
          <w:sz w:val="20"/>
          <w:szCs w:val="20"/>
        </w:rPr>
      </w:pPr>
    </w:p>
    <w:p>
      <w:pPr>
        <w:pStyle w:val="BodyText"/>
        <w:spacing w:line="489" w:lineRule="auto"/>
        <w:ind w:left="134" w:right="67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4"/>
        </w:rPr>
        <w:t> </w:t>
      </w:r>
      <w:r>
        <w:rPr>
          <w:rFonts w:ascii="宋体" w:hAnsi="宋体" w:cs="宋体" w:eastAsia="宋体" w:hint="default"/>
          <w:b/>
          <w:bCs/>
        </w:rPr>
        <w:t>不适用</w:t>
      </w:r>
      <w:r>
        <w:rPr>
          <w:rFonts w:ascii="宋体" w:hAnsi="宋体" w:cs="宋体" w:eastAsia="宋体" w:hint="default"/>
          <w:b/>
          <w:bCs/>
          <w:w w:val="99"/>
        </w:rPr>
        <w:t> </w:t>
      </w:r>
      <w:r>
        <w:rPr/>
        <w:t>组合中，采用其他方法计提坏账准备的应收账款：</w:t>
      </w:r>
    </w:p>
    <w:p>
      <w:pPr>
        <w:spacing w:before="85"/>
        <w:ind w:left="134" w:right="768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0"/>
        <w:rPr>
          <w:rFonts w:ascii="宋体" w:hAnsi="宋体" w:cs="宋体" w:eastAsia="宋体" w:hint="default"/>
          <w:b/>
          <w:bCs/>
          <w:sz w:val="19"/>
          <w:szCs w:val="19"/>
        </w:rPr>
      </w:pPr>
    </w:p>
    <w:p>
      <w:pPr>
        <w:pStyle w:val="Heading5"/>
        <w:spacing w:line="240" w:lineRule="auto"/>
        <w:ind w:left="134" w:right="1032"/>
        <w:jc w:val="left"/>
        <w:rPr>
          <w:b w:val="0"/>
          <w:bCs w:val="0"/>
        </w:rPr>
      </w:pP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10"/>
        <w:rPr>
          <w:rFonts w:ascii="宋体" w:hAnsi="宋体" w:cs="宋体" w:eastAsia="宋体" w:hint="default"/>
          <w:b/>
          <w:bCs/>
          <w:sz w:val="19"/>
          <w:szCs w:val="19"/>
        </w:rPr>
      </w:pPr>
    </w:p>
    <w:p>
      <w:pPr>
        <w:pStyle w:val="BodyText"/>
        <w:spacing w:line="240" w:lineRule="auto"/>
        <w:ind w:left="134" w:right="1032"/>
        <w:jc w:val="left"/>
      </w:pPr>
      <w:r>
        <w:rPr/>
        <w:t>本期计提坏账准备金额</w:t>
      </w:r>
      <w:r>
        <w:rPr>
          <w:spacing w:val="-47"/>
        </w:rPr>
        <w:t> </w:t>
      </w:r>
      <w:r>
        <w:rPr>
          <w:rFonts w:ascii="Times New Roman" w:hAnsi="Times New Roman" w:cs="Times New Roman" w:eastAsia="Times New Roman" w:hint="default"/>
        </w:rPr>
        <w:t>15,506,444.76</w:t>
      </w:r>
      <w:r>
        <w:rPr>
          <w:rFonts w:ascii="Times New Roman" w:hAnsi="Times New Roman" w:cs="Times New Roman" w:eastAsia="Times New Roman" w:hint="default"/>
          <w:spacing w:val="-1"/>
        </w:rPr>
        <w:t> </w:t>
      </w:r>
      <w:r>
        <w:rPr/>
        <w:t>元；本期收回或转回坏账准备金额</w:t>
      </w:r>
      <w:r>
        <w:rPr>
          <w:spacing w:val="-47"/>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spacing w:line="240" w:lineRule="auto" w:before="11"/>
        <w:rPr>
          <w:rFonts w:ascii="宋体" w:hAnsi="宋体" w:cs="宋体" w:eastAsia="宋体" w:hint="default"/>
          <w:sz w:val="19"/>
          <w:szCs w:val="19"/>
        </w:rPr>
      </w:pPr>
    </w:p>
    <w:p>
      <w:pPr>
        <w:pStyle w:val="Heading5"/>
        <w:spacing w:line="489" w:lineRule="auto"/>
        <w:ind w:left="494" w:right="8253" w:hanging="360"/>
        <w:jc w:val="left"/>
        <w:rPr>
          <w:rFonts w:ascii="宋体" w:hAnsi="宋体" w:cs="宋体" w:eastAsia="宋体" w:hint="default"/>
          <w:b w:val="0"/>
          <w:bCs w:val="0"/>
        </w:rPr>
      </w:pPr>
      <w:r>
        <w:rPr>
          <w:rFonts w:ascii="Times New Roman" w:hAnsi="Times New Roman" w:cs="Times New Roman" w:eastAsia="Times New Roman" w:hint="default"/>
        </w:rPr>
        <w:t>3)</w:t>
      </w:r>
      <w:r>
        <w:rPr/>
        <w:t>本期实际核销的应收账款情况</w:t>
      </w:r>
      <w:r>
        <w:rPr>
          <w:w w:val="99"/>
        </w:rPr>
        <w:t> </w:t>
      </w:r>
      <w:r>
        <w:rPr>
          <w:rFonts w:ascii="宋体" w:hAnsi="宋体" w:cs="宋体" w:eastAsia="宋体" w:hint="default"/>
          <w:b w:val="0"/>
          <w:bCs w:val="0"/>
        </w:rPr>
        <w:t>无。</w:t>
      </w:r>
    </w:p>
    <w:p>
      <w:pPr>
        <w:pStyle w:val="Heading5"/>
        <w:spacing w:line="240" w:lineRule="auto" w:before="85"/>
        <w:ind w:left="134" w:right="1032"/>
        <w:jc w:val="left"/>
        <w:rPr>
          <w:b w:val="0"/>
          <w:bCs w:val="0"/>
        </w:rPr>
      </w:pP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5"/>
        <w:rPr>
          <w:rFonts w:ascii="宋体" w:hAnsi="宋体" w:cs="宋体" w:eastAsia="宋体" w:hint="default"/>
          <w:b/>
          <w:bCs/>
          <w:sz w:val="13"/>
          <w:szCs w:val="13"/>
        </w:rPr>
      </w:pPr>
    </w:p>
    <w:tbl>
      <w:tblPr>
        <w:tblW w:w="0" w:type="auto"/>
        <w:jc w:val="left"/>
        <w:tblInd w:w="117" w:type="dxa"/>
        <w:tblLayout w:type="fixed"/>
        <w:tblCellMar>
          <w:top w:w="0" w:type="dxa"/>
          <w:left w:w="0" w:type="dxa"/>
          <w:bottom w:w="0" w:type="dxa"/>
          <w:right w:w="0" w:type="dxa"/>
        </w:tblCellMar>
        <w:tblLook w:val="01E0"/>
      </w:tblPr>
      <w:tblGrid>
        <w:gridCol w:w="2987"/>
        <w:gridCol w:w="2223"/>
        <w:gridCol w:w="2224"/>
        <w:gridCol w:w="2225"/>
      </w:tblGrid>
      <w:tr>
        <w:trPr>
          <w:trHeight w:val="336" w:hRule="exact"/>
        </w:trPr>
        <w:tc>
          <w:tcPr>
            <w:tcW w:w="2987" w:type="dxa"/>
            <w:vMerge w:val="restart"/>
            <w:tcBorders>
              <w:top w:val="single" w:sz="6" w:space="0" w:color="000000"/>
              <w:left w:val="single" w:sz="6" w:space="0" w:color="000000"/>
              <w:right w:val="single" w:sz="6" w:space="0" w:color="000000"/>
            </w:tcBorders>
            <w:shd w:val="clear" w:color="auto" w:fill="D2D2D2"/>
          </w:tcPr>
          <w:p>
            <w:pPr>
              <w:pStyle w:val="TableParagraph"/>
              <w:spacing w:line="240" w:lineRule="auto" w:before="5"/>
              <w:ind w:right="0"/>
              <w:jc w:val="left"/>
              <w:rPr>
                <w:rFonts w:ascii="宋体" w:hAnsi="宋体" w:cs="宋体" w:eastAsia="宋体" w:hint="default"/>
                <w:b/>
                <w:bCs/>
                <w:sz w:val="26"/>
                <w:szCs w:val="2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6672" w:type="dxa"/>
            <w:gridSpan w:val="3"/>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6"/>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664" w:hRule="exact"/>
        </w:trPr>
        <w:tc>
          <w:tcPr>
            <w:tcW w:w="2987" w:type="dxa"/>
            <w:vMerge/>
            <w:tcBorders>
              <w:left w:val="single" w:sz="6" w:space="0" w:color="000000"/>
              <w:bottom w:val="single" w:sz="6" w:space="0" w:color="000000"/>
              <w:right w:val="single" w:sz="6" w:space="0" w:color="000000"/>
            </w:tcBorders>
            <w:shd w:val="clear" w:color="auto" w:fill="D2D2D2"/>
          </w:tcPr>
          <w:p>
            <w:pPr/>
          </w:p>
        </w:tc>
        <w:tc>
          <w:tcPr>
            <w:tcW w:w="2223"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3"/>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224"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6"/>
              <w:ind w:right="0"/>
              <w:jc w:val="center"/>
              <w:rPr>
                <w:rFonts w:ascii="宋体" w:hAnsi="宋体" w:cs="宋体" w:eastAsia="宋体" w:hint="default"/>
                <w:sz w:val="18"/>
                <w:szCs w:val="18"/>
              </w:rPr>
            </w:pPr>
            <w:r>
              <w:rPr>
                <w:rFonts w:ascii="宋体" w:hAnsi="宋体" w:cs="宋体" w:eastAsia="宋体" w:hint="default"/>
                <w:sz w:val="18"/>
                <w:szCs w:val="18"/>
              </w:rPr>
              <w:t>占应收账款合计数的比例</w:t>
            </w:r>
          </w:p>
          <w:p>
            <w:pPr>
              <w:pStyle w:val="TableParagraph"/>
              <w:spacing w:line="240" w:lineRule="auto" w:before="116"/>
              <w:ind w:right="0"/>
              <w:jc w:val="center"/>
              <w:rPr>
                <w:rFonts w:ascii="Times New Roman" w:hAnsi="Times New Roman" w:cs="Times New Roman" w:eastAsia="Times New Roman" w:hint="default"/>
                <w:sz w:val="18"/>
                <w:szCs w:val="18"/>
              </w:rPr>
            </w:pPr>
            <w:r>
              <w:rPr>
                <w:rFonts w:ascii="Times New Roman"/>
                <w:sz w:val="18"/>
              </w:rPr>
              <w:t>(%)</w:t>
            </w:r>
          </w:p>
        </w:tc>
        <w:tc>
          <w:tcPr>
            <w:tcW w:w="2225"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3"/>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347" w:hRule="exact"/>
        </w:trPr>
        <w:tc>
          <w:tcPr>
            <w:tcW w:w="2987"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126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1</w:t>
            </w:r>
          </w:p>
        </w:tc>
        <w:tc>
          <w:tcPr>
            <w:tcW w:w="22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51,114,589.14</w:t>
            </w:r>
          </w:p>
        </w:tc>
        <w:tc>
          <w:tcPr>
            <w:tcW w:w="2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6.20</w:t>
            </w:r>
          </w:p>
        </w:tc>
        <w:tc>
          <w:tcPr>
            <w:tcW w:w="2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6,681,050.25</w:t>
            </w:r>
          </w:p>
        </w:tc>
      </w:tr>
      <w:tr>
        <w:trPr>
          <w:trHeight w:val="347" w:hRule="exact"/>
        </w:trPr>
        <w:tc>
          <w:tcPr>
            <w:tcW w:w="2987"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126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2</w:t>
            </w:r>
          </w:p>
        </w:tc>
        <w:tc>
          <w:tcPr>
            <w:tcW w:w="22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49,526,586.14</w:t>
            </w:r>
          </w:p>
        </w:tc>
        <w:tc>
          <w:tcPr>
            <w:tcW w:w="2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6.01</w:t>
            </w:r>
          </w:p>
        </w:tc>
        <w:tc>
          <w:tcPr>
            <w:tcW w:w="2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4,607,711.59</w:t>
            </w:r>
          </w:p>
        </w:tc>
      </w:tr>
      <w:tr>
        <w:trPr>
          <w:trHeight w:val="348" w:hRule="exact"/>
        </w:trPr>
        <w:tc>
          <w:tcPr>
            <w:tcW w:w="2987"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126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3</w:t>
            </w:r>
          </w:p>
        </w:tc>
        <w:tc>
          <w:tcPr>
            <w:tcW w:w="22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37,712,541.03</w:t>
            </w:r>
          </w:p>
        </w:tc>
        <w:tc>
          <w:tcPr>
            <w:tcW w:w="2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4.57</w:t>
            </w:r>
          </w:p>
        </w:tc>
        <w:tc>
          <w:tcPr>
            <w:tcW w:w="2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17,027,117.91</w:t>
            </w:r>
          </w:p>
        </w:tc>
      </w:tr>
      <w:tr>
        <w:trPr>
          <w:trHeight w:val="347" w:hRule="exact"/>
        </w:trPr>
        <w:tc>
          <w:tcPr>
            <w:tcW w:w="2987"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0"/>
              <w:ind w:left="126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4</w:t>
            </w:r>
          </w:p>
        </w:tc>
        <w:tc>
          <w:tcPr>
            <w:tcW w:w="22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35,058,747.91</w:t>
            </w:r>
          </w:p>
        </w:tc>
        <w:tc>
          <w:tcPr>
            <w:tcW w:w="2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z w:val="18"/>
              </w:rPr>
              <w:t>4.25</w:t>
            </w:r>
          </w:p>
        </w:tc>
        <w:tc>
          <w:tcPr>
            <w:tcW w:w="2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12,090,911.90</w:t>
            </w:r>
          </w:p>
        </w:tc>
      </w:tr>
      <w:tr>
        <w:trPr>
          <w:trHeight w:val="347" w:hRule="exact"/>
        </w:trPr>
        <w:tc>
          <w:tcPr>
            <w:tcW w:w="2987"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126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5</w:t>
            </w:r>
          </w:p>
        </w:tc>
        <w:tc>
          <w:tcPr>
            <w:tcW w:w="22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32,622,351.16</w:t>
            </w:r>
          </w:p>
        </w:tc>
        <w:tc>
          <w:tcPr>
            <w:tcW w:w="2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3.96</w:t>
            </w:r>
          </w:p>
        </w:tc>
        <w:tc>
          <w:tcPr>
            <w:tcW w:w="2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5,037,827.05</w:t>
            </w:r>
          </w:p>
        </w:tc>
      </w:tr>
      <w:tr>
        <w:trPr>
          <w:trHeight w:val="348" w:hRule="exact"/>
        </w:trPr>
        <w:tc>
          <w:tcPr>
            <w:tcW w:w="2987"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21"/>
              <w:ind w:left="1306"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206,034,815.38</w:t>
            </w:r>
          </w:p>
        </w:tc>
        <w:tc>
          <w:tcPr>
            <w:tcW w:w="2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24.99</w:t>
            </w:r>
          </w:p>
        </w:tc>
        <w:tc>
          <w:tcPr>
            <w:tcW w:w="2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45,444,618.70</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3"/>
          <w:szCs w:val="13"/>
        </w:rPr>
      </w:pPr>
    </w:p>
    <w:p>
      <w:pPr>
        <w:pStyle w:val="Heading5"/>
        <w:spacing w:line="489" w:lineRule="auto"/>
        <w:ind w:left="494" w:right="7530" w:hanging="360"/>
        <w:jc w:val="left"/>
        <w:rPr>
          <w:rFonts w:ascii="宋体" w:hAnsi="宋体" w:cs="宋体" w:eastAsia="宋体" w:hint="default"/>
          <w:b w:val="0"/>
          <w:bCs w:val="0"/>
        </w:rPr>
      </w:pPr>
      <w:r>
        <w:rPr>
          <w:rFonts w:ascii="Times New Roman" w:hAnsi="Times New Roman" w:cs="Times New Roman" w:eastAsia="Times New Roman" w:hint="default"/>
        </w:rPr>
        <w:t>5)</w:t>
      </w:r>
      <w:r>
        <w:rPr/>
        <w:t>因金融资产转移而终止确认的应收账款</w:t>
      </w:r>
      <w:r>
        <w:rPr>
          <w:w w:val="99"/>
        </w:rPr>
        <w:t> </w:t>
      </w:r>
      <w:r>
        <w:rPr>
          <w:rFonts w:ascii="宋体" w:hAnsi="宋体" w:cs="宋体" w:eastAsia="宋体" w:hint="default"/>
          <w:b w:val="0"/>
          <w:bCs w:val="0"/>
        </w:rPr>
        <w:t>无。</w:t>
      </w:r>
    </w:p>
    <w:p>
      <w:pPr>
        <w:pStyle w:val="Heading5"/>
        <w:spacing w:line="489" w:lineRule="auto" w:before="86"/>
        <w:ind w:left="494" w:right="6447" w:hanging="360"/>
        <w:jc w:val="left"/>
        <w:rPr>
          <w:rFonts w:ascii="宋体" w:hAnsi="宋体" w:cs="宋体" w:eastAsia="宋体" w:hint="default"/>
          <w:b w:val="0"/>
          <w:bCs w:val="0"/>
        </w:rPr>
      </w:pPr>
      <w:r>
        <w:rPr>
          <w:rFonts w:ascii="Times New Roman" w:hAnsi="Times New Roman" w:cs="Times New Roman" w:eastAsia="Times New Roman" w:hint="default"/>
        </w:rPr>
        <w:t>6)</w:t>
      </w:r>
      <w:r>
        <w:rPr/>
        <w:t>转移应收账款且继续涉入形成的资产、负债金额</w:t>
      </w:r>
      <w:r>
        <w:rPr>
          <w:w w:val="99"/>
        </w:rPr>
        <w:t> </w:t>
      </w:r>
      <w:r>
        <w:rPr>
          <w:rFonts w:ascii="宋体" w:hAnsi="宋体" w:cs="宋体" w:eastAsia="宋体" w:hint="default"/>
          <w:b w:val="0"/>
          <w:bCs w:val="0"/>
        </w:rPr>
        <w:t>无。</w:t>
      </w:r>
    </w:p>
    <w:p>
      <w:pPr>
        <w:spacing w:line="240" w:lineRule="auto" w:before="5"/>
        <w:rPr>
          <w:rFonts w:ascii="宋体" w:hAnsi="宋体" w:cs="宋体" w:eastAsia="宋体" w:hint="default"/>
          <w:sz w:val="18"/>
          <w:szCs w:val="18"/>
        </w:rPr>
      </w:pPr>
    </w:p>
    <w:p>
      <w:pPr>
        <w:pStyle w:val="Heading3"/>
        <w:spacing w:line="240" w:lineRule="auto"/>
        <w:ind w:left="134" w:right="7680"/>
        <w:jc w:val="left"/>
        <w:rPr>
          <w:b w:val="0"/>
          <w:bCs w:val="0"/>
        </w:rPr>
      </w:pPr>
      <w:bookmarkStart w:name="2、其他应收款" w:id="440"/>
      <w:bookmarkEnd w:id="440"/>
      <w:r>
        <w:rPr>
          <w:b w:val="0"/>
          <w:bCs w:val="0"/>
        </w:rPr>
      </w:r>
      <w:r>
        <w:rPr>
          <w:rFonts w:ascii="Times New Roman" w:hAnsi="Times New Roman" w:cs="Times New Roman" w:eastAsia="Times New Roman" w:hint="default"/>
        </w:rPr>
        <w:t>2</w:t>
      </w:r>
      <w:r>
        <w:rPr/>
        <w:t>、其他应收款</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564,890,645.09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452,933,117.27</w:t>
            </w:r>
          </w:p>
        </w:tc>
      </w:tr>
      <w:tr>
        <w:trPr>
          <w:trHeight w:val="404"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564,890,645.09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452,933,117.27</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400" w:bottom="1160" w:left="100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1）应收利息" w:id="441"/>
      <w:bookmarkEnd w:id="441"/>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14" w:right="0"/>
        <w:jc w:val="left"/>
      </w:pPr>
      <w:r>
        <w:rPr/>
        <w:t>无。</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2）应收股利" w:id="442"/>
      <w:bookmarkEnd w:id="442"/>
      <w:r>
        <w:rPr>
          <w:b w:val="0"/>
          <w:bCs w:val="0"/>
        </w:rPr>
      </w:r>
      <w:r>
        <w:rPr/>
        <w:t>（</w:t>
      </w:r>
      <w:r>
        <w:rPr>
          <w:rFonts w:ascii="Times New Roman" w:hAnsi="Times New Roman" w:cs="Times New Roman" w:eastAsia="Times New Roman" w:hint="default"/>
        </w:rPr>
        <w:t>2</w:t>
      </w:r>
      <w:r>
        <w:rPr/>
        <w:t>）应收股利</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14" w:right="0"/>
        <w:jc w:val="left"/>
      </w:pPr>
      <w:r>
        <w:rPr/>
        <w:t>无。</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3）其他应收款" w:id="443"/>
      <w:bookmarkEnd w:id="443"/>
      <w:r>
        <w:rPr>
          <w:b w:val="0"/>
          <w:bCs w:val="0"/>
        </w:rPr>
      </w:r>
      <w:r>
        <w:rPr/>
        <w:t>（</w:t>
      </w:r>
      <w:r>
        <w:rPr>
          <w:rFonts w:ascii="Times New Roman" w:hAnsi="Times New Roman" w:cs="Times New Roman" w:eastAsia="Times New Roman" w:hint="default"/>
        </w:rPr>
        <w:t>3</w:t>
      </w:r>
      <w:r>
        <w:rPr/>
        <w:t>）其他应收款</w:t>
      </w:r>
      <w:r>
        <w:rPr>
          <w:b w:val="0"/>
          <w:bCs w:val="0"/>
        </w:rPr>
      </w:r>
    </w:p>
    <w:p>
      <w:pPr>
        <w:spacing w:line="240" w:lineRule="auto" w:before="3"/>
        <w:rPr>
          <w:rFonts w:ascii="宋体" w:hAnsi="宋体" w:cs="宋体" w:eastAsia="宋体" w:hint="default"/>
          <w:b/>
          <w:bCs/>
          <w:sz w:val="23"/>
          <w:szCs w:val="23"/>
        </w:rPr>
      </w:pPr>
    </w:p>
    <w:p>
      <w:pPr>
        <w:pStyle w:val="Heading5"/>
        <w:spacing w:line="240" w:lineRule="auto" w:before="44"/>
        <w:ind w:right="0"/>
        <w:jc w:val="left"/>
        <w:rPr>
          <w:b w:val="0"/>
          <w:bCs w:val="0"/>
        </w:rPr>
      </w:pPr>
      <w:r>
        <w:rPr>
          <w:rFonts w:ascii="Times New Roman" w:hAnsi="Times New Roman" w:cs="Times New Roman" w:eastAsia="Times New Roman" w:hint="default"/>
        </w:rPr>
        <w:t>1)</w:t>
      </w:r>
      <w:r>
        <w:rPr/>
        <w:t>其他应收款分类披露</w:t>
      </w:r>
      <w:r>
        <w:rPr>
          <w:b w:val="0"/>
          <w:bCs w:val="0"/>
        </w:rPr>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623"/>
        <w:gridCol w:w="763"/>
        <w:gridCol w:w="762"/>
        <w:gridCol w:w="762"/>
        <w:gridCol w:w="762"/>
        <w:gridCol w:w="790"/>
        <w:gridCol w:w="654"/>
        <w:gridCol w:w="762"/>
        <w:gridCol w:w="813"/>
        <w:gridCol w:w="662"/>
        <w:gridCol w:w="1202"/>
      </w:tblGrid>
      <w:tr>
        <w:trPr>
          <w:trHeight w:val="397" w:hRule="exact"/>
        </w:trPr>
        <w:tc>
          <w:tcPr>
            <w:tcW w:w="1623" w:type="dxa"/>
            <w:vMerge w:val="restart"/>
            <w:tcBorders>
              <w:top w:val="single" w:sz="4" w:space="0" w:color="000000"/>
              <w:left w:val="single" w:sz="4" w:space="0" w:color="000000"/>
              <w:right w:val="single" w:sz="4" w:space="0" w:color="000000"/>
            </w:tcBorders>
            <w:shd w:val="clear" w:color="auto" w:fill="D2D2D2"/>
          </w:tcPr>
          <w:p>
            <w:pP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23" w:type="dxa"/>
            <w:vMerge/>
            <w:tcBorders>
              <w:left w:val="single" w:sz="4" w:space="0" w:color="000000"/>
              <w:bottom w:val="nil" w:sz="6" w:space="0" w:color="auto"/>
              <w:right w:val="single" w:sz="4" w:space="0" w:color="000000"/>
            </w:tcBorders>
            <w:shd w:val="clear" w:color="auto" w:fill="D2D2D2"/>
          </w:tcPr>
          <w:p>
            <w:pPr/>
          </w:p>
        </w:tc>
        <w:tc>
          <w:tcPr>
            <w:tcW w:w="152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7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7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0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2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类别</w:t>
            </w:r>
          </w:p>
        </w:tc>
        <w:tc>
          <w:tcPr>
            <w:tcW w:w="1525"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475" w:type="dxa"/>
            <w:gridSpan w:val="2"/>
            <w:vMerge/>
            <w:tcBorders>
              <w:left w:val="single" w:sz="4" w:space="0" w:color="000000"/>
              <w:bottom w:val="single" w:sz="4" w:space="0" w:color="000000"/>
              <w:right w:val="single" w:sz="4" w:space="0" w:color="000000"/>
            </w:tcBorders>
            <w:shd w:val="clear" w:color="auto" w:fill="D2D2D2"/>
          </w:tcPr>
          <w:p>
            <w:pPr/>
          </w:p>
        </w:tc>
        <w:tc>
          <w:tcPr>
            <w:tcW w:w="1202"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23" w:type="dxa"/>
            <w:vMerge/>
            <w:tcBorders>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66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236" w:right="5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120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35"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4" w:hRule="exact"/>
        </w:trPr>
        <w:tc>
          <w:tcPr>
            <w:tcW w:w="1623" w:type="dxa"/>
            <w:vMerge w:val="restart"/>
            <w:tcBorders>
              <w:top w:val="single" w:sz="4" w:space="0" w:color="FFFFFF"/>
              <w:left w:val="single" w:sz="4" w:space="0" w:color="000000"/>
              <w:right w:val="single" w:sz="4" w:space="0" w:color="000000"/>
            </w:tcBorders>
            <w:shd w:val="clear" w:color="auto" w:fill="D2D2D2"/>
          </w:tcPr>
          <w:p>
            <w:pP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662" w:type="dxa"/>
            <w:vMerge/>
            <w:tcBorders>
              <w:left w:val="single" w:sz="4" w:space="0" w:color="000000"/>
              <w:right w:val="single" w:sz="4" w:space="0" w:color="000000"/>
            </w:tcBorders>
            <w:shd w:val="clear" w:color="auto" w:fill="D2D2D2"/>
          </w:tcPr>
          <w:p>
            <w:pPr/>
          </w:p>
        </w:tc>
        <w:tc>
          <w:tcPr>
            <w:tcW w:w="1202" w:type="dxa"/>
            <w:vMerge/>
            <w:tcBorders>
              <w:left w:val="single" w:sz="4" w:space="0" w:color="000000"/>
              <w:bottom w:val="nil" w:sz="6" w:space="0" w:color="auto"/>
              <w:right w:val="single" w:sz="4" w:space="0" w:color="000000"/>
            </w:tcBorders>
            <w:shd w:val="clear" w:color="auto" w:fill="D2D2D2"/>
          </w:tcPr>
          <w:p>
            <w:pPr/>
          </w:p>
        </w:tc>
      </w:tr>
      <w:tr>
        <w:trPr>
          <w:trHeight w:val="200" w:hRule="exact"/>
        </w:trPr>
        <w:tc>
          <w:tcPr>
            <w:tcW w:w="1623" w:type="dxa"/>
            <w:vMerge/>
            <w:tcBorders>
              <w:left w:val="single" w:sz="4" w:space="0" w:color="000000"/>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662" w:type="dxa"/>
            <w:vMerge/>
            <w:tcBorders>
              <w:left w:val="single" w:sz="4" w:space="0" w:color="000000"/>
              <w:right w:val="single" w:sz="4" w:space="0" w:color="000000"/>
            </w:tcBorders>
            <w:shd w:val="clear" w:color="auto" w:fill="D2D2D2"/>
          </w:tcPr>
          <w:p>
            <w:pPr/>
          </w:p>
        </w:tc>
        <w:tc>
          <w:tcPr>
            <w:tcW w:w="120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23"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662" w:type="dxa"/>
            <w:vMerge/>
            <w:tcBorders>
              <w:left w:val="single" w:sz="4" w:space="0" w:color="000000"/>
              <w:bottom w:val="single" w:sz="4" w:space="0" w:color="000000"/>
              <w:right w:val="single" w:sz="4" w:space="0" w:color="000000"/>
            </w:tcBorders>
            <w:shd w:val="clear" w:color="auto" w:fill="D2D2D2"/>
          </w:tcPr>
          <w:p>
            <w:pPr/>
          </w:p>
        </w:tc>
        <w:tc>
          <w:tcPr>
            <w:tcW w:w="120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6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3" w:right="0"/>
              <w:jc w:val="center"/>
              <w:rPr>
                <w:rFonts w:ascii="Times New Roman" w:hAnsi="Times New Roman" w:cs="Times New Roman" w:eastAsia="Times New Roman" w:hint="default"/>
                <w:sz w:val="18"/>
                <w:szCs w:val="18"/>
              </w:rPr>
            </w:pPr>
            <w:r>
              <w:rPr>
                <w:rFonts w:ascii="Times New Roman"/>
                <w:sz w:val="18"/>
              </w:rPr>
              <w:t>735,582,</w:t>
            </w:r>
          </w:p>
          <w:p>
            <w:pPr>
              <w:pStyle w:val="TableParagraph"/>
              <w:spacing w:line="240" w:lineRule="auto" w:before="106"/>
              <w:ind w:left="200" w:right="0"/>
              <w:jc w:val="center"/>
              <w:rPr>
                <w:rFonts w:ascii="Times New Roman" w:hAnsi="Times New Roman" w:cs="Times New Roman" w:eastAsia="Times New Roman" w:hint="default"/>
                <w:sz w:val="18"/>
                <w:szCs w:val="18"/>
              </w:rPr>
            </w:pPr>
            <w:r>
              <w:rPr>
                <w:rFonts w:ascii="Times New Roman"/>
                <w:sz w:val="18"/>
              </w:rPr>
              <w:t>301.73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sz w:val="18"/>
              </w:rPr>
              <w:t>170,691,</w:t>
            </w:r>
          </w:p>
          <w:p>
            <w:pPr>
              <w:pStyle w:val="TableParagraph"/>
              <w:spacing w:line="240" w:lineRule="auto" w:before="106"/>
              <w:ind w:left="210" w:right="0"/>
              <w:jc w:val="center"/>
              <w:rPr>
                <w:rFonts w:ascii="Times New Roman" w:hAnsi="Times New Roman" w:cs="Times New Roman" w:eastAsia="Times New Roman" w:hint="default"/>
                <w:sz w:val="18"/>
                <w:szCs w:val="18"/>
              </w:rPr>
            </w:pPr>
            <w:r>
              <w:rPr>
                <w:rFonts w:ascii="Times New Roman"/>
                <w:sz w:val="18"/>
              </w:rPr>
              <w:t>656.64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75" w:right="0"/>
              <w:jc w:val="left"/>
              <w:rPr>
                <w:rFonts w:ascii="Times New Roman" w:hAnsi="Times New Roman" w:cs="Times New Roman" w:eastAsia="Times New Roman" w:hint="default"/>
                <w:sz w:val="18"/>
                <w:szCs w:val="18"/>
              </w:rPr>
            </w:pPr>
            <w:r>
              <w:rPr>
                <w:rFonts w:ascii="Times New Roman"/>
                <w:sz w:val="18"/>
              </w:rPr>
              <w:t>23.20%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564,890,6</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45.09</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 w:right="0"/>
              <w:jc w:val="left"/>
              <w:rPr>
                <w:rFonts w:ascii="Times New Roman" w:hAnsi="Times New Roman" w:cs="Times New Roman" w:eastAsia="Times New Roman" w:hint="default"/>
                <w:sz w:val="18"/>
                <w:szCs w:val="18"/>
              </w:rPr>
            </w:pPr>
            <w:r>
              <w:rPr>
                <w:rFonts w:ascii="Times New Roman"/>
                <w:sz w:val="18"/>
              </w:rPr>
              <w:t>553,927</w:t>
            </w:r>
          </w:p>
          <w:p>
            <w:pPr>
              <w:pStyle w:val="TableParagraph"/>
              <w:spacing w:line="240" w:lineRule="auto" w:before="106"/>
              <w:ind w:left="80" w:right="0"/>
              <w:jc w:val="left"/>
              <w:rPr>
                <w:rFonts w:ascii="Times New Roman" w:hAnsi="Times New Roman" w:cs="Times New Roman" w:eastAsia="Times New Roman" w:hint="default"/>
                <w:sz w:val="18"/>
                <w:szCs w:val="18"/>
              </w:rPr>
            </w:pPr>
            <w:r>
              <w:rPr>
                <w:rFonts w:ascii="Times New Roman"/>
                <w:sz w:val="18"/>
              </w:rPr>
              <w:t>,873.33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100,994,7</w:t>
            </w:r>
          </w:p>
          <w:p>
            <w:pPr>
              <w:pStyle w:val="TableParagraph"/>
              <w:spacing w:line="240" w:lineRule="auto" w:before="106"/>
              <w:ind w:left="375" w:right="0"/>
              <w:jc w:val="left"/>
              <w:rPr>
                <w:rFonts w:ascii="Times New Roman" w:hAnsi="Times New Roman" w:cs="Times New Roman" w:eastAsia="Times New Roman" w:hint="default"/>
                <w:sz w:val="18"/>
                <w:szCs w:val="18"/>
              </w:rPr>
            </w:pPr>
            <w:r>
              <w:rPr>
                <w:rFonts w:ascii="Times New Roman"/>
                <w:sz w:val="18"/>
              </w:rPr>
              <w:t>56.06</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5" w:right="0"/>
              <w:jc w:val="left"/>
              <w:rPr>
                <w:rFonts w:ascii="Times New Roman" w:hAnsi="Times New Roman" w:cs="Times New Roman" w:eastAsia="Times New Roman" w:hint="default"/>
                <w:sz w:val="18"/>
                <w:szCs w:val="18"/>
              </w:rPr>
            </w:pPr>
            <w:r>
              <w:rPr>
                <w:rFonts w:ascii="Times New Roman"/>
                <w:sz w:val="18"/>
              </w:rPr>
              <w:t>18.23%</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452,933,117.27</w:t>
            </w:r>
          </w:p>
        </w:tc>
      </w:tr>
      <w:tr>
        <w:trPr>
          <w:trHeight w:val="161" w:hRule="exact"/>
        </w:trPr>
        <w:tc>
          <w:tcPr>
            <w:tcW w:w="1623"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vMerge w:val="restart"/>
            <w:tcBorders>
              <w:top w:val="single" w:sz="4" w:space="0" w:color="000000"/>
              <w:left w:val="single" w:sz="9" w:space="0" w:color="D2D2D2"/>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735,582,</w:t>
            </w:r>
          </w:p>
          <w:p>
            <w:pPr>
              <w:pStyle w:val="TableParagraph"/>
              <w:spacing w:line="240" w:lineRule="auto" w:before="106"/>
              <w:ind w:left="205" w:right="0"/>
              <w:jc w:val="center"/>
              <w:rPr>
                <w:rFonts w:ascii="Times New Roman" w:hAnsi="Times New Roman" w:cs="Times New Roman" w:eastAsia="Times New Roman" w:hint="default"/>
                <w:sz w:val="18"/>
                <w:szCs w:val="18"/>
              </w:rPr>
            </w:pPr>
            <w:r>
              <w:rPr>
                <w:rFonts w:ascii="Times New Roman"/>
                <w:sz w:val="18"/>
              </w:rPr>
              <w:t>301.73</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91"/>
              <w:ind w:left="74" w:right="0"/>
              <w:jc w:val="center"/>
              <w:rPr>
                <w:rFonts w:ascii="Times New Roman" w:hAnsi="Times New Roman" w:cs="Times New Roman" w:eastAsia="Times New Roman" w:hint="default"/>
                <w:sz w:val="18"/>
                <w:szCs w:val="18"/>
              </w:rPr>
            </w:pPr>
            <w:r>
              <w:rPr>
                <w:rFonts w:ascii="Times New Roman"/>
                <w:sz w:val="18"/>
              </w:rPr>
              <w:t>170,691,</w:t>
            </w:r>
          </w:p>
          <w:p>
            <w:pPr>
              <w:pStyle w:val="TableParagraph"/>
              <w:spacing w:line="240" w:lineRule="auto" w:before="106"/>
              <w:ind w:left="210" w:right="0"/>
              <w:jc w:val="center"/>
              <w:rPr>
                <w:rFonts w:ascii="Times New Roman" w:hAnsi="Times New Roman" w:cs="Times New Roman" w:eastAsia="Times New Roman" w:hint="default"/>
                <w:sz w:val="18"/>
                <w:szCs w:val="18"/>
              </w:rPr>
            </w:pPr>
            <w:r>
              <w:rPr>
                <w:rFonts w:ascii="Times New Roman"/>
                <w:sz w:val="18"/>
              </w:rPr>
              <w:t>656.64</w:t>
            </w:r>
          </w:p>
        </w:tc>
        <w:tc>
          <w:tcPr>
            <w:tcW w:w="762" w:type="dxa"/>
            <w:vMerge w:val="restart"/>
            <w:tcBorders>
              <w:top w:val="single" w:sz="4" w:space="0" w:color="000000"/>
              <w:left w:val="single" w:sz="4" w:space="0" w:color="000000"/>
              <w:right w:val="single" w:sz="4" w:space="0" w:color="000000"/>
            </w:tcBorders>
          </w:tcPr>
          <w:p>
            <w:pP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91"/>
              <w:ind w:left="37" w:right="0"/>
              <w:jc w:val="left"/>
              <w:rPr>
                <w:rFonts w:ascii="Times New Roman" w:hAnsi="Times New Roman" w:cs="Times New Roman" w:eastAsia="Times New Roman" w:hint="default"/>
                <w:sz w:val="18"/>
                <w:szCs w:val="18"/>
              </w:rPr>
            </w:pPr>
            <w:r>
              <w:rPr>
                <w:rFonts w:ascii="Times New Roman"/>
                <w:sz w:val="18"/>
              </w:rPr>
              <w:t>564,890,6</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45.09</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1"/>
              <w:ind w:left="36" w:right="0"/>
              <w:jc w:val="left"/>
              <w:rPr>
                <w:rFonts w:ascii="Times New Roman" w:hAnsi="Times New Roman" w:cs="Times New Roman" w:eastAsia="Times New Roman" w:hint="default"/>
                <w:sz w:val="18"/>
                <w:szCs w:val="18"/>
              </w:rPr>
            </w:pPr>
            <w:r>
              <w:rPr>
                <w:rFonts w:ascii="Times New Roman"/>
                <w:sz w:val="18"/>
              </w:rPr>
              <w:t>553,927</w:t>
            </w:r>
          </w:p>
          <w:p>
            <w:pPr>
              <w:pStyle w:val="TableParagraph"/>
              <w:spacing w:line="240" w:lineRule="auto" w:before="106"/>
              <w:ind w:left="80" w:right="0"/>
              <w:jc w:val="left"/>
              <w:rPr>
                <w:rFonts w:ascii="Times New Roman" w:hAnsi="Times New Roman" w:cs="Times New Roman" w:eastAsia="Times New Roman" w:hint="default"/>
                <w:sz w:val="18"/>
                <w:szCs w:val="18"/>
              </w:rPr>
            </w:pPr>
            <w:r>
              <w:rPr>
                <w:rFonts w:ascii="Times New Roman"/>
                <w:sz w:val="18"/>
              </w:rPr>
              <w:t>,873.33</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100,994,7</w:t>
            </w:r>
          </w:p>
          <w:p>
            <w:pPr>
              <w:pStyle w:val="TableParagraph"/>
              <w:spacing w:line="240" w:lineRule="auto" w:before="106"/>
              <w:ind w:left="375" w:right="0"/>
              <w:jc w:val="left"/>
              <w:rPr>
                <w:rFonts w:ascii="Times New Roman" w:hAnsi="Times New Roman" w:cs="Times New Roman" w:eastAsia="Times New Roman" w:hint="default"/>
                <w:sz w:val="18"/>
                <w:szCs w:val="18"/>
              </w:rPr>
            </w:pPr>
            <w:r>
              <w:rPr>
                <w:rFonts w:ascii="Times New Roman"/>
                <w:sz w:val="18"/>
              </w:rPr>
              <w:t>56.06</w:t>
            </w:r>
          </w:p>
        </w:tc>
        <w:tc>
          <w:tcPr>
            <w:tcW w:w="662" w:type="dxa"/>
            <w:vMerge w:val="restart"/>
            <w:tcBorders>
              <w:top w:val="single" w:sz="4" w:space="0" w:color="000000"/>
              <w:left w:val="single" w:sz="4" w:space="0" w:color="000000"/>
              <w:right w:val="single" w:sz="4" w:space="0" w:color="000000"/>
            </w:tcBorders>
          </w:tcPr>
          <w:p>
            <w:pPr/>
          </w:p>
        </w:tc>
        <w:tc>
          <w:tcPr>
            <w:tcW w:w="120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452,933,117.27</w:t>
            </w:r>
          </w:p>
        </w:tc>
      </w:tr>
      <w:tr>
        <w:trPr>
          <w:trHeight w:val="392" w:hRule="exact"/>
        </w:trPr>
        <w:tc>
          <w:tcPr>
            <w:tcW w:w="162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1202" w:type="dxa"/>
            <w:vMerge/>
            <w:tcBorders>
              <w:left w:val="single" w:sz="4" w:space="0" w:color="000000"/>
              <w:right w:val="single" w:sz="4" w:space="0" w:color="000000"/>
            </w:tcBorders>
          </w:tcPr>
          <w:p>
            <w:pPr/>
          </w:p>
        </w:tc>
      </w:tr>
      <w:tr>
        <w:trPr>
          <w:trHeight w:val="161" w:hRule="exact"/>
        </w:trPr>
        <w:tc>
          <w:tcPr>
            <w:tcW w:w="162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1202" w:type="dxa"/>
            <w:vMerge/>
            <w:tcBorders>
              <w:left w:val="single" w:sz="4" w:space="0" w:color="000000"/>
              <w:bottom w:val="single" w:sz="4" w:space="0" w:color="000000"/>
              <w:right w:val="single" w:sz="4" w:space="0" w:color="000000"/>
            </w:tcBorders>
          </w:tcPr>
          <w:p>
            <w:pPr/>
          </w:p>
        </w:tc>
      </w:tr>
    </w:tbl>
    <w:p>
      <w:pPr>
        <w:spacing w:after="0"/>
        <w:sectPr>
          <w:headerReference w:type="default" r:id="rId95"/>
          <w:pgSz w:w="11910" w:h="16840"/>
          <w:pgMar w:header="851" w:footer="979" w:top="1400" w:bottom="1160" w:left="980" w:right="0"/>
        </w:sectPr>
      </w:pPr>
    </w:p>
    <w:p>
      <w:pPr>
        <w:pStyle w:val="BodyText"/>
        <w:spacing w:line="240" w:lineRule="auto" w:before="51"/>
        <w:ind w:right="-20"/>
        <w:jc w:val="left"/>
      </w:pPr>
      <w:r>
        <w:rPr/>
        <w:t>期末单项金额重大并单项计提坏账准备的其他应收款：</w:t>
      </w:r>
    </w:p>
    <w:p>
      <w:pPr>
        <w:pStyle w:val="BodyText"/>
        <w:spacing w:line="338" w:lineRule="auto" w:before="117"/>
        <w:ind w:right="16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4"/>
        </w:rPr>
        <w:t> </w:t>
      </w:r>
      <w:r>
        <w:rPr>
          <w:rFonts w:ascii="宋体" w:hAnsi="宋体" w:cs="宋体" w:eastAsia="宋体" w:hint="default"/>
          <w:b/>
          <w:bCs/>
        </w:rPr>
        <w:t>不适用</w:t>
      </w:r>
      <w:r>
        <w:rPr>
          <w:rFonts w:ascii="宋体" w:hAnsi="宋体" w:cs="宋体" w:eastAsia="宋体" w:hint="default"/>
          <w:b/>
          <w:bCs/>
          <w:w w:val="99"/>
        </w:rPr>
        <w:t> </w:t>
      </w:r>
      <w:r>
        <w:rPr/>
        <w:t>组合中，按账龄分析法计提坏账准备的其他应收款：</w:t>
      </w:r>
    </w:p>
    <w:p>
      <w:pPr>
        <w:spacing w:before="43"/>
        <w:ind w:left="154" w:right="-2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900" w:bottom="0" w:left="980" w:right="0"/>
          <w:cols w:num="2" w:equalWidth="0">
            <w:col w:w="4475" w:space="4355"/>
            <w:col w:w="2100"/>
          </w:cols>
        </w:sectPr>
      </w:pPr>
    </w:p>
    <w:p>
      <w:pPr>
        <w:spacing w:line="240" w:lineRule="auto" w:before="0"/>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471"/>
        <w:gridCol w:w="2307"/>
        <w:gridCol w:w="2391"/>
        <w:gridCol w:w="2389"/>
      </w:tblGrid>
      <w:tr>
        <w:trPr>
          <w:trHeight w:val="206" w:hRule="exact"/>
        </w:trPr>
        <w:tc>
          <w:tcPr>
            <w:tcW w:w="2471"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6" w:hRule="exact"/>
        </w:trPr>
        <w:tc>
          <w:tcPr>
            <w:tcW w:w="247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7087" w:type="dxa"/>
            <w:gridSpan w:val="3"/>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2471" w:type="dxa"/>
            <w:vMerge/>
            <w:tcBorders>
              <w:left w:val="single" w:sz="4" w:space="0" w:color="000000"/>
              <w:bottom w:val="nil" w:sz="6" w:space="0" w:color="auto"/>
              <w:right w:val="single" w:sz="4" w:space="0" w:color="000000"/>
            </w:tcBorders>
            <w:shd w:val="clear" w:color="auto" w:fill="D2D2D2"/>
          </w:tcPr>
          <w:p>
            <w:pPr/>
          </w:p>
        </w:tc>
        <w:tc>
          <w:tcPr>
            <w:tcW w:w="230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70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8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05" w:hRule="exact"/>
        </w:trPr>
        <w:tc>
          <w:tcPr>
            <w:tcW w:w="2471" w:type="dxa"/>
            <w:tcBorders>
              <w:top w:val="nil" w:sz="6" w:space="0" w:color="auto"/>
              <w:left w:val="single" w:sz="4" w:space="0" w:color="000000"/>
              <w:bottom w:val="single" w:sz="4" w:space="0" w:color="000000"/>
              <w:right w:val="single" w:sz="4" w:space="0" w:color="000000"/>
            </w:tcBorders>
            <w:shd w:val="clear" w:color="auto" w:fill="D2D2D2"/>
          </w:tcPr>
          <w:p>
            <w:pPr/>
          </w:p>
        </w:tc>
        <w:tc>
          <w:tcPr>
            <w:tcW w:w="2307" w:type="dxa"/>
            <w:vMerge/>
            <w:tcBorders>
              <w:left w:val="single" w:sz="4" w:space="0" w:color="000000"/>
              <w:bottom w:val="single" w:sz="4" w:space="0" w:color="000000"/>
              <w:right w:val="single" w:sz="4" w:space="0" w:color="000000"/>
            </w:tcBorders>
            <w:shd w:val="clear" w:color="auto" w:fill="D2D2D2"/>
          </w:tcPr>
          <w:p>
            <w:pPr/>
          </w:p>
        </w:tc>
        <w:tc>
          <w:tcPr>
            <w:tcW w:w="2391" w:type="dxa"/>
            <w:vMerge/>
            <w:tcBorders>
              <w:left w:val="single" w:sz="4" w:space="0" w:color="000000"/>
              <w:bottom w:val="single" w:sz="4" w:space="0" w:color="000000"/>
              <w:right w:val="single" w:sz="4" w:space="0" w:color="000000"/>
            </w:tcBorders>
            <w:shd w:val="clear" w:color="auto" w:fill="D2D2D2"/>
          </w:tcPr>
          <w:p>
            <w:pPr/>
          </w:p>
        </w:tc>
        <w:tc>
          <w:tcPr>
            <w:tcW w:w="2389"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4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434,731,134.83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21,736,556.74</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4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2"/>
                <w:sz w:val="18"/>
              </w:rPr>
              <w:t>46,573,111.24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4,657,311.12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4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59,079,107.00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17,723,732.10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30.00%</w:t>
            </w:r>
          </w:p>
        </w:tc>
      </w:tr>
      <w:tr>
        <w:trPr>
          <w:trHeight w:val="402" w:hRule="exact"/>
        </w:trPr>
        <w:tc>
          <w:tcPr>
            <w:tcW w:w="24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101,450,645.99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50,725,323.00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4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89,497,844.97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71,598,275.98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80.00%</w:t>
            </w:r>
          </w:p>
        </w:tc>
      </w:tr>
      <w:tr>
        <w:trPr>
          <w:trHeight w:val="402" w:hRule="exact"/>
        </w:trPr>
        <w:tc>
          <w:tcPr>
            <w:tcW w:w="24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4,250,457.70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4,250,457.70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3" w:hRule="exact"/>
        </w:trPr>
        <w:tc>
          <w:tcPr>
            <w:tcW w:w="24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735,582,301.73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170,691,656.64</w:t>
            </w:r>
          </w:p>
        </w:tc>
        <w:tc>
          <w:tcPr>
            <w:tcW w:w="2389"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74"/>
        <w:ind w:right="0"/>
        <w:jc w:val="left"/>
      </w:pPr>
      <w:r>
        <w:rPr/>
        <w:t>组合中，采用余额百分比法计提坏账准备的其他应收款：</w:t>
      </w:r>
    </w:p>
    <w:p>
      <w:pPr>
        <w:spacing w:line="240" w:lineRule="auto" w:before="6"/>
        <w:rPr>
          <w:rFonts w:ascii="宋体" w:hAnsi="宋体" w:cs="宋体" w:eastAsia="宋体" w:hint="default"/>
          <w:sz w:val="12"/>
          <w:szCs w:val="12"/>
        </w:rPr>
      </w:pPr>
    </w:p>
    <w:p>
      <w:pPr>
        <w:pStyle w:val="BodyText"/>
        <w:spacing w:line="384" w:lineRule="auto"/>
        <w:ind w:right="66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4"/>
        </w:rPr>
        <w:t> </w:t>
      </w:r>
      <w:r>
        <w:rPr>
          <w:rFonts w:ascii="宋体" w:hAnsi="宋体" w:cs="宋体" w:eastAsia="宋体" w:hint="default"/>
          <w:b/>
          <w:bCs/>
        </w:rPr>
        <w:t>不适用</w:t>
      </w:r>
      <w:r>
        <w:rPr>
          <w:rFonts w:ascii="宋体" w:hAnsi="宋体" w:cs="宋体" w:eastAsia="宋体" w:hint="default"/>
          <w:b/>
          <w:bCs/>
          <w:w w:val="99"/>
        </w:rPr>
        <w:t> </w:t>
      </w:r>
      <w:r>
        <w:rPr/>
        <w:t>组合中，采用其他方法计提坏账准备的其他应收款：</w:t>
      </w:r>
    </w:p>
    <w:p>
      <w:pPr>
        <w:spacing w:after="0" w:line="384" w:lineRule="auto"/>
        <w:jc w:val="left"/>
        <w:sectPr>
          <w:type w:val="continuous"/>
          <w:pgSz w:w="11910" w:h="16840"/>
          <w:pgMar w:top="900" w:bottom="0" w:left="98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before="29"/>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3"/>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pStyle w:val="Heading5"/>
        <w:spacing w:line="240" w:lineRule="auto" w:before="150"/>
        <w:ind w:right="0"/>
        <w:jc w:val="left"/>
        <w:rPr>
          <w:b w:val="0"/>
          <w:bCs w:val="0"/>
        </w:rPr>
      </w:pPr>
      <w:r>
        <w:rPr>
          <w:rFonts w:ascii="Times New Roman" w:hAnsi="Times New Roman" w:cs="Times New Roman" w:eastAsia="Times New Roman" w:hint="default"/>
        </w:rPr>
        <w:t>2)</w:t>
      </w:r>
      <w:r>
        <w:rPr/>
        <w:t>本期计提、收回或转回的坏账准备情况</w:t>
      </w:r>
      <w:r>
        <w:rPr>
          <w:b w:val="0"/>
          <w:bCs w:val="0"/>
        </w:rPr>
      </w:r>
    </w:p>
    <w:p>
      <w:pPr>
        <w:pStyle w:val="BodyText"/>
        <w:spacing w:line="240" w:lineRule="auto" w:before="149"/>
        <w:ind w:left="514" w:right="0"/>
        <w:jc w:val="left"/>
      </w:pPr>
      <w:r>
        <w:rPr/>
        <w:t>本期计提坏账准备金额</w:t>
      </w:r>
      <w:r>
        <w:rPr>
          <w:spacing w:val="-47"/>
        </w:rPr>
        <w:t> </w:t>
      </w:r>
      <w:r>
        <w:rPr>
          <w:rFonts w:ascii="Times New Roman" w:hAnsi="Times New Roman" w:cs="Times New Roman" w:eastAsia="Times New Roman" w:hint="default"/>
        </w:rPr>
        <w:t>69,696,900.58</w:t>
      </w:r>
      <w:r>
        <w:rPr>
          <w:rFonts w:ascii="Times New Roman" w:hAnsi="Times New Roman" w:cs="Times New Roman" w:eastAsia="Times New Roman" w:hint="default"/>
          <w:spacing w:val="-1"/>
        </w:rPr>
        <w:t> </w:t>
      </w:r>
      <w:r>
        <w:rPr/>
        <w:t>元；本期收回或转回坏账准备金额元。</w:t>
      </w:r>
    </w:p>
    <w:p>
      <w:pPr>
        <w:pStyle w:val="Heading5"/>
        <w:spacing w:line="384" w:lineRule="auto" w:before="149"/>
        <w:ind w:left="514" w:right="8072" w:hanging="360"/>
        <w:jc w:val="left"/>
        <w:rPr>
          <w:rFonts w:ascii="宋体" w:hAnsi="宋体" w:cs="宋体" w:eastAsia="宋体" w:hint="default"/>
          <w:b w:val="0"/>
          <w:bCs w:val="0"/>
        </w:rPr>
      </w:pPr>
      <w:r>
        <w:rPr>
          <w:rFonts w:ascii="Times New Roman" w:hAnsi="Times New Roman" w:cs="Times New Roman" w:eastAsia="Times New Roman" w:hint="default"/>
        </w:rPr>
        <w:t>3)</w:t>
      </w:r>
      <w:r>
        <w:rPr/>
        <w:t>本期实际核销的其他应收款情况</w:t>
      </w:r>
      <w:r>
        <w:rPr>
          <w:w w:val="99"/>
        </w:rPr>
        <w:t> </w:t>
      </w:r>
      <w:r>
        <w:rPr>
          <w:rFonts w:ascii="宋体" w:hAnsi="宋体" w:cs="宋体" w:eastAsia="宋体" w:hint="default"/>
          <w:b w:val="0"/>
          <w:bCs w:val="0"/>
        </w:rPr>
        <w:t>无。</w:t>
      </w:r>
    </w:p>
    <w:p>
      <w:pPr>
        <w:pStyle w:val="Heading5"/>
        <w:spacing w:line="240" w:lineRule="auto" w:before="55"/>
        <w:ind w:right="0"/>
        <w:jc w:val="left"/>
        <w:rPr>
          <w:b w:val="0"/>
          <w:bCs w:val="0"/>
        </w:rPr>
      </w:pPr>
      <w:r>
        <w:rPr>
          <w:rFonts w:ascii="Times New Roman" w:hAnsi="Times New Roman" w:cs="Times New Roman" w:eastAsia="Times New Roman" w:hint="default"/>
        </w:rPr>
        <w:t>4)</w:t>
      </w:r>
      <w:r>
        <w:rPr/>
        <w:t>其他应收款按款项性质分类情况</w:t>
      </w:r>
      <w:r>
        <w:rPr>
          <w:b w:val="0"/>
          <w:bCs w:val="0"/>
        </w:rPr>
      </w:r>
    </w:p>
    <w:p>
      <w:pPr>
        <w:pStyle w:val="BodyText"/>
        <w:spacing w:line="240" w:lineRule="auto" w:before="126"/>
        <w:ind w:left="0" w:right="131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45"/>
        <w:gridCol w:w="3112"/>
        <w:gridCol w:w="3100"/>
      </w:tblGrid>
      <w:tr>
        <w:trPr>
          <w:trHeight w:val="402" w:hRule="exact"/>
        </w:trPr>
        <w:tc>
          <w:tcPr>
            <w:tcW w:w="33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6"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04"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3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合并范围内往来</w:t>
            </w:r>
          </w:p>
        </w:tc>
        <w:tc>
          <w:tcPr>
            <w:tcW w:w="31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716,721,999.41</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537,578,999.41</w:t>
            </w:r>
          </w:p>
        </w:tc>
      </w:tr>
      <w:tr>
        <w:trPr>
          <w:trHeight w:val="402" w:hRule="exact"/>
        </w:trPr>
        <w:tc>
          <w:tcPr>
            <w:tcW w:w="33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备用金、押金及保证金</w:t>
            </w:r>
          </w:p>
        </w:tc>
        <w:tc>
          <w:tcPr>
            <w:tcW w:w="31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9,344,115.13</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9,968,756.72</w:t>
            </w:r>
          </w:p>
        </w:tc>
      </w:tr>
      <w:tr>
        <w:trPr>
          <w:trHeight w:val="402" w:hRule="exact"/>
        </w:trPr>
        <w:tc>
          <w:tcPr>
            <w:tcW w:w="33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其他非大额、非特殊往来款项</w:t>
            </w:r>
          </w:p>
        </w:tc>
        <w:tc>
          <w:tcPr>
            <w:tcW w:w="31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1,941,187.19</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1,070,117.20</w:t>
            </w:r>
          </w:p>
        </w:tc>
      </w:tr>
      <w:tr>
        <w:trPr>
          <w:trHeight w:val="402" w:hRule="exact"/>
        </w:trPr>
        <w:tc>
          <w:tcPr>
            <w:tcW w:w="33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关联方欠款</w:t>
            </w:r>
          </w:p>
        </w:tc>
        <w:tc>
          <w:tcPr>
            <w:tcW w:w="31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5,310,000.00</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5,310,000.00</w:t>
            </w:r>
          </w:p>
        </w:tc>
      </w:tr>
      <w:tr>
        <w:trPr>
          <w:trHeight w:val="402" w:hRule="exact"/>
        </w:trPr>
        <w:tc>
          <w:tcPr>
            <w:tcW w:w="33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应收股权转让款</w:t>
            </w:r>
          </w:p>
        </w:tc>
        <w:tc>
          <w:tcPr>
            <w:tcW w:w="31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2,265,000.00</w:t>
            </w:r>
          </w:p>
        </w:tc>
        <w:tc>
          <w:tcPr>
            <w:tcW w:w="310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735,582,301.73</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553,927,873.33</w:t>
            </w:r>
          </w:p>
        </w:tc>
      </w:tr>
    </w:tbl>
    <w:p>
      <w:pPr>
        <w:pStyle w:val="Heading5"/>
        <w:spacing w:line="240" w:lineRule="auto" w:before="51"/>
        <w:ind w:right="0"/>
        <w:jc w:val="left"/>
        <w:rPr>
          <w:b w:val="0"/>
          <w:bCs w:val="0"/>
        </w:rPr>
      </w:pPr>
      <w:r>
        <w:rPr>
          <w:rFonts w:ascii="Times New Roman" w:hAnsi="Times New Roman" w:cs="Times New Roman" w:eastAsia="Times New Roman" w:hint="default"/>
        </w:rPr>
        <w:t>5)</w:t>
      </w:r>
      <w:r>
        <w:rPr/>
        <w:t>按欠款方归集的期末余额前五名的其他应收款情况</w:t>
      </w:r>
      <w:r>
        <w:rPr>
          <w:b w:val="0"/>
          <w:bCs w:val="0"/>
        </w:rPr>
      </w:r>
    </w:p>
    <w:p>
      <w:pPr>
        <w:pStyle w:val="BodyText"/>
        <w:spacing w:line="240" w:lineRule="auto" w:before="102"/>
        <w:ind w:left="0" w:right="131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94"/>
        <w:gridCol w:w="1134"/>
        <w:gridCol w:w="1417"/>
        <w:gridCol w:w="1094"/>
        <w:gridCol w:w="1614"/>
        <w:gridCol w:w="1615"/>
      </w:tblGrid>
      <w:tr>
        <w:trPr>
          <w:trHeight w:val="714"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11"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61"/>
              <w:jc w:val="right"/>
              <w:rPr>
                <w:rFonts w:ascii="宋体" w:hAnsi="宋体" w:cs="宋体" w:eastAsia="宋体" w:hint="default"/>
                <w:sz w:val="18"/>
                <w:szCs w:val="18"/>
              </w:rPr>
            </w:pPr>
            <w:r>
              <w:rPr>
                <w:rFonts w:ascii="宋体" w:hAnsi="宋体" w:cs="宋体" w:eastAsia="宋体" w:hint="default"/>
                <w:sz w:val="18"/>
                <w:szCs w:val="18"/>
              </w:rPr>
              <w:t>账龄</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81" w:right="81"/>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80"/>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北京神州泰岳系统集成有限公司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365,793,773.46</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85"/>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内以内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49.73%</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18,289,688.67</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奇点新源国际技术开发公司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145,000,000.00</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85"/>
              <w:jc w:val="righ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19.71%</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40,725,000.00</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神州泰岳</w:t>
            </w:r>
            <w:r>
              <w:rPr>
                <w:rFonts w:ascii="Times New Roman" w:hAnsi="Times New Roman" w:cs="Times New Roman" w:eastAsia="Times New Roman" w:hint="default"/>
                <w:sz w:val="18"/>
                <w:szCs w:val="18"/>
              </w:rPr>
              <w:t>(</w:t>
            </w:r>
            <w:r>
              <w:rPr>
                <w:rFonts w:ascii="宋体" w:hAnsi="宋体" w:cs="宋体" w:eastAsia="宋体" w:hint="default"/>
                <w:sz w:val="18"/>
                <w:szCs w:val="18"/>
              </w:rPr>
              <w:t>香港</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76,459,275.95</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85"/>
              <w:jc w:val="righ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10.39%</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56,882,776.96</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北京泰岳智桥信息技术有限公司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72,059,680.00</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85"/>
              <w:jc w:val="righ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9.80%</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32,465,968.00</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北京融聚世界网络科技有限公司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20,300,000.00</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85"/>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2.76%</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3,150,000.00</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679,612,729.41</w:t>
            </w:r>
          </w:p>
        </w:tc>
        <w:tc>
          <w:tcPr>
            <w:tcW w:w="10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92.39%</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151,513,433.63</w:t>
            </w:r>
          </w:p>
        </w:tc>
      </w:tr>
    </w:tbl>
    <w:p>
      <w:pPr>
        <w:pStyle w:val="Heading5"/>
        <w:spacing w:line="340" w:lineRule="auto" w:before="51"/>
        <w:ind w:left="514" w:right="8614" w:hanging="360"/>
        <w:jc w:val="left"/>
        <w:rPr>
          <w:rFonts w:ascii="宋体" w:hAnsi="宋体" w:cs="宋体" w:eastAsia="宋体" w:hint="default"/>
          <w:b w:val="0"/>
          <w:bCs w:val="0"/>
        </w:rPr>
      </w:pPr>
      <w:r>
        <w:rPr>
          <w:rFonts w:ascii="Times New Roman" w:hAnsi="Times New Roman" w:cs="Times New Roman" w:eastAsia="Times New Roman" w:hint="default"/>
        </w:rPr>
        <w:t>6)</w:t>
      </w:r>
      <w:r>
        <w:rPr/>
        <w:t>涉及政府补助的应收款项</w:t>
      </w:r>
      <w:r>
        <w:rPr>
          <w:w w:val="99"/>
        </w:rPr>
        <w:t> </w:t>
      </w:r>
      <w:r>
        <w:rPr>
          <w:rFonts w:ascii="宋体" w:hAnsi="宋体" w:cs="宋体" w:eastAsia="宋体" w:hint="default"/>
          <w:b w:val="0"/>
          <w:bCs w:val="0"/>
        </w:rPr>
        <w:t>无。</w:t>
      </w:r>
    </w:p>
    <w:p>
      <w:pPr>
        <w:pStyle w:val="Heading5"/>
        <w:spacing w:line="338" w:lineRule="auto" w:before="40"/>
        <w:ind w:left="514" w:right="7349" w:hanging="360"/>
        <w:jc w:val="left"/>
        <w:rPr>
          <w:rFonts w:ascii="宋体" w:hAnsi="宋体" w:cs="宋体" w:eastAsia="宋体" w:hint="default"/>
          <w:b w:val="0"/>
          <w:bCs w:val="0"/>
        </w:rPr>
      </w:pPr>
      <w:r>
        <w:rPr>
          <w:rFonts w:ascii="Times New Roman" w:hAnsi="Times New Roman" w:cs="Times New Roman" w:eastAsia="Times New Roman" w:hint="default"/>
        </w:rPr>
        <w:t>7)</w:t>
      </w:r>
      <w:r>
        <w:rPr/>
        <w:t>因金融资产转移而终止确认的其他应收款</w:t>
      </w:r>
      <w:r>
        <w:rPr>
          <w:w w:val="99"/>
        </w:rPr>
        <w:t> </w:t>
      </w:r>
      <w:r>
        <w:rPr>
          <w:rFonts w:ascii="宋体" w:hAnsi="宋体" w:cs="宋体" w:eastAsia="宋体" w:hint="default"/>
          <w:b w:val="0"/>
          <w:bCs w:val="0"/>
        </w:rPr>
        <w:t>无。</w:t>
      </w:r>
    </w:p>
    <w:p>
      <w:pPr>
        <w:pStyle w:val="Heading5"/>
        <w:spacing w:line="338" w:lineRule="auto" w:before="43"/>
        <w:ind w:left="514" w:right="6627" w:hanging="360"/>
        <w:jc w:val="left"/>
        <w:rPr>
          <w:rFonts w:ascii="宋体" w:hAnsi="宋体" w:cs="宋体" w:eastAsia="宋体" w:hint="default"/>
          <w:b w:val="0"/>
          <w:bCs w:val="0"/>
        </w:rPr>
      </w:pPr>
      <w:r>
        <w:rPr>
          <w:rFonts w:ascii="Times New Roman" w:hAnsi="Times New Roman" w:cs="Times New Roman" w:eastAsia="Times New Roman" w:hint="default"/>
        </w:rPr>
        <w:t>8)</w:t>
      </w:r>
      <w:r>
        <w:rPr/>
        <w:t>转移其他应收款且继续涉入形成的资产、负债金额</w:t>
      </w:r>
      <w:r>
        <w:rPr>
          <w:w w:val="99"/>
        </w:rPr>
        <w:t> </w:t>
      </w:r>
      <w:r>
        <w:rPr>
          <w:rFonts w:ascii="宋体" w:hAnsi="宋体" w:cs="宋体" w:eastAsia="宋体" w:hint="default"/>
          <w:b w:val="0"/>
          <w:bCs w:val="0"/>
        </w:rPr>
        <w:t>无。</w:t>
      </w:r>
    </w:p>
    <w:p>
      <w:pPr>
        <w:spacing w:line="240" w:lineRule="auto" w:before="1"/>
        <w:rPr>
          <w:rFonts w:ascii="宋体" w:hAnsi="宋体" w:cs="宋体" w:eastAsia="宋体" w:hint="default"/>
          <w:sz w:val="21"/>
          <w:szCs w:val="21"/>
        </w:rPr>
      </w:pPr>
    </w:p>
    <w:p>
      <w:pPr>
        <w:pStyle w:val="Heading3"/>
        <w:spacing w:line="240" w:lineRule="auto"/>
        <w:ind w:right="0"/>
        <w:jc w:val="left"/>
        <w:rPr>
          <w:b w:val="0"/>
          <w:bCs w:val="0"/>
        </w:rPr>
      </w:pPr>
      <w:bookmarkStart w:name="3、长期股权投资" w:id="444"/>
      <w:bookmarkEnd w:id="444"/>
      <w:r>
        <w:rPr>
          <w:b w:val="0"/>
          <w:bCs w:val="0"/>
        </w:rPr>
      </w:r>
      <w:r>
        <w:rPr>
          <w:rFonts w:ascii="Times New Roman" w:hAnsi="Times New Roman" w:cs="Times New Roman" w:eastAsia="Times New Roman" w:hint="default"/>
        </w:rPr>
        <w:t>3</w:t>
      </w:r>
      <w:r>
        <w:rPr/>
        <w:t>、长期股权投资</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after="0" w:line="240" w:lineRule="auto"/>
        <w:jc w:val="left"/>
        <w:rPr>
          <w:rFonts w:ascii="宋体" w:hAnsi="宋体" w:cs="宋体" w:eastAsia="宋体" w:hint="default"/>
          <w:sz w:val="18"/>
          <w:szCs w:val="18"/>
        </w:rPr>
        <w:sectPr>
          <w:pgSz w:w="11910" w:h="16840"/>
          <w:pgMar w:header="851" w:footer="979" w:top="1400" w:bottom="1160" w:left="980" w:right="0"/>
        </w:sectPr>
      </w:pPr>
    </w:p>
    <w:p>
      <w:pPr>
        <w:spacing w:line="240" w:lineRule="auto" w:before="6"/>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1357"/>
        <w:gridCol w:w="1379"/>
        <w:gridCol w:w="1367"/>
        <w:gridCol w:w="1367"/>
        <w:gridCol w:w="1368"/>
        <w:gridCol w:w="1367"/>
        <w:gridCol w:w="1367"/>
      </w:tblGrid>
      <w:tr>
        <w:trPr>
          <w:trHeight w:val="414" w:hRule="exact"/>
        </w:trPr>
        <w:tc>
          <w:tcPr>
            <w:tcW w:w="1357" w:type="dxa"/>
            <w:tcBorders>
              <w:top w:val="single" w:sz="10"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79" w:type="dxa"/>
            <w:tcBorders>
              <w:top w:val="single" w:sz="10" w:space="0" w:color="000000"/>
              <w:left w:val="single" w:sz="13" w:space="0" w:color="D2D2D2"/>
              <w:bottom w:val="single" w:sz="4" w:space="0" w:color="000000"/>
              <w:right w:val="single" w:sz="4" w:space="0" w:color="000000"/>
            </w:tcBorders>
          </w:tcPr>
          <w:p>
            <w:pPr>
              <w:pStyle w:val="TableParagraph"/>
              <w:spacing w:line="240" w:lineRule="auto" w:before="97"/>
              <w:ind w:right="23"/>
              <w:jc w:val="right"/>
              <w:rPr>
                <w:rFonts w:ascii="Times New Roman" w:hAnsi="Times New Roman" w:cs="Times New Roman" w:eastAsia="Times New Roman" w:hint="default"/>
                <w:sz w:val="18"/>
                <w:szCs w:val="18"/>
              </w:rPr>
            </w:pPr>
            <w:r>
              <w:rPr>
                <w:rFonts w:ascii="Times New Roman"/>
                <w:spacing w:val="-1"/>
                <w:sz w:val="18"/>
              </w:rPr>
              <w:t>3,088,297,166.63</w:t>
            </w:r>
          </w:p>
        </w:tc>
        <w:tc>
          <w:tcPr>
            <w:tcW w:w="136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0"/>
              <w:jc w:val="right"/>
              <w:rPr>
                <w:rFonts w:ascii="Times New Roman" w:hAnsi="Times New Roman" w:cs="Times New Roman" w:eastAsia="Times New Roman" w:hint="default"/>
                <w:sz w:val="18"/>
                <w:szCs w:val="18"/>
              </w:rPr>
            </w:pPr>
            <w:r>
              <w:rPr>
                <w:rFonts w:ascii="Times New Roman"/>
                <w:spacing w:val="-1"/>
                <w:sz w:val="18"/>
              </w:rPr>
              <w:t>59,253,600.00</w:t>
            </w:r>
          </w:p>
        </w:tc>
        <w:tc>
          <w:tcPr>
            <w:tcW w:w="136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Times New Roman" w:hAnsi="Times New Roman" w:cs="Times New Roman" w:eastAsia="Times New Roman" w:hint="default"/>
                <w:sz w:val="18"/>
                <w:szCs w:val="18"/>
              </w:rPr>
            </w:pPr>
            <w:r>
              <w:rPr>
                <w:rFonts w:ascii="Times New Roman"/>
                <w:spacing w:val="-1"/>
                <w:sz w:val="18"/>
              </w:rPr>
              <w:t>3,029,043,566.63</w:t>
            </w:r>
          </w:p>
        </w:tc>
        <w:tc>
          <w:tcPr>
            <w:tcW w:w="136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Times New Roman" w:hAnsi="Times New Roman" w:cs="Times New Roman" w:eastAsia="Times New Roman" w:hint="default"/>
                <w:sz w:val="18"/>
                <w:szCs w:val="18"/>
              </w:rPr>
            </w:pPr>
            <w:r>
              <w:rPr>
                <w:rFonts w:ascii="Times New Roman"/>
                <w:spacing w:val="-1"/>
                <w:sz w:val="18"/>
              </w:rPr>
              <w:t>3,032,272,166.63</w:t>
            </w:r>
          </w:p>
        </w:tc>
        <w:tc>
          <w:tcPr>
            <w:tcW w:w="136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0"/>
              <w:jc w:val="right"/>
              <w:rPr>
                <w:rFonts w:ascii="Times New Roman" w:hAnsi="Times New Roman" w:cs="Times New Roman" w:eastAsia="Times New Roman" w:hint="default"/>
                <w:sz w:val="18"/>
                <w:szCs w:val="18"/>
              </w:rPr>
            </w:pPr>
            <w:r>
              <w:rPr>
                <w:rFonts w:ascii="Times New Roman"/>
                <w:spacing w:val="-1"/>
                <w:sz w:val="18"/>
              </w:rPr>
              <w:t>49,353,600.00</w:t>
            </w:r>
          </w:p>
        </w:tc>
        <w:tc>
          <w:tcPr>
            <w:tcW w:w="136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left="50" w:right="0"/>
              <w:jc w:val="center"/>
              <w:rPr>
                <w:rFonts w:ascii="Times New Roman" w:hAnsi="Times New Roman" w:cs="Times New Roman" w:eastAsia="Times New Roman" w:hint="default"/>
                <w:sz w:val="18"/>
                <w:szCs w:val="18"/>
              </w:rPr>
            </w:pPr>
            <w:r>
              <w:rPr>
                <w:rFonts w:ascii="Times New Roman"/>
                <w:sz w:val="18"/>
              </w:rPr>
              <w:t>2,982,918,566.63</w:t>
            </w:r>
          </w:p>
        </w:tc>
      </w:tr>
      <w:tr>
        <w:trPr>
          <w:trHeight w:val="714" w:hRule="exact"/>
        </w:trPr>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62"/>
              <w:jc w:val="left"/>
              <w:rPr>
                <w:rFonts w:ascii="宋体" w:hAnsi="宋体" w:cs="宋体" w:eastAsia="宋体" w:hint="default"/>
                <w:sz w:val="18"/>
                <w:szCs w:val="18"/>
              </w:rPr>
            </w:pPr>
            <w:r>
              <w:rPr>
                <w:rFonts w:ascii="宋体" w:hAnsi="宋体" w:cs="宋体" w:eastAsia="宋体" w:hint="default"/>
                <w:sz w:val="18"/>
                <w:szCs w:val="18"/>
              </w:rPr>
              <w:t>对联营、合营企 业投资</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311,127,541.17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311,127,541.17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302,085,537.09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87" w:right="0"/>
              <w:jc w:val="center"/>
              <w:rPr>
                <w:rFonts w:ascii="Times New Roman" w:hAnsi="Times New Roman" w:cs="Times New Roman" w:eastAsia="Times New Roman" w:hint="default"/>
                <w:sz w:val="18"/>
                <w:szCs w:val="18"/>
              </w:rPr>
            </w:pPr>
            <w:r>
              <w:rPr>
                <w:rFonts w:ascii="Times New Roman"/>
                <w:sz w:val="18"/>
              </w:rPr>
              <w:t>302,085,537.09</w:t>
            </w:r>
          </w:p>
        </w:tc>
      </w:tr>
      <w:tr>
        <w:trPr>
          <w:trHeight w:val="404" w:hRule="exact"/>
        </w:trPr>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3,399,424,707.80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59,253,600.00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3,340,171,107.80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3,334,357,703.72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49,353,600.00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0" w:right="0"/>
              <w:jc w:val="center"/>
              <w:rPr>
                <w:rFonts w:ascii="Times New Roman" w:hAnsi="Times New Roman" w:cs="Times New Roman" w:eastAsia="Times New Roman" w:hint="default"/>
                <w:sz w:val="18"/>
                <w:szCs w:val="18"/>
              </w:rPr>
            </w:pPr>
            <w:r>
              <w:rPr>
                <w:rFonts w:ascii="Times New Roman"/>
                <w:sz w:val="18"/>
              </w:rPr>
              <w:t>3,285,004,103.72</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1）对子公司投资" w:id="445"/>
      <w:bookmarkEnd w:id="445"/>
      <w:r>
        <w:rPr>
          <w:b w:val="0"/>
          <w:bCs w:val="0"/>
        </w:rPr>
      </w:r>
      <w:r>
        <w:rPr/>
        <w:t>（</w:t>
      </w:r>
      <w:r>
        <w:rPr>
          <w:rFonts w:ascii="Times New Roman" w:hAnsi="Times New Roman" w:cs="Times New Roman" w:eastAsia="Times New Roman" w:hint="default"/>
        </w:rPr>
        <w:t>1</w:t>
      </w:r>
      <w:r>
        <w:rPr/>
        <w:t>）对子公司投资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2694"/>
        <w:gridCol w:w="1418"/>
        <w:gridCol w:w="1134"/>
        <w:gridCol w:w="566"/>
        <w:gridCol w:w="1419"/>
        <w:gridCol w:w="1134"/>
        <w:gridCol w:w="1202"/>
      </w:tblGrid>
      <w:tr>
        <w:trPr>
          <w:trHeight w:val="714"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92"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98" w:right="96"/>
              <w:jc w:val="left"/>
              <w:rPr>
                <w:rFonts w:ascii="宋体" w:hAnsi="宋体" w:cs="宋体" w:eastAsia="宋体" w:hint="default"/>
                <w:sz w:val="18"/>
                <w:szCs w:val="18"/>
              </w:rPr>
            </w:pPr>
            <w:r>
              <w:rPr>
                <w:rFonts w:ascii="宋体" w:hAnsi="宋体" w:cs="宋体" w:eastAsia="宋体" w:hint="default"/>
                <w:sz w:val="18"/>
                <w:szCs w:val="18"/>
              </w:rPr>
              <w:t>本期 减少</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44"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91" w:right="110" w:hanging="180"/>
              <w:jc w:val="left"/>
              <w:rPr>
                <w:rFonts w:ascii="宋体" w:hAnsi="宋体" w:cs="宋体" w:eastAsia="宋体" w:hint="default"/>
                <w:sz w:val="18"/>
                <w:szCs w:val="18"/>
              </w:rPr>
            </w:pPr>
            <w:r>
              <w:rPr>
                <w:rFonts w:ascii="宋体" w:hAnsi="宋体" w:cs="宋体" w:eastAsia="宋体" w:hint="default"/>
                <w:sz w:val="18"/>
                <w:szCs w:val="18"/>
              </w:rPr>
              <w:t>本期计提减 值准备</w:t>
            </w:r>
          </w:p>
        </w:tc>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15" w:right="55" w:hanging="360"/>
              <w:jc w:val="left"/>
              <w:rPr>
                <w:rFonts w:ascii="宋体" w:hAnsi="宋体" w:cs="宋体" w:eastAsia="宋体" w:hint="default"/>
                <w:sz w:val="18"/>
                <w:szCs w:val="18"/>
              </w:rPr>
            </w:pPr>
            <w:r>
              <w:rPr>
                <w:rFonts w:ascii="宋体" w:hAnsi="宋体" w:cs="宋体" w:eastAsia="宋体" w:hint="default"/>
                <w:sz w:val="18"/>
                <w:szCs w:val="18"/>
              </w:rPr>
              <w:t>减值准备期末 余额</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北京新媒传信科技有限公司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12,348,720.16</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12,348,720.16</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北京神州泰岳信息安全技术有限 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80,000,000.00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80,000,000.00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重庆新媒农信科技有限公司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103,300,000.00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103,300,000.00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北京互联时代通讯科技有限公司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6,977,459.86</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6,977,459.86</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北京神州泰岳系统集成有限公司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99,000,000.00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99,000,000.00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6,600,000.00</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宁波普天通信技术有限公司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240,000,000.00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240,000,000.00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宁波普金通讯设备有限公司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15,800,065.45</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15,800,065.45</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5"/>
                <w:sz w:val="18"/>
                <w:szCs w:val="18"/>
              </w:rPr>
              <w:t>奇点新源国际技术开发（北京）有</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19,677,727.06</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19,677,727.06</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神州泰岳（香港）有限公司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66,567,197.54</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66,567,197.54</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北京广通神州网络技术有限公司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55,000,000.00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55,000,000.00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5" w:right="0"/>
              <w:jc w:val="left"/>
              <w:rPr>
                <w:rFonts w:ascii="Times New Roman" w:hAnsi="Times New Roman" w:cs="Times New Roman" w:eastAsia="Times New Roman" w:hint="default"/>
                <w:sz w:val="18"/>
                <w:szCs w:val="18"/>
              </w:rPr>
            </w:pPr>
            <w:r>
              <w:rPr>
                <w:rFonts w:ascii="Times New Roman"/>
                <w:sz w:val="18"/>
              </w:rPr>
              <w:t>9,900,000.00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11,937,600.00</w:t>
            </w:r>
          </w:p>
        </w:tc>
      </w:tr>
      <w:tr>
        <w:trPr>
          <w:trHeight w:val="714"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北京神州泰岳智能数据技术有限 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80,750,000.00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80,750,000.00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天津壳木软件有限责任公司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1,210,100,000.00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1,210,100,000.00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40,716,000.00</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天津泰岳小漫科技有限公司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7,650,000.00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7,650,000.00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北京神州祥升软件有限公司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32,453,024.93</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32,453,024.93</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北京融聚世界网络科技有限公司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3,750,000.00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5" w:right="0"/>
              <w:jc w:val="left"/>
              <w:rPr>
                <w:rFonts w:ascii="Times New Roman" w:hAnsi="Times New Roman" w:cs="Times New Roman" w:eastAsia="Times New Roman" w:hint="default"/>
                <w:sz w:val="18"/>
                <w:szCs w:val="18"/>
              </w:rPr>
            </w:pPr>
            <w:r>
              <w:rPr>
                <w:rFonts w:ascii="Times New Roman"/>
                <w:sz w:val="18"/>
              </w:rPr>
              <w:t>3,750,000.00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7,500,000.00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北京华泰德丰技术有限公司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5,241,213.74</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5,241,213.74</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深圳市前海泰岳梧桐投资基金管 理有限公司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986,757.89</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986,757.89</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199"/>
              <w:jc w:val="left"/>
              <w:rPr>
                <w:rFonts w:ascii="宋体" w:hAnsi="宋体" w:cs="宋体" w:eastAsia="宋体" w:hint="default"/>
                <w:sz w:val="18"/>
                <w:szCs w:val="18"/>
              </w:rPr>
            </w:pPr>
            <w:r>
              <w:rPr>
                <w:rFonts w:ascii="宋体" w:hAnsi="宋体" w:cs="宋体" w:eastAsia="宋体" w:hint="default"/>
                <w:sz w:val="18"/>
                <w:szCs w:val="18"/>
              </w:rPr>
              <w:t>中科鼎富</w:t>
            </w:r>
            <w:r>
              <w:rPr>
                <w:rFonts w:ascii="Times New Roman" w:hAnsi="Times New Roman" w:cs="Times New Roman" w:eastAsia="Times New Roman" w:hint="default"/>
                <w:sz w:val="18"/>
                <w:szCs w:val="18"/>
              </w:rPr>
              <w:t>(</w:t>
            </w:r>
            <w:r>
              <w:rPr>
                <w:rFonts w:ascii="宋体" w:hAnsi="宋体" w:cs="宋体" w:eastAsia="宋体" w:hint="default"/>
                <w:sz w:val="18"/>
                <w:szCs w:val="18"/>
              </w:rPr>
              <w:t>北京</w:t>
            </w:r>
            <w:r>
              <w:rPr>
                <w:rFonts w:ascii="Times New Roman" w:hAnsi="Times New Roman" w:cs="Times New Roman" w:eastAsia="Times New Roman" w:hint="default"/>
                <w:sz w:val="18"/>
                <w:szCs w:val="18"/>
              </w:rPr>
              <w:t>)</w:t>
            </w:r>
            <w:r>
              <w:rPr>
                <w:rFonts w:ascii="宋体" w:hAnsi="宋体" w:cs="宋体" w:eastAsia="宋体" w:hint="default"/>
                <w:sz w:val="18"/>
                <w:szCs w:val="18"/>
              </w:rPr>
              <w:t>科技发展有限公 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600,000,000.00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600,000,000.00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北京泰岳阳光科技有限公司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390,420,000.00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390,420,000.00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北京泰岳睿安科技有限公司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750,000.00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5" w:right="0"/>
              <w:jc w:val="left"/>
              <w:rPr>
                <w:rFonts w:ascii="Times New Roman" w:hAnsi="Times New Roman" w:cs="Times New Roman" w:eastAsia="Times New Roman" w:hint="default"/>
                <w:sz w:val="18"/>
                <w:szCs w:val="18"/>
              </w:rPr>
            </w:pPr>
            <w:r>
              <w:rPr>
                <w:rFonts w:ascii="Times New Roman"/>
                <w:sz w:val="18"/>
              </w:rPr>
              <w:t>4,025,000.00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4,775,000.00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北京慧联神州科技有限公司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750,000.00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5" w:right="0"/>
              <w:jc w:val="left"/>
              <w:rPr>
                <w:rFonts w:ascii="Times New Roman" w:hAnsi="Times New Roman" w:cs="Times New Roman" w:eastAsia="Times New Roman" w:hint="default"/>
                <w:sz w:val="18"/>
                <w:szCs w:val="18"/>
              </w:rPr>
            </w:pPr>
            <w:r>
              <w:rPr>
                <w:rFonts w:ascii="Times New Roman"/>
                <w:sz w:val="18"/>
              </w:rPr>
              <w:t>5,000,000.00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5,750,000.00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北京神州智核信息技术有限公司</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750,000.00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5" w:right="0"/>
              <w:jc w:val="left"/>
              <w:rPr>
                <w:rFonts w:ascii="Times New Roman" w:hAnsi="Times New Roman" w:cs="Times New Roman" w:eastAsia="Times New Roman" w:hint="default"/>
                <w:sz w:val="18"/>
                <w:szCs w:val="18"/>
              </w:rPr>
            </w:pPr>
            <w:r>
              <w:rPr>
                <w:rFonts w:ascii="Times New Roman"/>
                <w:sz w:val="18"/>
              </w:rPr>
              <w:t>2,000,000.00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2,750,000.00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400" w:bottom="1160" w:left="1020" w:right="0"/>
        </w:sectPr>
      </w:pPr>
    </w:p>
    <w:p>
      <w:pPr>
        <w:spacing w:line="240" w:lineRule="auto" w:before="6"/>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2694"/>
        <w:gridCol w:w="1418"/>
        <w:gridCol w:w="1134"/>
        <w:gridCol w:w="566"/>
        <w:gridCol w:w="1419"/>
        <w:gridCol w:w="1134"/>
        <w:gridCol w:w="1202"/>
      </w:tblGrid>
      <w:tr>
        <w:trPr>
          <w:trHeight w:val="414" w:hRule="exact"/>
        </w:trPr>
        <w:tc>
          <w:tcPr>
            <w:tcW w:w="269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7"/>
              <w:ind w:left="22" w:right="0"/>
              <w:jc w:val="left"/>
              <w:rPr>
                <w:rFonts w:ascii="宋体" w:hAnsi="宋体" w:cs="宋体" w:eastAsia="宋体" w:hint="default"/>
                <w:sz w:val="18"/>
                <w:szCs w:val="18"/>
              </w:rPr>
            </w:pPr>
            <w:r>
              <w:rPr>
                <w:rFonts w:ascii="宋体" w:hAnsi="宋体" w:cs="宋体" w:eastAsia="宋体" w:hint="default"/>
                <w:sz w:val="18"/>
                <w:szCs w:val="18"/>
              </w:rPr>
              <w:t>安徽省泰岳祥升软件有限公司</w:t>
            </w:r>
          </w:p>
        </w:tc>
        <w:tc>
          <w:tcPr>
            <w:tcW w:w="1418" w:type="dxa"/>
            <w:tcBorders>
              <w:top w:val="single" w:sz="10" w:space="0" w:color="000000"/>
              <w:left w:val="single" w:sz="4" w:space="0" w:color="000000"/>
              <w:bottom w:val="single" w:sz="4" w:space="0" w:color="000000"/>
              <w:right w:val="single" w:sz="4" w:space="0" w:color="000000"/>
            </w:tcBorders>
          </w:tcPr>
          <w:p>
            <w:pPr/>
          </w:p>
        </w:tc>
        <w:tc>
          <w:tcPr>
            <w:tcW w:w="113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Times New Roman" w:hAnsi="Times New Roman" w:cs="Times New Roman" w:eastAsia="Times New Roman" w:hint="default"/>
                <w:sz w:val="18"/>
                <w:szCs w:val="18"/>
              </w:rPr>
            </w:pPr>
            <w:r>
              <w:rPr>
                <w:rFonts w:ascii="Times New Roman"/>
                <w:spacing w:val="-1"/>
                <w:sz w:val="18"/>
              </w:rPr>
              <w:t>40,500,000.00</w:t>
            </w:r>
          </w:p>
        </w:tc>
        <w:tc>
          <w:tcPr>
            <w:tcW w:w="566" w:type="dxa"/>
            <w:tcBorders>
              <w:top w:val="single" w:sz="10" w:space="0" w:color="000000"/>
              <w:left w:val="single" w:sz="4" w:space="0" w:color="000000"/>
              <w:bottom w:val="single" w:sz="4" w:space="0" w:color="000000"/>
              <w:right w:val="single" w:sz="4" w:space="0" w:color="000000"/>
            </w:tcBorders>
          </w:tcPr>
          <w:p>
            <w:pPr/>
          </w:p>
        </w:tc>
        <w:tc>
          <w:tcPr>
            <w:tcW w:w="1419"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7"/>
              <w:ind w:right="20"/>
              <w:jc w:val="right"/>
              <w:rPr>
                <w:rFonts w:ascii="Times New Roman" w:hAnsi="Times New Roman" w:cs="Times New Roman" w:eastAsia="Times New Roman" w:hint="default"/>
                <w:sz w:val="18"/>
                <w:szCs w:val="18"/>
              </w:rPr>
            </w:pPr>
            <w:r>
              <w:rPr>
                <w:rFonts w:ascii="Times New Roman"/>
                <w:spacing w:val="-1"/>
                <w:sz w:val="18"/>
              </w:rPr>
              <w:t>40,500,000.00</w:t>
            </w:r>
          </w:p>
        </w:tc>
        <w:tc>
          <w:tcPr>
            <w:tcW w:w="1134" w:type="dxa"/>
            <w:tcBorders>
              <w:top w:val="single" w:sz="10" w:space="0" w:color="000000"/>
              <w:left w:val="single" w:sz="4" w:space="0" w:color="000000"/>
              <w:bottom w:val="single" w:sz="4" w:space="0" w:color="000000"/>
              <w:right w:val="single" w:sz="4" w:space="0" w:color="000000"/>
            </w:tcBorders>
          </w:tcPr>
          <w:p>
            <w:pPr/>
          </w:p>
        </w:tc>
        <w:tc>
          <w:tcPr>
            <w:tcW w:w="1202" w:type="dxa"/>
            <w:tcBorders>
              <w:top w:val="single" w:sz="10" w:space="0" w:color="000000"/>
              <w:left w:val="single" w:sz="4" w:space="0" w:color="000000"/>
              <w:bottom w:val="single" w:sz="4" w:space="0" w:color="000000"/>
              <w:right w:val="single" w:sz="4" w:space="0" w:color="000000"/>
            </w:tcBorders>
          </w:tcPr>
          <w:p>
            <w:pPr/>
          </w:p>
        </w:tc>
      </w:tr>
      <w:tr>
        <w:trPr>
          <w:trHeight w:val="714"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41"/>
              <w:jc w:val="left"/>
              <w:rPr>
                <w:rFonts w:ascii="宋体" w:hAnsi="宋体" w:cs="宋体" w:eastAsia="宋体" w:hint="default"/>
                <w:sz w:val="18"/>
                <w:szCs w:val="18"/>
              </w:rPr>
            </w:pPr>
            <w:r>
              <w:rPr>
                <w:rFonts w:ascii="宋体" w:hAnsi="宋体" w:cs="宋体" w:eastAsia="宋体" w:hint="default"/>
                <w:sz w:val="18"/>
                <w:szCs w:val="18"/>
              </w:rPr>
              <w:t>北京神州泰核物联网技术有限公 司</w:t>
            </w:r>
          </w:p>
        </w:tc>
        <w:tc>
          <w:tcPr>
            <w:tcW w:w="1418"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750,000.00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750,000.00</w:t>
            </w:r>
          </w:p>
        </w:tc>
        <w:tc>
          <w:tcPr>
            <w:tcW w:w="1134" w:type="dxa"/>
            <w:tcBorders>
              <w:top w:val="single" w:sz="4" w:space="0" w:color="000000"/>
              <w:left w:val="single" w:sz="4" w:space="0" w:color="000000"/>
              <w:bottom w:val="single" w:sz="4" w:space="0" w:color="000000"/>
              <w:right w:val="single" w:sz="4" w:space="0" w:color="000000"/>
            </w:tcBorders>
          </w:tcPr>
          <w:p>
            <w:pPr/>
          </w:p>
        </w:tc>
        <w:tc>
          <w:tcPr>
            <w:tcW w:w="1202"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3" w:right="0"/>
              <w:jc w:val="left"/>
              <w:rPr>
                <w:rFonts w:ascii="Times New Roman" w:hAnsi="Times New Roman" w:cs="Times New Roman" w:eastAsia="Times New Roman" w:hint="default"/>
                <w:sz w:val="18"/>
                <w:szCs w:val="18"/>
              </w:rPr>
            </w:pPr>
            <w:r>
              <w:rPr>
                <w:rFonts w:ascii="Times New Roman"/>
                <w:sz w:val="18"/>
              </w:rPr>
              <w:t>3,032,272,166.63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56,025,000.00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3,088,297,166.63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55" w:right="0"/>
              <w:jc w:val="left"/>
              <w:rPr>
                <w:rFonts w:ascii="Times New Roman" w:hAnsi="Times New Roman" w:cs="Times New Roman" w:eastAsia="Times New Roman" w:hint="default"/>
                <w:sz w:val="18"/>
                <w:szCs w:val="18"/>
              </w:rPr>
            </w:pPr>
            <w:r>
              <w:rPr>
                <w:rFonts w:ascii="Times New Roman"/>
                <w:sz w:val="18"/>
              </w:rPr>
              <w:t>9,900,000.00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4" w:right="0"/>
              <w:jc w:val="left"/>
              <w:rPr>
                <w:rFonts w:ascii="Times New Roman" w:hAnsi="Times New Roman" w:cs="Times New Roman" w:eastAsia="Times New Roman" w:hint="default"/>
                <w:sz w:val="18"/>
                <w:szCs w:val="18"/>
              </w:rPr>
            </w:pPr>
            <w:r>
              <w:rPr>
                <w:rFonts w:ascii="Times New Roman"/>
                <w:sz w:val="18"/>
              </w:rPr>
              <w:t>59,253,600.00</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2）对联营、合营企业投资" w:id="446"/>
      <w:bookmarkEnd w:id="446"/>
      <w:r>
        <w:rPr>
          <w:b w:val="0"/>
          <w:bCs w:val="0"/>
        </w:rPr>
      </w:r>
      <w:r>
        <w:rPr/>
        <w:t>（</w:t>
      </w:r>
      <w:r>
        <w:rPr>
          <w:rFonts w:ascii="Times New Roman" w:hAnsi="Times New Roman" w:cs="Times New Roman" w:eastAsia="Times New Roman" w:hint="default"/>
        </w:rPr>
        <w:t>2</w:t>
      </w:r>
      <w:r>
        <w:rPr/>
        <w:t>）对联营、合营企业投资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796"/>
        <w:gridCol w:w="798"/>
        <w:gridCol w:w="1100"/>
        <w:gridCol w:w="494"/>
        <w:gridCol w:w="798"/>
        <w:gridCol w:w="976"/>
        <w:gridCol w:w="620"/>
        <w:gridCol w:w="798"/>
        <w:gridCol w:w="565"/>
        <w:gridCol w:w="1031"/>
        <w:gridCol w:w="1096"/>
        <w:gridCol w:w="500"/>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2" w:right="0"/>
              <w:jc w:val="left"/>
              <w:rPr>
                <w:rFonts w:ascii="宋体" w:hAnsi="宋体" w:cs="宋体" w:eastAsia="宋体" w:hint="default"/>
                <w:sz w:val="18"/>
                <w:szCs w:val="18"/>
              </w:rPr>
            </w:pPr>
            <w:r>
              <w:rPr>
                <w:rFonts w:ascii="宋体" w:hAnsi="宋体" w:cs="宋体" w:eastAsia="宋体" w:hint="default"/>
                <w:sz w:val="18"/>
                <w:szCs w:val="18"/>
              </w:rPr>
              <w:t>投资单位</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10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50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64" w:right="65"/>
              <w:jc w:val="both"/>
              <w:rPr>
                <w:rFonts w:ascii="宋体" w:hAnsi="宋体" w:cs="宋体" w:eastAsia="宋体" w:hint="default"/>
                <w:sz w:val="18"/>
                <w:szCs w:val="18"/>
              </w:rPr>
            </w:pPr>
            <w:r>
              <w:rPr>
                <w:rFonts w:ascii="宋体" w:hAnsi="宋体" w:cs="宋体" w:eastAsia="宋体" w:hint="default"/>
                <w:sz w:val="18"/>
                <w:szCs w:val="18"/>
              </w:rPr>
              <w:t>减值 准备 期末 余额</w:t>
            </w:r>
          </w:p>
        </w:tc>
      </w:tr>
      <w:tr>
        <w:trPr>
          <w:trHeight w:val="1026"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1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84"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61" w:right="61"/>
              <w:jc w:val="left"/>
              <w:rPr>
                <w:rFonts w:ascii="宋体" w:hAnsi="宋体" w:cs="宋体" w:eastAsia="宋体" w:hint="default"/>
                <w:sz w:val="18"/>
                <w:szCs w:val="18"/>
              </w:rPr>
            </w:pPr>
            <w:r>
              <w:rPr>
                <w:rFonts w:ascii="宋体" w:hAnsi="宋体" w:cs="宋体" w:eastAsia="宋体" w:hint="default"/>
                <w:sz w:val="18"/>
                <w:szCs w:val="18"/>
              </w:rPr>
              <w:t>减少 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3" w:right="33"/>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9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12" w:right="31" w:hanging="180"/>
              <w:jc w:val="left"/>
              <w:rPr>
                <w:rFonts w:ascii="宋体" w:hAnsi="宋体" w:cs="宋体" w:eastAsia="宋体" w:hint="default"/>
                <w:sz w:val="18"/>
                <w:szCs w:val="18"/>
              </w:rPr>
            </w:pPr>
            <w:r>
              <w:rPr>
                <w:rFonts w:ascii="宋体" w:hAnsi="宋体" w:cs="宋体" w:eastAsia="宋体" w:hint="default"/>
                <w:sz w:val="18"/>
                <w:szCs w:val="18"/>
              </w:rPr>
              <w:t>其他综合收 益调整</w:t>
            </w:r>
          </w:p>
        </w:tc>
        <w:tc>
          <w:tcPr>
            <w:tcW w:w="6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4" w:right="35"/>
              <w:jc w:val="left"/>
              <w:rPr>
                <w:rFonts w:ascii="宋体" w:hAnsi="宋体" w:cs="宋体" w:eastAsia="宋体" w:hint="default"/>
                <w:sz w:val="18"/>
                <w:szCs w:val="18"/>
              </w:rPr>
            </w:pPr>
            <w:r>
              <w:rPr>
                <w:rFonts w:ascii="宋体" w:hAnsi="宋体" w:cs="宋体" w:eastAsia="宋体" w:hint="default"/>
                <w:sz w:val="18"/>
                <w:szCs w:val="18"/>
              </w:rPr>
              <w:t>其他权 益变动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3" w:right="32"/>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5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97" w:right="96"/>
              <w:jc w:val="both"/>
              <w:rPr>
                <w:rFonts w:ascii="宋体" w:hAnsi="宋体" w:cs="宋体" w:eastAsia="宋体" w:hint="default"/>
                <w:sz w:val="18"/>
                <w:szCs w:val="18"/>
              </w:rPr>
            </w:pPr>
            <w:r>
              <w:rPr>
                <w:rFonts w:ascii="宋体" w:hAnsi="宋体" w:cs="宋体" w:eastAsia="宋体" w:hint="default"/>
                <w:sz w:val="18"/>
                <w:szCs w:val="18"/>
              </w:rPr>
              <w:t>计提 减值 准备</w:t>
            </w:r>
          </w:p>
        </w:tc>
        <w:tc>
          <w:tcPr>
            <w:tcW w:w="10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96" w:type="dxa"/>
            <w:vMerge/>
            <w:tcBorders>
              <w:left w:val="single" w:sz="4" w:space="0" w:color="000000"/>
              <w:bottom w:val="single" w:sz="4" w:space="0" w:color="000000"/>
              <w:right w:val="single" w:sz="4" w:space="0" w:color="000000"/>
            </w:tcBorders>
            <w:shd w:val="clear" w:color="auto" w:fill="D2D2D2"/>
          </w:tcPr>
          <w:p>
            <w:pPr/>
          </w:p>
        </w:tc>
        <w:tc>
          <w:tcPr>
            <w:tcW w:w="500"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大连华信 计算机技 术股份有 限公司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132,751,4</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35.48</w:t>
            </w:r>
          </w:p>
        </w:tc>
        <w:tc>
          <w:tcPr>
            <w:tcW w:w="1100"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16,826,49</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7.97</w:t>
            </w:r>
          </w:p>
        </w:tc>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361,146.69</w:t>
            </w:r>
          </w:p>
        </w:tc>
        <w:tc>
          <w:tcPr>
            <w:tcW w:w="62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-15,600,0</w:t>
            </w:r>
          </w:p>
          <w:p>
            <w:pPr>
              <w:pStyle w:val="TableParagraph"/>
              <w:spacing w:line="240" w:lineRule="auto" w:before="106"/>
              <w:ind w:left="359" w:right="0"/>
              <w:jc w:val="left"/>
              <w:rPr>
                <w:rFonts w:ascii="Times New Roman" w:hAnsi="Times New Roman" w:cs="Times New Roman" w:eastAsia="Times New Roman" w:hint="default"/>
                <w:sz w:val="18"/>
                <w:szCs w:val="18"/>
              </w:rPr>
            </w:pPr>
            <w:r>
              <w:rPr>
                <w:rFonts w:ascii="Times New Roman"/>
                <w:sz w:val="18"/>
              </w:rPr>
              <w:t>00.00</w:t>
            </w:r>
          </w:p>
        </w:tc>
        <w:tc>
          <w:tcPr>
            <w:tcW w:w="565" w:type="dxa"/>
            <w:tcBorders>
              <w:top w:val="single" w:sz="4" w:space="0" w:color="000000"/>
              <w:left w:val="single" w:sz="4" w:space="0" w:color="000000"/>
              <w:bottom w:val="single" w:sz="4" w:space="0" w:color="000000"/>
              <w:right w:val="single" w:sz="4" w:space="0" w:color="000000"/>
            </w:tcBorders>
          </w:tcPr>
          <w:p>
            <w:pPr/>
          </w:p>
        </w:tc>
        <w:tc>
          <w:tcPr>
            <w:tcW w:w="1031"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134,339,080.1</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4</w:t>
            </w:r>
          </w:p>
        </w:tc>
        <w:tc>
          <w:tcPr>
            <w:tcW w:w="50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宁波泰岳 梧桐投资 管理有限 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5,034,320</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.36</w:t>
            </w:r>
          </w:p>
        </w:tc>
        <w:tc>
          <w:tcPr>
            <w:tcW w:w="1100"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-415,688.</w:t>
            </w:r>
            <w:r>
              <w:rPr>
                <w:rFonts w:ascii="Times New Roman"/>
                <w:sz w:val="18"/>
              </w:rPr>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70</w:t>
            </w:r>
          </w:p>
        </w:tc>
        <w:tc>
          <w:tcPr>
            <w:tcW w:w="976"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1031"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4,618,631.66</w:t>
            </w:r>
          </w:p>
        </w:tc>
        <w:tc>
          <w:tcPr>
            <w:tcW w:w="50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北京神州 泰岳良品 电子商务 有限公司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49,388,25</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2.55</w:t>
            </w:r>
          </w:p>
        </w:tc>
        <w:tc>
          <w:tcPr>
            <w:tcW w:w="1100"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-7,426,14</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9.22</w:t>
            </w:r>
          </w:p>
        </w:tc>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-195,463.57</w:t>
            </w:r>
            <w:r>
              <w:rPr>
                <w:rFonts w:ascii="Times New Roman"/>
                <w:sz w:val="18"/>
              </w:rPr>
            </w:r>
          </w:p>
        </w:tc>
        <w:tc>
          <w:tcPr>
            <w:tcW w:w="62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1031"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41,766,639.76</w:t>
            </w:r>
          </w:p>
        </w:tc>
        <w:tc>
          <w:tcPr>
            <w:tcW w:w="50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北京神州 泰岳教育 科技有限 公司</w:t>
            </w:r>
          </w:p>
        </w:tc>
        <w:tc>
          <w:tcPr>
            <w:tcW w:w="798"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976"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1031"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c>
          <w:tcPr>
            <w:tcW w:w="5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1"/>
              <w:jc w:val="left"/>
              <w:rPr>
                <w:rFonts w:ascii="宋体" w:hAnsi="宋体" w:cs="宋体" w:eastAsia="宋体" w:hint="default"/>
                <w:sz w:val="18"/>
                <w:szCs w:val="18"/>
              </w:rPr>
            </w:pPr>
            <w:r>
              <w:rPr>
                <w:rFonts w:ascii="宋体" w:hAnsi="宋体" w:cs="宋体" w:eastAsia="宋体" w:hint="default"/>
                <w:sz w:val="18"/>
                <w:szCs w:val="18"/>
              </w:rPr>
              <w:t>蓝鸥科技 有限公司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 w:right="0"/>
              <w:jc w:val="left"/>
              <w:rPr>
                <w:rFonts w:ascii="Times New Roman" w:hAnsi="Times New Roman" w:cs="Times New Roman" w:eastAsia="Times New Roman" w:hint="default"/>
                <w:sz w:val="18"/>
                <w:szCs w:val="18"/>
              </w:rPr>
            </w:pPr>
            <w:r>
              <w:rPr>
                <w:rFonts w:ascii="Times New Roman"/>
                <w:sz w:val="18"/>
              </w:rPr>
              <w:t>113,959,3</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70.72</w:t>
            </w:r>
          </w:p>
        </w:tc>
        <w:tc>
          <w:tcPr>
            <w:tcW w:w="1100"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-8,768,78</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1.09</w:t>
            </w:r>
          </w:p>
        </w:tc>
        <w:tc>
          <w:tcPr>
            <w:tcW w:w="976"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1031"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105,190,589.6</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3</w:t>
            </w:r>
          </w:p>
        </w:tc>
        <w:tc>
          <w:tcPr>
            <w:tcW w:w="50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珠海神州 泰岳投资 管理有限 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367,286.7</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5</w:t>
            </w:r>
          </w:p>
        </w:tc>
        <w:tc>
          <w:tcPr>
            <w:tcW w:w="1100"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255,493.1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8</w:t>
            </w:r>
          </w:p>
        </w:tc>
        <w:tc>
          <w:tcPr>
            <w:tcW w:w="976"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1031"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622,779.93</w:t>
            </w:r>
          </w:p>
        </w:tc>
        <w:tc>
          <w:tcPr>
            <w:tcW w:w="50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珠海泰岳 梧桐投资 管理有限 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584,871.2</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3</w:t>
            </w:r>
          </w:p>
        </w:tc>
        <w:tc>
          <w:tcPr>
            <w:tcW w:w="1100" w:type="dxa"/>
            <w:tcBorders>
              <w:top w:val="single" w:sz="4" w:space="0" w:color="000000"/>
              <w:left w:val="single" w:sz="4" w:space="0" w:color="000000"/>
              <w:bottom w:val="single" w:sz="4" w:space="0" w:color="000000"/>
              <w:right w:val="single" w:sz="4" w:space="0" w:color="000000"/>
            </w:tcBorders>
          </w:tcPr>
          <w:p>
            <w:pPr/>
          </w:p>
        </w:tc>
        <w:tc>
          <w:tcPr>
            <w:tcW w:w="494"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27,926.42</w:t>
            </w:r>
          </w:p>
        </w:tc>
        <w:tc>
          <w:tcPr>
            <w:tcW w:w="976"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1031"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612,797.65</w:t>
            </w:r>
          </w:p>
        </w:tc>
        <w:tc>
          <w:tcPr>
            <w:tcW w:w="5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400" w:bottom="1160" w:left="1020" w:right="0"/>
        </w:sectPr>
      </w:pPr>
    </w:p>
    <w:p>
      <w:pPr>
        <w:spacing w:line="240" w:lineRule="auto" w:before="6"/>
        <w:rPr>
          <w:rFonts w:ascii="宋体" w:hAnsi="宋体" w:cs="宋体" w:eastAsia="宋体" w:hint="default"/>
          <w:sz w:val="2"/>
          <w:szCs w:val="2"/>
        </w:rPr>
      </w:pPr>
    </w:p>
    <w:tbl>
      <w:tblPr>
        <w:tblW w:w="0" w:type="auto"/>
        <w:jc w:val="left"/>
        <w:tblInd w:w="109" w:type="dxa"/>
        <w:tblLayout w:type="fixed"/>
        <w:tblCellMar>
          <w:top w:w="0" w:type="dxa"/>
          <w:left w:w="0" w:type="dxa"/>
          <w:bottom w:w="0" w:type="dxa"/>
          <w:right w:w="0" w:type="dxa"/>
        </w:tblCellMar>
        <w:tblLook w:val="01E0"/>
      </w:tblPr>
      <w:tblGrid>
        <w:gridCol w:w="796"/>
        <w:gridCol w:w="798"/>
        <w:gridCol w:w="1100"/>
        <w:gridCol w:w="494"/>
        <w:gridCol w:w="798"/>
        <w:gridCol w:w="976"/>
        <w:gridCol w:w="620"/>
        <w:gridCol w:w="798"/>
        <w:gridCol w:w="565"/>
        <w:gridCol w:w="1031"/>
        <w:gridCol w:w="1096"/>
        <w:gridCol w:w="500"/>
      </w:tblGrid>
      <w:tr>
        <w:trPr>
          <w:trHeight w:val="1038" w:hRule="exact"/>
        </w:trPr>
        <w:tc>
          <w:tcPr>
            <w:tcW w:w="796" w:type="dxa"/>
            <w:tcBorders>
              <w:top w:val="single" w:sz="10" w:space="0" w:color="000000"/>
              <w:left w:val="single" w:sz="4" w:space="0" w:color="000000"/>
              <w:bottom w:val="single" w:sz="4" w:space="0" w:color="000000"/>
              <w:right w:val="single" w:sz="4" w:space="0" w:color="000000"/>
            </w:tcBorders>
          </w:tcPr>
          <w:p>
            <w:pPr>
              <w:pStyle w:val="TableParagraph"/>
              <w:spacing w:line="316" w:lineRule="auto" w:before="57"/>
              <w:ind w:left="22" w:right="41"/>
              <w:jc w:val="both"/>
              <w:rPr>
                <w:rFonts w:ascii="Times New Roman" w:hAnsi="Times New Roman" w:cs="Times New Roman" w:eastAsia="Times New Roman" w:hint="default"/>
                <w:sz w:val="18"/>
                <w:szCs w:val="18"/>
              </w:rPr>
            </w:pPr>
            <w:r>
              <w:rPr>
                <w:rFonts w:ascii="宋体" w:hAnsi="宋体" w:cs="宋体" w:eastAsia="宋体" w:hint="default"/>
                <w:sz w:val="18"/>
                <w:szCs w:val="18"/>
              </w:rPr>
              <w:t>北京玄一 科技有限 公司</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c>
        <w:tc>
          <w:tcPr>
            <w:tcW w:w="798" w:type="dxa"/>
            <w:tcBorders>
              <w:top w:val="single" w:sz="10" w:space="0" w:color="000000"/>
              <w:left w:val="single" w:sz="4" w:space="0" w:color="000000"/>
              <w:bottom w:val="single" w:sz="4" w:space="0" w:color="000000"/>
              <w:right w:val="single" w:sz="4" w:space="0" w:color="000000"/>
            </w:tcBorders>
          </w:tcPr>
          <w:p>
            <w:pPr/>
          </w:p>
        </w:tc>
        <w:tc>
          <w:tcPr>
            <w:tcW w:w="110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9,000,000.00</w:t>
            </w:r>
          </w:p>
        </w:tc>
        <w:tc>
          <w:tcPr>
            <w:tcW w:w="494" w:type="dxa"/>
            <w:tcBorders>
              <w:top w:val="single" w:sz="10" w:space="0" w:color="000000"/>
              <w:left w:val="single" w:sz="4" w:space="0" w:color="000000"/>
              <w:bottom w:val="single" w:sz="4" w:space="0" w:color="000000"/>
              <w:right w:val="single" w:sz="4" w:space="0" w:color="000000"/>
            </w:tcBorders>
          </w:tcPr>
          <w:p>
            <w:pPr/>
          </w:p>
        </w:tc>
        <w:tc>
          <w:tcPr>
            <w:tcW w:w="79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-2,165,29</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8.80</w:t>
            </w:r>
          </w:p>
        </w:tc>
        <w:tc>
          <w:tcPr>
            <w:tcW w:w="976" w:type="dxa"/>
            <w:tcBorders>
              <w:top w:val="single" w:sz="10" w:space="0" w:color="000000"/>
              <w:left w:val="single" w:sz="4" w:space="0" w:color="000000"/>
              <w:bottom w:val="single" w:sz="4" w:space="0" w:color="000000"/>
              <w:right w:val="single" w:sz="4" w:space="0" w:color="000000"/>
            </w:tcBorders>
          </w:tcPr>
          <w:p>
            <w:pPr/>
          </w:p>
        </w:tc>
        <w:tc>
          <w:tcPr>
            <w:tcW w:w="620" w:type="dxa"/>
            <w:tcBorders>
              <w:top w:val="single" w:sz="10" w:space="0" w:color="000000"/>
              <w:left w:val="single" w:sz="4" w:space="0" w:color="000000"/>
              <w:bottom w:val="single" w:sz="4" w:space="0" w:color="000000"/>
              <w:right w:val="single" w:sz="4" w:space="0" w:color="000000"/>
            </w:tcBorders>
          </w:tcPr>
          <w:p>
            <w:pPr/>
          </w:p>
        </w:tc>
        <w:tc>
          <w:tcPr>
            <w:tcW w:w="798" w:type="dxa"/>
            <w:tcBorders>
              <w:top w:val="single" w:sz="10" w:space="0" w:color="000000"/>
              <w:left w:val="single" w:sz="4" w:space="0" w:color="000000"/>
              <w:bottom w:val="single" w:sz="4" w:space="0" w:color="000000"/>
              <w:right w:val="single" w:sz="4" w:space="0" w:color="000000"/>
            </w:tcBorders>
          </w:tcPr>
          <w:p>
            <w:pPr/>
          </w:p>
        </w:tc>
        <w:tc>
          <w:tcPr>
            <w:tcW w:w="565" w:type="dxa"/>
            <w:tcBorders>
              <w:top w:val="single" w:sz="10" w:space="0" w:color="000000"/>
              <w:left w:val="single" w:sz="4" w:space="0" w:color="000000"/>
              <w:bottom w:val="single" w:sz="4" w:space="0" w:color="000000"/>
              <w:right w:val="single" w:sz="4" w:space="0" w:color="000000"/>
            </w:tcBorders>
          </w:tcPr>
          <w:p>
            <w:pPr/>
          </w:p>
        </w:tc>
        <w:tc>
          <w:tcPr>
            <w:tcW w:w="103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-6,834,701.2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96" w:type="dxa"/>
            <w:tcBorders>
              <w:top w:val="single" w:sz="10" w:space="0" w:color="000000"/>
              <w:left w:val="single" w:sz="4" w:space="0" w:color="000000"/>
              <w:bottom w:val="single" w:sz="4" w:space="0" w:color="000000"/>
              <w:right w:val="single" w:sz="4" w:space="0" w:color="000000"/>
            </w:tcBorders>
          </w:tcPr>
          <w:p>
            <w:pPr/>
          </w:p>
        </w:tc>
        <w:tc>
          <w:tcPr>
            <w:tcW w:w="500" w:type="dxa"/>
            <w:tcBorders>
              <w:top w:val="single" w:sz="10" w:space="0" w:color="000000"/>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22" w:right="41"/>
              <w:jc w:val="both"/>
              <w:rPr>
                <w:rFonts w:ascii="宋体" w:hAnsi="宋体" w:cs="宋体" w:eastAsia="宋体" w:hint="default"/>
                <w:sz w:val="18"/>
                <w:szCs w:val="18"/>
              </w:rPr>
            </w:pPr>
            <w:r>
              <w:rPr>
                <w:rFonts w:ascii="宋体" w:hAnsi="宋体" w:cs="宋体" w:eastAsia="宋体" w:hint="default"/>
                <w:sz w:val="18"/>
                <w:szCs w:val="18"/>
              </w:rPr>
              <w:t>中建智能 技术有限 公司</w:t>
            </w:r>
          </w:p>
        </w:tc>
        <w:tc>
          <w:tcPr>
            <w:tcW w:w="798" w:type="dxa"/>
            <w:tcBorders>
              <w:top w:val="single" w:sz="4" w:space="0" w:color="000000"/>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24,500,000.00</w:t>
            </w:r>
          </w:p>
        </w:tc>
        <w:tc>
          <w:tcPr>
            <w:tcW w:w="494"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-522,977.</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60</w:t>
            </w:r>
          </w:p>
        </w:tc>
        <w:tc>
          <w:tcPr>
            <w:tcW w:w="976"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565" w:type="dxa"/>
            <w:tcBorders>
              <w:top w:val="single" w:sz="4" w:space="0" w:color="000000"/>
              <w:left w:val="single" w:sz="4" w:space="0" w:color="000000"/>
              <w:bottom w:val="single" w:sz="4" w:space="0" w:color="000000"/>
              <w:right w:val="single" w:sz="4" w:space="0" w:color="000000"/>
            </w:tcBorders>
          </w:tcPr>
          <w:p>
            <w:pPr/>
          </w:p>
        </w:tc>
        <w:tc>
          <w:tcPr>
            <w:tcW w:w="1031"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23,977,022.40</w:t>
            </w:r>
          </w:p>
        </w:tc>
        <w:tc>
          <w:tcPr>
            <w:tcW w:w="5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5" w:right="0"/>
              <w:jc w:val="left"/>
              <w:rPr>
                <w:rFonts w:ascii="Times New Roman" w:hAnsi="Times New Roman" w:cs="Times New Roman" w:eastAsia="Times New Roman" w:hint="default"/>
                <w:sz w:val="18"/>
                <w:szCs w:val="18"/>
              </w:rPr>
            </w:pPr>
            <w:r>
              <w:rPr>
                <w:rFonts w:ascii="Times New Roman"/>
                <w:sz w:val="18"/>
              </w:rPr>
              <w:t>302,085,5</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37.09</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33,500,000.00</w:t>
            </w:r>
          </w:p>
        </w:tc>
        <w:tc>
          <w:tcPr>
            <w:tcW w:w="494"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4" w:right="0"/>
              <w:jc w:val="left"/>
              <w:rPr>
                <w:rFonts w:ascii="Times New Roman" w:hAnsi="Times New Roman" w:cs="Times New Roman" w:eastAsia="Times New Roman" w:hint="default"/>
                <w:sz w:val="18"/>
                <w:szCs w:val="18"/>
              </w:rPr>
            </w:pPr>
            <w:r>
              <w:rPr>
                <w:rFonts w:ascii="Times New Roman"/>
                <w:sz w:val="18"/>
              </w:rPr>
              <w:t>-2,188,97</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7.84</w:t>
            </w:r>
          </w:p>
        </w:tc>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165,683.12</w:t>
            </w:r>
          </w:p>
        </w:tc>
        <w:tc>
          <w:tcPr>
            <w:tcW w:w="62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4" w:right="0"/>
              <w:jc w:val="left"/>
              <w:rPr>
                <w:rFonts w:ascii="Times New Roman" w:hAnsi="Times New Roman" w:cs="Times New Roman" w:eastAsia="Times New Roman" w:hint="default"/>
                <w:sz w:val="18"/>
                <w:szCs w:val="18"/>
              </w:rPr>
            </w:pPr>
            <w:r>
              <w:rPr>
                <w:rFonts w:ascii="Times New Roman"/>
                <w:sz w:val="18"/>
              </w:rPr>
              <w:t>-15,600,0</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00.00</w:t>
            </w:r>
          </w:p>
        </w:tc>
        <w:tc>
          <w:tcPr>
            <w:tcW w:w="565" w:type="dxa"/>
            <w:tcBorders>
              <w:top w:val="single" w:sz="4" w:space="0" w:color="000000"/>
              <w:left w:val="single" w:sz="4" w:space="0" w:color="000000"/>
              <w:bottom w:val="single" w:sz="4" w:space="0" w:color="000000"/>
              <w:right w:val="single" w:sz="4" w:space="0" w:color="000000"/>
            </w:tcBorders>
          </w:tcPr>
          <w:p>
            <w:pPr/>
          </w:p>
        </w:tc>
        <w:tc>
          <w:tcPr>
            <w:tcW w:w="10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-6,834,701.2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311,127,541.1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50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5" w:right="0"/>
              <w:jc w:val="left"/>
              <w:rPr>
                <w:rFonts w:ascii="Times New Roman" w:hAnsi="Times New Roman" w:cs="Times New Roman" w:eastAsia="Times New Roman" w:hint="default"/>
                <w:sz w:val="18"/>
                <w:szCs w:val="18"/>
              </w:rPr>
            </w:pPr>
            <w:r>
              <w:rPr>
                <w:rFonts w:ascii="Times New Roman"/>
                <w:sz w:val="18"/>
              </w:rPr>
              <w:t>302,085,5</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37.09</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33,500,000.00</w:t>
            </w:r>
          </w:p>
        </w:tc>
        <w:tc>
          <w:tcPr>
            <w:tcW w:w="494"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4" w:right="0"/>
              <w:jc w:val="left"/>
              <w:rPr>
                <w:rFonts w:ascii="Times New Roman" w:hAnsi="Times New Roman" w:cs="Times New Roman" w:eastAsia="Times New Roman" w:hint="default"/>
                <w:sz w:val="18"/>
                <w:szCs w:val="18"/>
              </w:rPr>
            </w:pPr>
            <w:r>
              <w:rPr>
                <w:rFonts w:ascii="Times New Roman"/>
                <w:sz w:val="18"/>
              </w:rPr>
              <w:t>-2,188,97</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7.84</w:t>
            </w:r>
          </w:p>
        </w:tc>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165,683.12</w:t>
            </w:r>
          </w:p>
        </w:tc>
        <w:tc>
          <w:tcPr>
            <w:tcW w:w="62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4" w:right="0"/>
              <w:jc w:val="left"/>
              <w:rPr>
                <w:rFonts w:ascii="Times New Roman" w:hAnsi="Times New Roman" w:cs="Times New Roman" w:eastAsia="Times New Roman" w:hint="default"/>
                <w:sz w:val="18"/>
                <w:szCs w:val="18"/>
              </w:rPr>
            </w:pPr>
            <w:r>
              <w:rPr>
                <w:rFonts w:ascii="Times New Roman"/>
                <w:sz w:val="18"/>
              </w:rPr>
              <w:t>-15,600,0</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00.00</w:t>
            </w:r>
          </w:p>
        </w:tc>
        <w:tc>
          <w:tcPr>
            <w:tcW w:w="565" w:type="dxa"/>
            <w:tcBorders>
              <w:top w:val="single" w:sz="4" w:space="0" w:color="000000"/>
              <w:left w:val="single" w:sz="4" w:space="0" w:color="000000"/>
              <w:bottom w:val="single" w:sz="4" w:space="0" w:color="000000"/>
              <w:right w:val="single" w:sz="4" w:space="0" w:color="000000"/>
            </w:tcBorders>
          </w:tcPr>
          <w:p>
            <w:pPr/>
          </w:p>
        </w:tc>
        <w:tc>
          <w:tcPr>
            <w:tcW w:w="10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-6,834,701.2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311,127,541.1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50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1"/>
        <w:rPr>
          <w:rFonts w:ascii="宋体" w:hAnsi="宋体" w:cs="宋体" w:eastAsia="宋体" w:hint="default"/>
          <w:sz w:val="21"/>
          <w:szCs w:val="21"/>
        </w:rPr>
      </w:pPr>
    </w:p>
    <w:p>
      <w:pPr>
        <w:pStyle w:val="BodyText"/>
        <w:spacing w:line="240" w:lineRule="auto" w:before="44"/>
        <w:ind w:left="474" w:right="1276"/>
        <w:jc w:val="left"/>
        <w:rPr>
          <w:rFonts w:ascii="Times New Roman" w:hAnsi="Times New Roman" w:cs="Times New Roman" w:eastAsia="Times New Roman" w:hint="default"/>
        </w:rPr>
      </w:pPr>
      <w:r>
        <w:rPr/>
        <w:t>注：详见附注七、十四、注</w:t>
      </w:r>
      <w:r>
        <w:rPr>
          <w:spacing w:val="-46"/>
        </w:rPr>
        <w:t> </w:t>
      </w:r>
      <w:r>
        <w:rPr>
          <w:rFonts w:ascii="Times New Roman" w:hAnsi="Times New Roman" w:cs="Times New Roman" w:eastAsia="Times New Roman" w:hint="default"/>
        </w:rPr>
        <w:t>6</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pStyle w:val="Heading3"/>
        <w:spacing w:line="240" w:lineRule="auto"/>
        <w:ind w:left="114" w:right="1276"/>
        <w:jc w:val="left"/>
        <w:rPr>
          <w:b w:val="0"/>
          <w:bCs w:val="0"/>
        </w:rPr>
      </w:pPr>
      <w:bookmarkStart w:name="4、营业收入和营业成本" w:id="447"/>
      <w:bookmarkEnd w:id="447"/>
      <w:r>
        <w:rPr>
          <w:b w:val="0"/>
          <w:bCs w:val="0"/>
        </w:rPr>
      </w:r>
      <w:r>
        <w:rPr>
          <w:rFonts w:ascii="Times New Roman" w:hAnsi="Times New Roman" w:cs="Times New Roman" w:eastAsia="Times New Roman" w:hint="default"/>
        </w:rPr>
        <w:t>4</w:t>
      </w:r>
      <w:r>
        <w:rPr/>
        <w:t>、营业收入和营业成本</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995"/>
        <w:gridCol w:w="1838"/>
        <w:gridCol w:w="1913"/>
        <w:gridCol w:w="1913"/>
        <w:gridCol w:w="1913"/>
      </w:tblGrid>
      <w:tr>
        <w:trPr>
          <w:trHeight w:val="206" w:hRule="exact"/>
        </w:trPr>
        <w:tc>
          <w:tcPr>
            <w:tcW w:w="1995" w:type="dxa"/>
            <w:tcBorders>
              <w:top w:val="single" w:sz="4" w:space="0" w:color="000000"/>
              <w:left w:val="single" w:sz="4" w:space="0" w:color="000000"/>
              <w:bottom w:val="nil" w:sz="6" w:space="0" w:color="auto"/>
              <w:right w:val="single" w:sz="4" w:space="0" w:color="000000"/>
            </w:tcBorders>
            <w:shd w:val="clear" w:color="auto" w:fill="D2D2D2"/>
          </w:tcPr>
          <w:p>
            <w:pPr/>
          </w:p>
        </w:tc>
        <w:tc>
          <w:tcPr>
            <w:tcW w:w="375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1" w:hRule="exact"/>
        </w:trPr>
        <w:tc>
          <w:tcPr>
            <w:tcW w:w="199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750" w:type="dxa"/>
            <w:gridSpan w:val="2"/>
            <w:vMerge/>
            <w:tcBorders>
              <w:left w:val="single" w:sz="4" w:space="0" w:color="000000"/>
              <w:bottom w:val="single" w:sz="4" w:space="0" w:color="000000"/>
              <w:right w:val="single" w:sz="4" w:space="0" w:color="000000"/>
            </w:tcBorders>
            <w:shd w:val="clear" w:color="auto" w:fill="D2D2D2"/>
          </w:tcPr>
          <w:p>
            <w:pP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995" w:type="dxa"/>
            <w:vMerge/>
            <w:tcBorders>
              <w:left w:val="single" w:sz="4" w:space="0" w:color="000000"/>
              <w:bottom w:val="nil" w:sz="6" w:space="0" w:color="auto"/>
              <w:right w:val="single" w:sz="4" w:space="0" w:color="000000"/>
            </w:tcBorders>
            <w:shd w:val="clear" w:color="auto" w:fill="D2D2D2"/>
          </w:tcPr>
          <w:p>
            <w:pPr/>
          </w:p>
        </w:tc>
        <w:tc>
          <w:tcPr>
            <w:tcW w:w="183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6" w:hRule="exact"/>
        </w:trPr>
        <w:tc>
          <w:tcPr>
            <w:tcW w:w="1995" w:type="dxa"/>
            <w:tcBorders>
              <w:top w:val="nil" w:sz="6" w:space="0" w:color="auto"/>
              <w:left w:val="single" w:sz="4" w:space="0" w:color="000000"/>
              <w:bottom w:val="single" w:sz="4" w:space="0" w:color="000000"/>
              <w:right w:val="single" w:sz="4" w:space="0" w:color="000000"/>
            </w:tcBorders>
            <w:shd w:val="clear" w:color="auto" w:fill="D2D2D2"/>
          </w:tcPr>
          <w:p>
            <w:pPr/>
          </w:p>
        </w:tc>
        <w:tc>
          <w:tcPr>
            <w:tcW w:w="1838"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3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712,814,016.03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240,977,133.72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688,688,287.23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218,753,630.24</w:t>
            </w:r>
          </w:p>
        </w:tc>
      </w:tr>
      <w:tr>
        <w:trPr>
          <w:trHeight w:val="402"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3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35,645,727.69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7,337,576.83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31,285,197.08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4,789,754.41</w:t>
            </w:r>
          </w:p>
        </w:tc>
      </w:tr>
      <w:tr>
        <w:trPr>
          <w:trHeight w:val="402"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748,459,743.72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248,314,710.55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719,973,484.31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223,543,384.65</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5、投资收益" w:id="448"/>
      <w:bookmarkEnd w:id="448"/>
      <w:r>
        <w:rPr>
          <w:b w:val="0"/>
          <w:bCs w:val="0"/>
        </w:rPr>
      </w:r>
      <w:r>
        <w:rPr>
          <w:rFonts w:ascii="Times New Roman" w:hAnsi="Times New Roman" w:cs="Times New Roman" w:eastAsia="Times New Roman" w:hint="default"/>
        </w:rPr>
        <w:t>5</w:t>
      </w:r>
      <w:r>
        <w:rPr/>
        <w:t>、投资收益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0" w:right="1130"/>
        <w:jc w:val="right"/>
      </w:pPr>
      <w:r>
        <w:rPr/>
        <w:t>单位： 元</w:t>
      </w:r>
    </w:p>
    <w:p>
      <w:pPr>
        <w:spacing w:line="240" w:lineRule="auto" w:before="1"/>
        <w:rPr>
          <w:rFonts w:ascii="宋体" w:hAnsi="宋体" w:cs="宋体" w:eastAsia="宋体" w:hint="default"/>
          <w:sz w:val="8"/>
          <w:szCs w:val="8"/>
        </w:rPr>
      </w:pPr>
    </w:p>
    <w:tbl>
      <w:tblPr>
        <w:tblW w:w="0" w:type="auto"/>
        <w:jc w:val="left"/>
        <w:tblInd w:w="120" w:type="dxa"/>
        <w:tblLayout w:type="fixed"/>
        <w:tblCellMar>
          <w:top w:w="0" w:type="dxa"/>
          <w:left w:w="0" w:type="dxa"/>
          <w:bottom w:w="0" w:type="dxa"/>
          <w:right w:w="0" w:type="dxa"/>
        </w:tblCellMar>
        <w:tblLook w:val="01E0"/>
      </w:tblPr>
      <w:tblGrid>
        <w:gridCol w:w="3302"/>
        <w:gridCol w:w="3071"/>
        <w:gridCol w:w="3186"/>
      </w:tblGrid>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-2,188,977.84</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-10,300,197.45</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1,059,554.12</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-309,772.94</w:t>
            </w:r>
            <w:r>
              <w:rPr>
                <w:rFonts w:ascii="Times New Roman"/>
                <w:sz w:val="18"/>
              </w:rPr>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4,378,586.10</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4,621,991.35</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3,452,658.67</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47,856,343.17</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6,701,821.05</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41,868,364.13</w:t>
            </w:r>
          </w:p>
        </w:tc>
      </w:tr>
    </w:tbl>
    <w:p>
      <w:pPr>
        <w:spacing w:line="240" w:lineRule="auto" w:before="2"/>
        <w:rPr>
          <w:rFonts w:ascii="宋体" w:hAnsi="宋体" w:cs="宋体" w:eastAsia="宋体" w:hint="default"/>
          <w:sz w:val="19"/>
          <w:szCs w:val="19"/>
        </w:rPr>
      </w:pPr>
    </w:p>
    <w:p>
      <w:pPr>
        <w:pStyle w:val="Heading3"/>
        <w:spacing w:line="240" w:lineRule="auto" w:before="35"/>
        <w:ind w:left="114" w:right="1276"/>
        <w:jc w:val="left"/>
        <w:rPr>
          <w:b w:val="0"/>
          <w:bCs w:val="0"/>
        </w:rPr>
      </w:pPr>
      <w:bookmarkStart w:name="6、其他" w:id="449"/>
      <w:bookmarkEnd w:id="449"/>
      <w:r>
        <w:rPr>
          <w:b w:val="0"/>
          <w:bCs w:val="0"/>
        </w:rPr>
      </w:r>
      <w:r>
        <w:rPr>
          <w:rFonts w:ascii="Times New Roman" w:hAnsi="Times New Roman" w:cs="Times New Roman" w:eastAsia="Times New Roman" w:hint="default"/>
        </w:rPr>
        <w:t>6</w:t>
      </w:r>
      <w:r>
        <w:rPr/>
        <w:t>、其他</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474" w:right="1276"/>
        <w:jc w:val="left"/>
      </w:pPr>
      <w:r>
        <w:rPr/>
        <w:t>无。</w:t>
      </w:r>
    </w:p>
    <w:p>
      <w:pPr>
        <w:spacing w:after="0" w:line="240" w:lineRule="auto"/>
        <w:jc w:val="left"/>
        <w:sectPr>
          <w:pgSz w:w="11910" w:h="16840"/>
          <w:pgMar w:header="851" w:footer="979" w:top="1400" w:bottom="1160" w:left="1020" w:right="0"/>
        </w:sectPr>
      </w:pPr>
    </w:p>
    <w:p>
      <w:pPr>
        <w:pStyle w:val="Heading2"/>
        <w:spacing w:line="240" w:lineRule="auto" w:before="14"/>
        <w:ind w:right="0"/>
        <w:jc w:val="left"/>
        <w:rPr>
          <w:b w:val="0"/>
          <w:bCs w:val="0"/>
        </w:rPr>
      </w:pPr>
      <w:r>
        <w:rPr/>
        <w:pict>
          <v:group style="position:absolute;margin-left:55.200001pt;margin-top:2.175601pt;width:485pt;height:.1pt;mso-position-horizontal-relative:page;mso-position-vertical-relative:paragraph;z-index:-1075456" coordorigin="1104,44" coordsize="9700,2">
            <v:shape style="position:absolute;left:1104;top:44;width:9700;height:2" coordorigin="1104,44" coordsize="9700,0" path="m1104,44l10804,44e" filled="false" stroked="true" strokeweight=".72pt" strokecolor="#000000">
              <v:path arrowok="t"/>
            </v:shape>
            <w10:wrap type="none"/>
          </v:group>
        </w:pict>
      </w:r>
      <w:bookmarkStart w:name="十八、补充资料" w:id="450"/>
      <w:bookmarkEnd w:id="450"/>
      <w:r>
        <w:rPr>
          <w:b w:val="0"/>
          <w:bCs w:val="0"/>
        </w:rPr>
      </w:r>
      <w:r>
        <w:rPr/>
        <w:t>十八、补充资料</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当期非经常性损益明细表" w:id="451"/>
      <w:bookmarkEnd w:id="451"/>
      <w:r>
        <w:rPr>
          <w:b w:val="0"/>
          <w:bCs w:val="0"/>
        </w:rPr>
      </w:r>
      <w:r>
        <w:rPr>
          <w:rFonts w:ascii="Times New Roman" w:hAnsi="Times New Roman" w:cs="Times New Roman" w:eastAsia="Times New Roman" w:hint="default"/>
        </w:rPr>
        <w:t>1</w:t>
      </w:r>
      <w:r>
        <w:rPr/>
        <w:t>、当期非经常性损益明细表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3"/>
        <w:ind w:left="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02"/>
        <w:gridCol w:w="3071"/>
        <w:gridCol w:w="3186"/>
      </w:tblGrid>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2,392,058.91</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38"/>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7,091,447.14</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38"/>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 值业务外，持有交易性金融资产、交易性 金融负债产生的公允价值变动损益，以及 处置交易性金融资产、交易性金融负债和 可供出售金融资产取得的投资收益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3,721,325.18</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5,084,002.94</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340,027.56</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248,861.62</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71" w:type="dxa"/>
            <w:tcBorders>
              <w:top w:val="single" w:sz="4" w:space="0" w:color="000000"/>
              <w:left w:val="single" w:sz="13" w:space="0" w:color="D2D2D2"/>
              <w:bottom w:val="single" w:sz="4" w:space="0" w:color="000000"/>
              <w:right w:val="single" w:sz="9" w:space="0" w:color="D2D2D2"/>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17,699,944.99</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8"/>
        <w:rPr>
          <w:rFonts w:ascii="宋体" w:hAnsi="宋体" w:cs="宋体" w:eastAsia="宋体" w:hint="default"/>
          <w:sz w:val="6"/>
          <w:szCs w:val="6"/>
        </w:rPr>
      </w:pPr>
    </w:p>
    <w:p>
      <w:pPr>
        <w:pStyle w:val="BodyText"/>
        <w:spacing w:line="240" w:lineRule="auto" w:before="44"/>
        <w:ind w:right="0"/>
        <w:jc w:val="left"/>
      </w:pPr>
      <w:r>
        <w:rPr>
          <w:spacing w:val="-3"/>
        </w:rPr>
        <w:t>对公司根据《公开发行证券的公司信息披露解释性公告第</w:t>
      </w:r>
      <w:r>
        <w:rPr>
          <w:spacing w:val="-39"/>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spacing w:val="-7"/>
        </w:rPr>
        <w:t>号</w:t>
      </w:r>
      <w:r>
        <w:rPr>
          <w:rFonts w:ascii="Times New Roman" w:hAnsi="Times New Roman" w:cs="Times New Roman" w:eastAsia="Times New Roman" w:hint="default"/>
          <w:spacing w:val="-7"/>
        </w:rPr>
        <w:t>——</w:t>
      </w:r>
      <w:r>
        <w:rPr>
          <w:spacing w:val="-7"/>
        </w:rPr>
        <w:t>非经常性损益》定义界定的非经常性损益项目，以及把《公</w:t>
      </w:r>
    </w:p>
    <w:p>
      <w:pPr>
        <w:pStyle w:val="BodyText"/>
        <w:spacing w:line="302" w:lineRule="auto" w:before="63"/>
        <w:ind w:right="1118"/>
        <w:jc w:val="left"/>
      </w:pPr>
      <w:r>
        <w:rPr/>
        <w:t>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6"/>
        </w:rPr>
        <w:t> </w:t>
      </w:r>
      <w:r>
        <w:rPr>
          <w:spacing w:val="-3"/>
        </w:rPr>
        <w:t>号</w:t>
      </w:r>
      <w:r>
        <w:rPr>
          <w:rFonts w:ascii="Times New Roman" w:hAnsi="Times New Roman" w:cs="Times New Roman" w:eastAsia="Times New Roman" w:hint="default"/>
          <w:spacing w:val="-3"/>
        </w:rPr>
        <w:t>——</w:t>
      </w:r>
      <w:r>
        <w:rPr>
          <w:spacing w:val="-3"/>
        </w:rPr>
        <w:t>非经常性损益》中列举的非经常性损益项目界定为经常性损益的项目，应</w:t>
      </w:r>
      <w:r>
        <w:rPr/>
        <w:t> 说明原因。</w:t>
      </w:r>
    </w:p>
    <w:p>
      <w:pPr>
        <w:spacing w:before="149"/>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0"/>
        <w:rPr>
          <w:rFonts w:ascii="宋体" w:hAnsi="宋体" w:cs="宋体" w:eastAsia="宋体" w:hint="default"/>
          <w:b/>
          <w:bCs/>
          <w:sz w:val="25"/>
          <w:szCs w:val="25"/>
        </w:rPr>
      </w:pPr>
    </w:p>
    <w:p>
      <w:pPr>
        <w:pStyle w:val="Heading3"/>
        <w:spacing w:line="240" w:lineRule="auto"/>
        <w:ind w:right="0"/>
        <w:jc w:val="left"/>
        <w:rPr>
          <w:b w:val="0"/>
          <w:bCs w:val="0"/>
        </w:rPr>
      </w:pPr>
      <w:bookmarkStart w:name="2、净资产收益率及每股收益" w:id="452"/>
      <w:bookmarkEnd w:id="452"/>
      <w:r>
        <w:rPr>
          <w:b w:val="0"/>
          <w:bCs w:val="0"/>
        </w:rPr>
      </w:r>
      <w:r>
        <w:rPr>
          <w:rFonts w:ascii="Times New Roman" w:hAnsi="Times New Roman" w:cs="Times New Roman" w:eastAsia="Times New Roman" w:hint="default"/>
        </w:rPr>
        <w:t>2</w:t>
      </w:r>
      <w:r>
        <w:rPr/>
        <w:t>、净资产收益率及每股收益</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2651"/>
        <w:gridCol w:w="3081"/>
        <w:gridCol w:w="1913"/>
        <w:gridCol w:w="1913"/>
      </w:tblGrid>
      <w:tr>
        <w:trPr>
          <w:trHeight w:val="206" w:hRule="exact"/>
        </w:trPr>
        <w:tc>
          <w:tcPr>
            <w:tcW w:w="2651" w:type="dxa"/>
            <w:tcBorders>
              <w:top w:val="single" w:sz="4" w:space="0" w:color="000000"/>
              <w:left w:val="single" w:sz="4" w:space="0" w:color="000000"/>
              <w:bottom w:val="nil" w:sz="6" w:space="0" w:color="auto"/>
              <w:right w:val="single" w:sz="4" w:space="0" w:color="000000"/>
            </w:tcBorders>
            <w:shd w:val="clear" w:color="auto" w:fill="D2D2D2"/>
          </w:tcPr>
          <w:p>
            <w:pPr/>
          </w:p>
        </w:tc>
        <w:tc>
          <w:tcPr>
            <w:tcW w:w="3081" w:type="dxa"/>
            <w:tcBorders>
              <w:top w:val="single" w:sz="4" w:space="0" w:color="000000"/>
              <w:left w:val="single" w:sz="4" w:space="0" w:color="000000"/>
              <w:bottom w:val="nil" w:sz="6" w:space="0" w:color="auto"/>
              <w:right w:val="single" w:sz="4" w:space="0" w:color="000000"/>
            </w:tcBorders>
            <w:shd w:val="clear" w:color="auto" w:fill="D2D2D2"/>
          </w:tcPr>
          <w:p>
            <w:pP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191" w:hRule="exact"/>
        </w:trPr>
        <w:tc>
          <w:tcPr>
            <w:tcW w:w="265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865"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308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635"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2651" w:type="dxa"/>
            <w:vMerge/>
            <w:tcBorders>
              <w:left w:val="single" w:sz="4" w:space="0" w:color="000000"/>
              <w:bottom w:val="nil" w:sz="6" w:space="0" w:color="auto"/>
              <w:right w:val="single" w:sz="4" w:space="0" w:color="000000"/>
            </w:tcBorders>
            <w:shd w:val="clear" w:color="auto" w:fill="D2D2D2"/>
          </w:tcPr>
          <w:p>
            <w:pPr/>
          </w:p>
        </w:tc>
        <w:tc>
          <w:tcPr>
            <w:tcW w:w="3081" w:type="dxa"/>
            <w:vMerge/>
            <w:tcBorders>
              <w:left w:val="single" w:sz="4" w:space="0" w:color="000000"/>
              <w:bottom w:val="nil" w:sz="6" w:space="0" w:color="auto"/>
              <w:right w:val="single" w:sz="4" w:space="0" w:color="000000"/>
            </w:tcBorders>
            <w:shd w:val="clear" w:color="auto" w:fill="D2D2D2"/>
          </w:tcPr>
          <w:p>
            <w:pP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7"/>
              <w:ind w:left="26"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7"/>
              <w:ind w:left="26"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r>
      <w:tr>
        <w:trPr>
          <w:trHeight w:val="205" w:hRule="exact"/>
        </w:trPr>
        <w:tc>
          <w:tcPr>
            <w:tcW w:w="2651" w:type="dxa"/>
            <w:tcBorders>
              <w:top w:val="nil" w:sz="6" w:space="0" w:color="auto"/>
              <w:left w:val="single" w:sz="4" w:space="0" w:color="000000"/>
              <w:bottom w:val="single" w:sz="4" w:space="0" w:color="000000"/>
              <w:right w:val="single" w:sz="4" w:space="0" w:color="000000"/>
            </w:tcBorders>
            <w:shd w:val="clear" w:color="auto" w:fill="D2D2D2"/>
          </w:tcPr>
          <w:p>
            <w:pPr/>
          </w:p>
        </w:tc>
        <w:tc>
          <w:tcPr>
            <w:tcW w:w="308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6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30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1.55%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0.0409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0.0409</w:t>
            </w:r>
          </w:p>
        </w:tc>
      </w:tr>
      <w:tr>
        <w:trPr>
          <w:trHeight w:val="715" w:hRule="exact"/>
        </w:trPr>
        <w:tc>
          <w:tcPr>
            <w:tcW w:w="26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07"/>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 普通股股东的净利润</w:t>
            </w:r>
          </w:p>
        </w:tc>
        <w:tc>
          <w:tcPr>
            <w:tcW w:w="30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1.20%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0.0319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0.0319</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3、境内外会计准则下会计数据差异" w:id="453"/>
      <w:bookmarkEnd w:id="453"/>
      <w:r>
        <w:rPr>
          <w:b w:val="0"/>
          <w:bCs w:val="0"/>
        </w:rPr>
      </w:r>
      <w:r>
        <w:rPr>
          <w:rFonts w:ascii="Times New Roman" w:hAnsi="Times New Roman" w:cs="Times New Roman" w:eastAsia="Times New Roman" w:hint="default"/>
        </w:rPr>
        <w:t>3</w:t>
      </w:r>
      <w:r>
        <w:rPr/>
        <w:t>、境内外会计准则下会计数据差异</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同时按照国际会计准则与按中国会计准则披露的财务报告中净利润和净资产差异情况" w:id="454"/>
      <w:bookmarkEnd w:id="454"/>
      <w:r>
        <w:rPr>
          <w:b w:val="0"/>
          <w:bCs w:val="0"/>
        </w:rPr>
      </w:r>
      <w:r>
        <w:rPr/>
        <w:t>（</w:t>
      </w:r>
      <w:r>
        <w:rPr>
          <w:rFonts w:ascii="Times New Roman" w:hAnsi="Times New Roman" w:cs="Times New Roman" w:eastAsia="Times New Roman" w:hint="default"/>
        </w:rPr>
        <w:t>1</w:t>
      </w:r>
      <w:r>
        <w:rPr/>
        <w:t>）同时按照国际会计准则与按中国会计准则披露的财务报告中净利润和净资产差异情况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51" w:footer="979" w:top="1400" w:bottom="1160" w:left="980" w:right="0"/>
        </w:sectPr>
      </w:pPr>
    </w:p>
    <w:p>
      <w:pPr>
        <w:spacing w:line="240" w:lineRule="auto" w:before="11"/>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ind w:right="0"/>
        <w:jc w:val="left"/>
        <w:rPr>
          <w:b w:val="0"/>
          <w:bCs w:val="0"/>
        </w:rPr>
      </w:pPr>
      <w:bookmarkStart w:name="（2）同时按照境外会计准则与按中国会计准则披露的财务报告中净利润和净资产差异情况" w:id="455"/>
      <w:bookmarkEnd w:id="455"/>
      <w:r>
        <w:rPr>
          <w:b w:val="0"/>
          <w:bCs w:val="0"/>
        </w:rPr>
      </w:r>
      <w:r>
        <w:rPr/>
        <w:t>（</w:t>
      </w:r>
      <w:r>
        <w:rPr>
          <w:rFonts w:ascii="Times New Roman" w:hAnsi="Times New Roman" w:cs="Times New Roman" w:eastAsia="Times New Roman" w:hint="default"/>
        </w:rPr>
        <w:t>2</w:t>
      </w:r>
      <w:r>
        <w:rPr/>
        <w:t>）同时按照境外会计准则与按中国会计准则披露的财务报告中净利润和净资产差异情况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spacing w:before="0"/>
        <w:ind w:left="15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1"/>
        <w:rPr>
          <w:rFonts w:ascii="宋体" w:hAnsi="宋体" w:cs="宋体" w:eastAsia="宋体" w:hint="default"/>
          <w:b/>
          <w:bCs/>
          <w:sz w:val="25"/>
          <w:szCs w:val="25"/>
        </w:rPr>
      </w:pPr>
    </w:p>
    <w:p>
      <w:pPr>
        <w:pStyle w:val="Heading3"/>
        <w:spacing w:line="259" w:lineRule="auto"/>
        <w:ind w:right="0"/>
        <w:jc w:val="left"/>
        <w:rPr>
          <w:b w:val="0"/>
          <w:bCs w:val="0"/>
        </w:rPr>
      </w:pPr>
      <w:bookmarkStart w:name="（3）境内外会计准则下会计数据差异原因说明，对已经境外审计机构审计的数据进行差异" w:id="456"/>
      <w:bookmarkEnd w:id="456"/>
      <w:r>
        <w:rPr>
          <w:b w:val="0"/>
          <w:bCs w:val="0"/>
        </w:rPr>
      </w:r>
      <w:r>
        <w:rPr/>
        <w:t>（</w:t>
      </w:r>
      <w:r>
        <w:rPr>
          <w:rFonts w:ascii="Times New Roman" w:hAnsi="Times New Roman" w:cs="Times New Roman" w:eastAsia="Times New Roman" w:hint="default"/>
        </w:rPr>
        <w:t>3</w:t>
      </w:r>
      <w:r>
        <w:rPr/>
        <w:t>）境内外会计准则下会计数据差异原因说明，对已经境外审计机构审计的数据进行差异调节的，应注</w:t>
      </w:r>
      <w:r>
        <w:rPr>
          <w:spacing w:val="-74"/>
        </w:rPr>
        <w:t> </w:t>
      </w:r>
      <w:r>
        <w:rPr>
          <w:spacing w:val="-74"/>
        </w:rPr>
      </w:r>
      <w:r>
        <w:rPr/>
        <w:t>明该境外机构的名称</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514" w:right="0"/>
        <w:jc w:val="left"/>
      </w:pPr>
      <w:r>
        <w:rPr/>
        <w:t>无。</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4、其他" w:id="457"/>
      <w:bookmarkEnd w:id="457"/>
      <w:r>
        <w:rPr>
          <w:b w:val="0"/>
          <w:bCs w:val="0"/>
        </w:rPr>
      </w:r>
      <w:r>
        <w:rPr>
          <w:rFonts w:ascii="Times New Roman" w:hAnsi="Times New Roman" w:cs="Times New Roman" w:eastAsia="Times New Roman" w:hint="default"/>
        </w:rPr>
        <w:t>4</w:t>
      </w:r>
      <w:r>
        <w:rPr/>
        <w:t>、其他</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514" w:right="0"/>
        <w:jc w:val="left"/>
      </w:pPr>
      <w:r>
        <w:rPr/>
        <w:t>无。</w:t>
      </w:r>
    </w:p>
    <w:p>
      <w:pPr>
        <w:spacing w:after="0" w:line="240" w:lineRule="auto"/>
        <w:jc w:val="left"/>
        <w:sectPr>
          <w:pgSz w:w="11910" w:h="16840"/>
          <w:pgMar w:header="851" w:footer="979" w:top="1400" w:bottom="1160" w:left="98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pStyle w:val="Heading1"/>
        <w:spacing w:line="240" w:lineRule="auto" w:before="149"/>
        <w:ind w:left="3576" w:right="0"/>
        <w:jc w:val="left"/>
        <w:rPr>
          <w:b w:val="0"/>
          <w:bCs w:val="0"/>
        </w:rPr>
      </w:pPr>
      <w:bookmarkStart w:name="第十二节备查文件目录" w:id="458"/>
      <w:bookmarkEnd w:id="458"/>
      <w:r>
        <w:rPr>
          <w:b w:val="0"/>
          <w:bCs w:val="0"/>
        </w:rPr>
      </w:r>
      <w:bookmarkStart w:name="_bookmark11" w:id="459"/>
      <w:bookmarkEnd w:id="459"/>
      <w:r>
        <w:rPr>
          <w:b w:val="0"/>
          <w:bCs w:val="0"/>
        </w:rPr>
      </w:r>
      <w:r>
        <w:rPr/>
        <w:t>第十二节备查文件目录</w:t>
      </w:r>
      <w:r>
        <w:rPr>
          <w:b w:val="0"/>
          <w:bCs w:val="0"/>
        </w:rPr>
      </w:r>
    </w:p>
    <w:p>
      <w:pPr>
        <w:spacing w:line="240" w:lineRule="auto" w:before="0"/>
        <w:rPr>
          <w:rFonts w:ascii="宋体" w:hAnsi="宋体" w:cs="宋体" w:eastAsia="宋体" w:hint="default"/>
          <w:b/>
          <w:bCs/>
          <w:sz w:val="32"/>
          <w:szCs w:val="32"/>
        </w:rPr>
      </w:pPr>
    </w:p>
    <w:p>
      <w:pPr>
        <w:pStyle w:val="BodyText"/>
        <w:spacing w:line="477" w:lineRule="auto" w:before="215"/>
        <w:ind w:right="1752"/>
        <w:jc w:val="left"/>
      </w:pPr>
      <w:r>
        <w:rPr/>
        <w:t>一、载有法定代表人王宁先生、主管会计工作负责人林红女士、会计机构负责人王辉先生签名并盖章的财务报表； 二、载有会计师事务所盖章、注册会计师签名并盖章的审计报告原件； 三、报告期内在中国证监会指定报纸上公开披露过的所有公司文件的正本及公告的原稿；</w:t>
      </w:r>
    </w:p>
    <w:p>
      <w:pPr>
        <w:pStyle w:val="BodyText"/>
        <w:spacing w:line="477" w:lineRule="auto" w:before="54"/>
        <w:ind w:right="7152"/>
        <w:jc w:val="left"/>
      </w:pPr>
      <w:r>
        <w:rPr/>
        <w:t>四、其他相关资料。 以上备查文件的备置地点：公司董事会办公室</w:t>
      </w:r>
    </w:p>
    <w:sectPr>
      <w:pgSz w:w="11910" w:h="16840"/>
      <w:pgMar w:header="851" w:footer="979" w:top="1400" w:bottom="1160" w:left="9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nsolas">
    <w:altName w:val="Consolas"/>
    <w:charset w:val="0"/>
    <w:family w:val="modern"/>
    <w:pitch w:val="fixed"/>
  </w:font>
  <w:font w:name="宋体">
    <w:altName w:val="宋体"/>
    <w:charset w:val="86"/>
    <w:family w:val="auto"/>
    <w:pitch w:val="variable"/>
  </w:font>
  <w:font w:name="微软雅黑">
    <w:altName w:val="微软雅黑"/>
    <w:charset w:val="86"/>
    <w:family w:val="swiss"/>
    <w:pitch w:val="variable"/>
  </w:font>
  <w:font w:name="Wingdings">
    <w:altName w:val="Wingdings"/>
    <w:charset w:val="2"/>
    <w:family w:val="auto"/>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78408" type="#_x0000_t75" stroked="false">
          <v:imagedata r:id="rId1" o:title=""/>
        </v:shape>
      </w:pict>
    </w:r>
    <w:r>
      <w:rPr/>
      <w:pict>
        <v:shape style="position:absolute;margin-left:291.200012pt;margin-top:771.577942pt;width:13pt;height:11pt;mso-position-horizontal-relative:page;mso-position-vertical-relative:page;z-index:-1078384"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78360" type="#_x0000_t75" stroked="false">
          <v:imagedata r:id="rId1" o:title=""/>
        </v:shape>
      </w:pict>
    </w:r>
    <w:r>
      <w:rPr/>
      <w:pict>
        <v:shape style="position:absolute;margin-left:55.700001pt;margin-top:758.005615pt;width:483.9pt;height:24.6pt;mso-position-horizontal-relative:page;mso-position-vertical-relative:page;z-index:-1078336" type="#_x0000_t202" filled="false" stroked="false">
          <v:textbox inset="0,0,0,0">
            <w:txbxContent>
              <w:p>
                <w:pPr>
                  <w:pStyle w:val="BodyText"/>
                  <w:spacing w:line="200" w:lineRule="exact"/>
                  <w:ind w:left="0" w:right="0"/>
                  <w:jc w:val="center"/>
                </w:pPr>
                <w:r>
                  <w:rPr>
                    <w:spacing w:val="-5"/>
                  </w:rPr>
                  <w:t>面向政府、公安及能源领域建设“统一数据空间”及智慧化应用，尤其是公安领域应用解决方案以及公安大数据智能化建设。</w:t>
                </w:r>
              </w:p>
              <w:p>
                <w:pPr>
                  <w:pStyle w:val="BodyText"/>
                  <w:spacing w:line="240" w:lineRule="auto" w:before="68"/>
                  <w:ind w:left="2" w:right="0"/>
                  <w:jc w:val="center"/>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53</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78312" type="#_x0000_t75" stroked="false">
          <v:imagedata r:id="rId1" o:title=""/>
        </v:shape>
      </w:pict>
    </w:r>
    <w:r>
      <w:rPr/>
      <w:pict>
        <v:shape style="position:absolute;margin-left:55.700001pt;margin-top:758.005615pt;width:83pt;height:11pt;mso-position-horizontal-relative:page;mso-position-vertical-relative:page;z-index:-1078288" type="#_x0000_t202" filled="false" stroked="false">
          <v:textbox inset="0,0,0,0">
            <w:txbxContent>
              <w:p>
                <w:pPr>
                  <w:pStyle w:val="BodyText"/>
                  <w:spacing w:line="200" w:lineRule="exact"/>
                  <w:ind w:left="20" w:right="0"/>
                  <w:jc w:val="left"/>
                </w:pPr>
                <w:r>
                  <w:rPr/>
                  <w:t>产品应用的领先性。</w:t>
                </w:r>
              </w:p>
            </w:txbxContent>
          </v:textbox>
          <w10:wrap type="none"/>
        </v:shape>
      </w:pict>
    </w:r>
    <w:r>
      <w:rPr/>
      <w:pict>
        <v:shape style="position:absolute;margin-left:291.200012pt;margin-top:771.577942pt;width:13pt;height:11pt;mso-position-horizontal-relative:page;mso-position-vertical-relative:page;z-index:-1078264"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54</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78240" type="#_x0000_t75" stroked="false">
          <v:imagedata r:id="rId1" o:title=""/>
        </v:shape>
      </w:pict>
    </w:r>
    <w:r>
      <w:rPr/>
      <w:pict>
        <v:shape style="position:absolute;margin-left:291.200012pt;margin-top:771.577942pt;width:13pt;height:11pt;mso-position-horizontal-relative:page;mso-position-vertical-relative:page;z-index:-1078216"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55</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78192" type="#_x0000_t75" stroked="false">
          <v:imagedata r:id="rId1" o:title=""/>
        </v:shape>
      </w:pict>
    </w:r>
    <w:r>
      <w:rPr/>
      <w:pict>
        <v:shape style="position:absolute;margin-left:527.679993pt;margin-top:781.957947pt;width:13pt;height:11pt;mso-position-horizontal-relative:page;mso-position-vertical-relative:page;z-index:-107816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57</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78072" type="#_x0000_t75" stroked="false">
          <v:imagedata r:id="rId1" o:title=""/>
        </v:shape>
      </w:pict>
    </w:r>
    <w:r>
      <w:rPr/>
      <w:pict>
        <v:shape style="position:absolute;margin-left:524.179993pt;margin-top:781.957947pt;width:15.5pt;height:11pt;mso-position-horizontal-relative:page;mso-position-vertical-relative:page;z-index:-1078048"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100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78024" type="#_x0000_t75" stroked="false">
          <v:imagedata r:id="rId1" o:title=""/>
        </v:shape>
      </w:pict>
    </w:r>
    <w:r>
      <w:rPr/>
      <w:pict>
        <v:shape style="position:absolute;margin-left:523.179993pt;margin-top:781.957947pt;width:17.5pt;height:11pt;mso-position-horizontal-relative:page;mso-position-vertical-relative:page;z-index:-107800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101</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77976" type="#_x0000_t75" stroked="false">
          <v:imagedata r:id="rId1" o:title=""/>
        </v:shape>
      </w:pict>
    </w:r>
    <w:r>
      <w:rPr/>
      <w:pict>
        <v:shape style="position:absolute;margin-left:524.179993pt;margin-top:781.957947pt;width:15.5pt;height:11pt;mso-position-horizontal-relative:page;mso-position-vertical-relative:page;z-index:-1077952"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200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77928" type="#_x0000_t75" stroked="false">
          <v:imagedata r:id="rId1" o:title=""/>
        </v:shape>
      </w:pict>
    </w:r>
    <w:r>
      <w:rPr/>
      <w:pict>
        <v:shape style="position:absolute;margin-left:523.179993pt;margin-top:781.957947pt;width:17.5pt;height:11pt;mso-position-horizontal-relative:page;mso-position-vertical-relative:page;z-index:-1077904"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201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700001pt;margin-top:42.549984pt;width:90.75pt;height:26.25pt;mso-position-horizontal-relative:page;mso-position-vertical-relative:page;z-index:-1078480" type="#_x0000_t75" stroked="false">
          <v:imagedata r:id="rId1" o:title=""/>
        </v:shape>
      </w:pict>
    </w:r>
    <w:r>
      <w:rPr/>
      <w:pict>
        <v:group style="position:absolute;margin-left:55.200001pt;margin-top:72.779984pt;width:485pt;height:.1pt;mso-position-horizontal-relative:page;mso-position-vertical-relative:page;z-index:-1078456" coordorigin="1104,1456" coordsize="9700,2">
          <v:shape style="position:absolute;left:1104;top:1456;width:9700;height:2" coordorigin="1104,1456" coordsize="9700,0" path="m1104,1456l10804,1456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342.540009pt;margin-top:60.085609pt;width:195.5pt;height:11pt;mso-position-horizontal-relative:page;mso-position-vertical-relative:page;z-index:-1078432" type="#_x0000_t202" filled="false" stroked="false">
          <v:textbox inset="0,0,0,0">
            <w:txbxContent>
              <w:p>
                <w:pPr>
                  <w:pStyle w:val="BodyText"/>
                  <w:spacing w:line="200" w:lineRule="exact"/>
                  <w:ind w:left="20" w:right="0"/>
                  <w:jc w:val="left"/>
                </w:pPr>
                <w:r>
                  <w:rPr/>
                  <w:t>北京神州泰岳软件股份有限公司</w:t>
                </w:r>
                <w:r>
                  <w:rPr>
                    <w:spacing w:val="-47"/>
                  </w:rPr>
                  <w:t> </w:t>
                </w:r>
                <w:r>
                  <w:rPr>
                    <w:rFonts w:ascii="宋体" w:hAnsi="宋体" w:cs="宋体" w:eastAsia="宋体" w:hint="default"/>
                  </w:rPr>
                  <w:t>2018</w:t>
                </w:r>
                <w:r>
                  <w:rPr>
                    <w:rFonts w:ascii="宋体" w:hAnsi="宋体" w:cs="宋体" w:eastAsia="宋体" w:hint="default"/>
                    <w:spacing w:val="-47"/>
                  </w:rPr>
                  <w:t> </w:t>
                </w:r>
                <w:r>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700001pt;margin-top:42.549984pt;width:90.75pt;height:26.25pt;mso-position-horizontal-relative:page;mso-position-vertical-relative:page;z-index:-1078144" type="#_x0000_t75" stroked="false">
          <v:imagedata r:id="rId1" o:title=""/>
        </v:shape>
      </w:pict>
    </w:r>
    <w:r>
      <w:rPr/>
      <w:pict>
        <v:group style="position:absolute;margin-left:55.200001pt;margin-top:72.779984pt;width:485pt;height:.1pt;mso-position-horizontal-relative:page;mso-position-vertical-relative:page;z-index:-1078120" coordorigin="1104,1456" coordsize="9700,2">
          <v:shape style="position:absolute;left:1104;top:1456;width:9700;height:2" coordorigin="1104,1456" coordsize="9700,0" path="m1104,1456l10804,1456e" filled="false" stroked="true" strokeweight=".72pt" strokecolor="#000000">
            <v:path arrowok="t"/>
          </v:shape>
          <w10:wrap type="none"/>
        </v:group>
      </w:pict>
    </w:r>
    <w:r>
      <w:rPr/>
      <w:pict>
        <v:shape style="position:absolute;margin-left:326.459991pt;margin-top:60.085609pt;width:213.2pt;height:11.5pt;mso-position-horizontal-relative:page;mso-position-vertical-relative:page;z-index:-1078096" type="#_x0000_t202" filled="false" stroked="false">
          <v:textbox inset="0,0,0,0">
            <w:txbxContent>
              <w:p>
                <w:pPr>
                  <w:pStyle w:val="BodyText"/>
                  <w:spacing w:line="214" w:lineRule="exact"/>
                  <w:ind w:left="20" w:right="0"/>
                  <w:jc w:val="left"/>
                </w:pPr>
                <w:r>
                  <w:rPr/>
                  <w:t>北京神州泰岳软件股份有限公司</w:t>
                </w:r>
                <w:r>
                  <w:rPr>
                    <w:spacing w:val="-49"/>
                  </w:rPr>
                  <w:t> </w:t>
                </w:r>
                <w:r>
                  <w:rPr>
                    <w:rFonts w:ascii="Times New Roman" w:hAnsi="Times New Roman" w:cs="Times New Roman" w:eastAsia="Times New Roman" w:hint="default"/>
                  </w:rPr>
                  <w:t>2018</w:t>
                </w:r>
                <w:r>
                  <w:rPr>
                    <w:rFonts w:ascii="Times New Roman" w:hAnsi="Times New Roman" w:cs="Times New Roman" w:eastAsia="Times New Roman" w:hint="default"/>
                    <w:spacing w:val="-4"/>
                  </w:rPr>
                  <w:t> </w:t>
                </w:r>
                <w:r>
                  <w:rPr/>
                  <w:t>年年度报告全文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700001pt;margin-top:42.549984pt;width:90.75pt;height:26.25pt;mso-position-horizontal-relative:page;mso-position-vertical-relative:page;z-index:-1077880" type="#_x0000_t75" stroked="false">
          <v:imagedata r:id="rId1" o:title=""/>
        </v:shape>
      </w:pict>
    </w:r>
    <w:r>
      <w:rPr/>
      <w:pict>
        <v:shape style="position:absolute;margin-left:326.459991pt;margin-top:60.085609pt;width:213.2pt;height:11.5pt;mso-position-horizontal-relative:page;mso-position-vertical-relative:page;z-index:-1077856" type="#_x0000_t202" filled="false" stroked="false">
          <v:textbox inset="0,0,0,0">
            <w:txbxContent>
              <w:p>
                <w:pPr>
                  <w:pStyle w:val="BodyText"/>
                  <w:spacing w:line="214" w:lineRule="exact"/>
                  <w:ind w:left="20" w:right="0"/>
                  <w:jc w:val="left"/>
                </w:pPr>
                <w:r>
                  <w:rPr/>
                  <w:t>北京神州泰岳软件股份有限公司</w:t>
                </w:r>
                <w:r>
                  <w:rPr>
                    <w:spacing w:val="-49"/>
                  </w:rPr>
                  <w:t> </w:t>
                </w:r>
                <w:r>
                  <w:rPr>
                    <w:rFonts w:ascii="Times New Roman" w:hAnsi="Times New Roman" w:cs="Times New Roman" w:eastAsia="Times New Roman" w:hint="default"/>
                  </w:rPr>
                  <w:t>2018</w:t>
                </w:r>
                <w:r>
                  <w:rPr>
                    <w:rFonts w:ascii="Times New Roman" w:hAnsi="Times New Roman" w:cs="Times New Roman" w:eastAsia="Times New Roman" w:hint="default"/>
                    <w:spacing w:val="-4"/>
                  </w:rPr>
                  <w:t> </w:t>
                </w:r>
                <w:r>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35"/>
      <w:ind w:left="154"/>
    </w:pPr>
    <w:rPr>
      <w:rFonts w:ascii="宋体" w:hAnsi="宋体" w:eastAsia="宋体"/>
      <w:sz w:val="24"/>
      <w:szCs w:val="24"/>
    </w:rPr>
  </w:style>
  <w:style w:styleId="BodyText" w:type="paragraph">
    <w:name w:val="Body Text"/>
    <w:basedOn w:val="Normal"/>
    <w:uiPriority w:val="1"/>
    <w:qFormat/>
    <w:pPr>
      <w:ind w:left="154"/>
    </w:pPr>
    <w:rPr>
      <w:rFonts w:ascii="宋体" w:hAnsi="宋体" w:eastAsia="宋体"/>
      <w:sz w:val="18"/>
      <w:szCs w:val="18"/>
    </w:rPr>
  </w:style>
  <w:style w:styleId="Heading1" w:type="paragraph">
    <w:name w:val="Heading 1"/>
    <w:basedOn w:val="Normal"/>
    <w:uiPriority w:val="1"/>
    <w:qFormat/>
    <w:pPr>
      <w:spacing w:before="1"/>
      <w:outlineLvl w:val="1"/>
    </w:pPr>
    <w:rPr>
      <w:rFonts w:ascii="宋体" w:hAnsi="宋体" w:eastAsia="宋体"/>
      <w:b/>
      <w:bCs/>
      <w:sz w:val="32"/>
      <w:szCs w:val="32"/>
    </w:rPr>
  </w:style>
  <w:style w:styleId="Heading2" w:type="paragraph">
    <w:name w:val="Heading 2"/>
    <w:basedOn w:val="Normal"/>
    <w:uiPriority w:val="1"/>
    <w:qFormat/>
    <w:pPr>
      <w:ind w:left="154"/>
      <w:outlineLvl w:val="2"/>
    </w:pPr>
    <w:rPr>
      <w:rFonts w:ascii="宋体" w:hAnsi="宋体" w:eastAsia="宋体"/>
      <w:b/>
      <w:bCs/>
      <w:sz w:val="24"/>
      <w:szCs w:val="24"/>
    </w:rPr>
  </w:style>
  <w:style w:styleId="Heading3" w:type="paragraph">
    <w:name w:val="Heading 3"/>
    <w:basedOn w:val="Normal"/>
    <w:uiPriority w:val="1"/>
    <w:qFormat/>
    <w:pPr>
      <w:ind w:left="154"/>
      <w:outlineLvl w:val="3"/>
    </w:pPr>
    <w:rPr>
      <w:rFonts w:ascii="宋体" w:hAnsi="宋体" w:eastAsia="宋体"/>
      <w:b/>
      <w:bCs/>
      <w:sz w:val="21"/>
      <w:szCs w:val="21"/>
    </w:rPr>
  </w:style>
  <w:style w:styleId="Heading4" w:type="paragraph">
    <w:name w:val="Heading 4"/>
    <w:basedOn w:val="Normal"/>
    <w:uiPriority w:val="1"/>
    <w:qFormat/>
    <w:pPr>
      <w:ind w:left="154"/>
      <w:outlineLvl w:val="4"/>
    </w:pPr>
    <w:rPr>
      <w:rFonts w:ascii="宋体" w:hAnsi="宋体" w:eastAsia="宋体"/>
      <w:b/>
      <w:bCs/>
      <w:i/>
      <w:sz w:val="19"/>
      <w:szCs w:val="19"/>
    </w:rPr>
  </w:style>
  <w:style w:styleId="Heading5" w:type="paragraph">
    <w:name w:val="Heading 5"/>
    <w:basedOn w:val="Normal"/>
    <w:uiPriority w:val="1"/>
    <w:qFormat/>
    <w:pPr>
      <w:ind w:left="154"/>
      <w:outlineLvl w:val="5"/>
    </w:pPr>
    <w:rPr>
      <w:rFonts w:ascii="宋体" w:hAnsi="宋体" w:eastAsia="宋体"/>
      <w:b/>
      <w:bCs/>
      <w:sz w:val="18"/>
      <w:szCs w:val="18"/>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hyperlink" Target="http://www.ultrapower.com.cn/" TargetMode="External"/><Relationship Id="rId41" Type="http://schemas.openxmlformats.org/officeDocument/2006/relationships/hyperlink" Target="mailto:IRM@ultrapower.com.cn" TargetMode="External"/><Relationship Id="rId42" Type="http://schemas.openxmlformats.org/officeDocument/2006/relationships/hyperlink" Target="http://www.cninfo.com.cn/" TargetMode="External"/><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pn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pn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footer" Target="footer2.xml"/><Relationship Id="rId84" Type="http://schemas.openxmlformats.org/officeDocument/2006/relationships/footer" Target="footer3.xml"/><Relationship Id="rId85" Type="http://schemas.openxmlformats.org/officeDocument/2006/relationships/footer" Target="footer4.xml"/><Relationship Id="rId86" Type="http://schemas.openxmlformats.org/officeDocument/2006/relationships/footer" Target="footer5.xml"/><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hyperlink" Target="https://www.tianyancha.com/company/3149141615" TargetMode="External"/><Relationship Id="rId90" Type="http://schemas.openxmlformats.org/officeDocument/2006/relationships/header" Target="header2.xml"/><Relationship Id="rId91" Type="http://schemas.openxmlformats.org/officeDocument/2006/relationships/footer" Target="footer6.xml"/><Relationship Id="rId92" Type="http://schemas.openxmlformats.org/officeDocument/2006/relationships/footer" Target="footer7.xml"/><Relationship Id="rId93" Type="http://schemas.openxmlformats.org/officeDocument/2006/relationships/footer" Target="footer8.xml"/><Relationship Id="rId94" Type="http://schemas.openxmlformats.org/officeDocument/2006/relationships/footer" Target="footer9.xml"/><Relationship Id="rId95"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35.jpeg"/></Relationships>

</file>

<file path=word/_rels/footer2.xml.rels><?xml version="1.0" encoding="UTF-8" standalone="yes"?>
<Relationships xmlns="http://schemas.openxmlformats.org/package/2006/relationships"><Relationship Id="rId1" Type="http://schemas.openxmlformats.org/officeDocument/2006/relationships/image" Target="media/image35.jpeg"/></Relationships>

</file>

<file path=word/_rels/footer3.xml.rels><?xml version="1.0" encoding="UTF-8" standalone="yes"?>
<Relationships xmlns="http://schemas.openxmlformats.org/package/2006/relationships"><Relationship Id="rId1" Type="http://schemas.openxmlformats.org/officeDocument/2006/relationships/image" Target="media/image35.jpeg"/></Relationships>

</file>

<file path=word/_rels/footer4.xml.rels><?xml version="1.0" encoding="UTF-8" standalone="yes"?>
<Relationships xmlns="http://schemas.openxmlformats.org/package/2006/relationships"><Relationship Id="rId1" Type="http://schemas.openxmlformats.org/officeDocument/2006/relationships/image" Target="media/image35.jpeg"/></Relationships>

</file>

<file path=word/_rels/footer5.xml.rels><?xml version="1.0" encoding="UTF-8" standalone="yes"?>
<Relationships xmlns="http://schemas.openxmlformats.org/package/2006/relationships"><Relationship Id="rId1" Type="http://schemas.openxmlformats.org/officeDocument/2006/relationships/image" Target="media/image35.jpeg"/></Relationships>

</file>

<file path=word/_rels/footer6.xml.rels><?xml version="1.0" encoding="UTF-8" standalone="yes"?>
<Relationships xmlns="http://schemas.openxmlformats.org/package/2006/relationships"><Relationship Id="rId1" Type="http://schemas.openxmlformats.org/officeDocument/2006/relationships/image" Target="media/image35.jpeg"/></Relationships>

</file>

<file path=word/_rels/footer7.xml.rels><?xml version="1.0" encoding="UTF-8" standalone="yes"?>
<Relationships xmlns="http://schemas.openxmlformats.org/package/2006/relationships"><Relationship Id="rId1" Type="http://schemas.openxmlformats.org/officeDocument/2006/relationships/image" Target="media/image35.jpeg"/></Relationships>

</file>

<file path=word/_rels/footer8.xml.rels><?xml version="1.0" encoding="UTF-8" standalone="yes"?>
<Relationships xmlns="http://schemas.openxmlformats.org/package/2006/relationships"><Relationship Id="rId1" Type="http://schemas.openxmlformats.org/officeDocument/2006/relationships/image" Target="media/image35.jpeg"/></Relationships>

</file>

<file path=word/_rels/footer9.xml.rels><?xml version="1.0" encoding="UTF-8" standalone="yes"?>
<Relationships xmlns="http://schemas.openxmlformats.org/package/2006/relationships"><Relationship Id="rId1" Type="http://schemas.openxmlformats.org/officeDocument/2006/relationships/image" Target="media/image35.jpe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北京神州泰岳软件股份有限公司</dc:creator>
  <dc:title>北京神州泰岳软件股份有限公司2018年年度报告全文</dc:title>
  <dcterms:created xsi:type="dcterms:W3CDTF">2020-05-05T03:09:48Z</dcterms:created>
  <dcterms:modified xsi:type="dcterms:W3CDTF">2020-05-05T03:09:48Z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2019-04-25T00:00:00Z</vt:filetime>
  </property>
  <property fmtid="{D5CDD505-2E9C-101B-9397-08002B2CF9AE}" pid="3" name="Creator">
    <vt:lpwstr>Microsoft® Office Word 2007</vt:lpwstr>
  </property>
  <property fmtid="{D5CDD505-2E9C-101B-9397-08002B2CF9AE}" pid="4" name="LastSaved">
    <vt:filetime>2020-05-04T00:00:00Z</vt:filetime>
  </property>
</Properties>
</file>